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D0C5AF">
      <w:pPr>
        <w:pStyle w:val="20"/>
        <w:bidi w:val="0"/>
        <w:rPr>
          <w:rFonts w:hint="eastAsia"/>
        </w:rPr>
      </w:pPr>
      <w:r>
        <w:drawing>
          <wp:inline distT="0" distB="0" distL="114300" distR="114300">
            <wp:extent cx="6644005" cy="9398000"/>
            <wp:effectExtent l="0" t="0" r="4445" b="1270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9"/>
                    <a:stretch>
                      <a:fillRect/>
                    </a:stretch>
                  </pic:blipFill>
                  <pic:spPr>
                    <a:xfrm>
                      <a:off x="0" y="0"/>
                      <a:ext cx="6644005" cy="9398000"/>
                    </a:xfrm>
                    <a:prstGeom prst="rect">
                      <a:avLst/>
                    </a:prstGeom>
                    <a:noFill/>
                    <a:ln>
                      <a:noFill/>
                    </a:ln>
                  </pic:spPr>
                </pic:pic>
              </a:graphicData>
            </a:graphic>
          </wp:inline>
        </w:drawing>
      </w:r>
      <w:bookmarkStart w:id="54" w:name="_GoBack"/>
      <w:bookmarkEnd w:id="54"/>
      <w:r>
        <w:drawing>
          <wp:inline distT="0" distB="0" distL="114300" distR="114300">
            <wp:extent cx="6644005" cy="9398000"/>
            <wp:effectExtent l="0" t="0" r="4445" b="1270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0"/>
                    <a:stretch>
                      <a:fillRect/>
                    </a:stretch>
                  </pic:blipFill>
                  <pic:spPr>
                    <a:xfrm>
                      <a:off x="0" y="0"/>
                      <a:ext cx="6644005" cy="9398000"/>
                    </a:xfrm>
                    <a:prstGeom prst="rect">
                      <a:avLst/>
                    </a:prstGeom>
                    <a:noFill/>
                    <a:ln>
                      <a:noFill/>
                    </a:ln>
                  </pic:spPr>
                </pic:pic>
              </a:graphicData>
            </a:graphic>
          </wp:inline>
        </w:drawing>
      </w:r>
    </w:p>
    <w:p w14:paraId="63D2014B">
      <w:pPr>
        <w:spacing w:beforeLines="10" w:afterLines="10"/>
        <w:jc w:val="center"/>
        <w:outlineLvl w:val="0"/>
        <w:rPr>
          <w:rFonts w:hint="eastAsia" w:eastAsia="黑体"/>
          <w:snapToGrid w:val="0"/>
          <w:color w:val="auto"/>
          <w:sz w:val="30"/>
          <w:szCs w:val="30"/>
          <w:highlight w:val="none"/>
        </w:rPr>
        <w:sectPr>
          <w:footerReference r:id="rId5" w:type="default"/>
          <w:pgSz w:w="11906" w:h="16838"/>
          <w:pgMar w:top="720" w:right="720" w:bottom="720" w:left="720" w:header="720" w:footer="720" w:gutter="0"/>
          <w:pgNumType w:start="1"/>
          <w:cols w:space="425" w:num="1"/>
          <w:docGrid w:type="lines" w:linePitch="312" w:charSpace="0"/>
        </w:sectPr>
      </w:pPr>
    </w:p>
    <w:p w14:paraId="43CA79C6">
      <w:pPr>
        <w:spacing w:beforeLines="10" w:afterLines="10"/>
        <w:jc w:val="center"/>
        <w:outlineLvl w:val="0"/>
        <w:rPr>
          <w:rFonts w:hint="eastAsia" w:eastAsia="黑体"/>
          <w:snapToGrid w:val="0"/>
          <w:color w:val="auto"/>
          <w:sz w:val="30"/>
          <w:szCs w:val="30"/>
          <w:highlight w:val="none"/>
        </w:rPr>
      </w:pPr>
      <w:r>
        <w:rPr>
          <w:rFonts w:hint="eastAsia" w:eastAsia="黑体"/>
          <w:snapToGrid w:val="0"/>
          <w:color w:val="auto"/>
          <w:sz w:val="30"/>
          <w:szCs w:val="30"/>
          <w:highlight w:val="none"/>
        </w:rPr>
        <w:t>一、建设项目基本情况</w:t>
      </w: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95"/>
        <w:gridCol w:w="1245"/>
        <w:gridCol w:w="2073"/>
        <w:gridCol w:w="1949"/>
        <w:gridCol w:w="3127"/>
      </w:tblGrid>
      <w:tr w14:paraId="489D9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06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B8D4910">
            <w:pPr>
              <w:pStyle w:val="24"/>
              <w:spacing w:before="93" w:after="93"/>
              <w:rPr>
                <w:b/>
                <w:bCs/>
                <w:color w:val="auto"/>
                <w:highlight w:val="none"/>
              </w:rPr>
            </w:pPr>
            <w:r>
              <w:rPr>
                <w:rFonts w:hint="eastAsia"/>
                <w:b/>
                <w:bCs/>
                <w:color w:val="auto"/>
                <w:highlight w:val="none"/>
              </w:rPr>
              <w:t>建设项目名称</w:t>
            </w:r>
          </w:p>
        </w:tc>
        <w:tc>
          <w:tcPr>
            <w:tcW w:w="393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5202E8E5">
            <w:pPr>
              <w:pStyle w:val="24"/>
              <w:spacing w:before="93" w:after="93"/>
              <w:rPr>
                <w:rFonts w:hint="eastAsia" w:eastAsia="宋体"/>
                <w:color w:val="auto"/>
                <w:highlight w:val="none"/>
                <w:lang w:eastAsia="zh-CN"/>
              </w:rPr>
            </w:pPr>
            <w:r>
              <w:rPr>
                <w:rFonts w:hint="eastAsia"/>
                <w:color w:val="auto"/>
                <w:highlight w:val="none"/>
                <w:lang w:val="en-US" w:eastAsia="zh-CN"/>
              </w:rPr>
              <w:t>天畅注塑汽车零部件制造扩建项目</w:t>
            </w:r>
          </w:p>
        </w:tc>
      </w:tr>
      <w:tr w14:paraId="5C7E8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06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20A7D5B">
            <w:pPr>
              <w:pStyle w:val="24"/>
              <w:spacing w:before="93" w:after="93"/>
              <w:rPr>
                <w:b/>
                <w:bCs/>
                <w:color w:val="auto"/>
                <w:highlight w:val="none"/>
              </w:rPr>
            </w:pPr>
            <w:r>
              <w:rPr>
                <w:rFonts w:hint="eastAsia"/>
                <w:b/>
                <w:bCs/>
                <w:color w:val="auto"/>
                <w:highlight w:val="none"/>
              </w:rPr>
              <w:t>项目代码</w:t>
            </w:r>
          </w:p>
        </w:tc>
        <w:tc>
          <w:tcPr>
            <w:tcW w:w="393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21C8C3E3">
            <w:pPr>
              <w:pStyle w:val="24"/>
              <w:spacing w:before="93" w:after="93"/>
              <w:rPr>
                <w:rFonts w:hint="eastAsia" w:eastAsia="宋体"/>
                <w:color w:val="auto"/>
                <w:highlight w:val="none"/>
                <w:lang w:eastAsia="zh-CN"/>
              </w:rPr>
            </w:pPr>
            <w:r>
              <w:rPr>
                <w:rFonts w:hint="eastAsia"/>
                <w:color w:val="auto"/>
                <w:highlight w:val="none"/>
                <w:lang w:eastAsia="zh-CN"/>
              </w:rPr>
              <w:t>2510-500107-04-03-137564</w:t>
            </w:r>
          </w:p>
        </w:tc>
      </w:tr>
      <w:tr w14:paraId="424F6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06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7E42EC3">
            <w:pPr>
              <w:pStyle w:val="24"/>
              <w:spacing w:before="93" w:after="93"/>
              <w:rPr>
                <w:b/>
                <w:bCs/>
                <w:color w:val="auto"/>
                <w:highlight w:val="none"/>
              </w:rPr>
            </w:pPr>
            <w:r>
              <w:rPr>
                <w:rFonts w:hint="eastAsia"/>
                <w:b/>
                <w:bCs/>
                <w:color w:val="auto"/>
                <w:highlight w:val="none"/>
              </w:rPr>
              <w:t>建设单位联系人</w:t>
            </w:r>
          </w:p>
        </w:tc>
        <w:tc>
          <w:tcPr>
            <w:tcW w:w="1140" w:type="pct"/>
            <w:tcBorders>
              <w:top w:val="single" w:color="auto" w:sz="4" w:space="0"/>
              <w:left w:val="single" w:color="auto" w:sz="4" w:space="0"/>
              <w:bottom w:val="single" w:color="auto" w:sz="4" w:space="0"/>
              <w:right w:val="single" w:color="auto" w:sz="4" w:space="0"/>
            </w:tcBorders>
            <w:shd w:val="clear" w:color="auto" w:fill="auto"/>
            <w:vAlign w:val="center"/>
          </w:tcPr>
          <w:p w14:paraId="37B3D61B">
            <w:pPr>
              <w:pStyle w:val="24"/>
              <w:spacing w:before="93" w:after="93"/>
              <w:rPr>
                <w:rFonts w:hint="default" w:eastAsia="宋体"/>
                <w:color w:val="auto"/>
                <w:highlight w:val="none"/>
                <w:lang w:val="en-US" w:eastAsia="zh-CN"/>
              </w:rPr>
            </w:pPr>
            <w:r>
              <w:rPr>
                <w:rFonts w:hint="eastAsia"/>
                <w:color w:val="auto"/>
                <w:highlight w:val="none"/>
                <w:lang w:val="en-US" w:eastAsia="zh-CN"/>
              </w:rPr>
              <w:t>吴*</w:t>
            </w:r>
          </w:p>
        </w:tc>
        <w:tc>
          <w:tcPr>
            <w:tcW w:w="1072" w:type="pct"/>
            <w:tcBorders>
              <w:top w:val="single" w:color="auto" w:sz="4" w:space="0"/>
              <w:left w:val="single" w:color="auto" w:sz="4" w:space="0"/>
              <w:bottom w:val="single" w:color="auto" w:sz="4" w:space="0"/>
              <w:right w:val="single" w:color="auto" w:sz="4" w:space="0"/>
            </w:tcBorders>
            <w:shd w:val="clear" w:color="auto" w:fill="auto"/>
            <w:vAlign w:val="center"/>
          </w:tcPr>
          <w:p w14:paraId="0DC6D180">
            <w:pPr>
              <w:pStyle w:val="24"/>
              <w:spacing w:before="93" w:after="93"/>
              <w:rPr>
                <w:color w:val="auto"/>
                <w:highlight w:val="none"/>
              </w:rPr>
            </w:pPr>
            <w:r>
              <w:rPr>
                <w:rFonts w:hint="eastAsia"/>
                <w:b/>
                <w:bCs/>
                <w:color w:val="auto"/>
                <w:highlight w:val="none"/>
              </w:rPr>
              <w:t>联系方式</w:t>
            </w:r>
          </w:p>
        </w:tc>
        <w:tc>
          <w:tcPr>
            <w:tcW w:w="1719" w:type="pct"/>
            <w:tcBorders>
              <w:top w:val="single" w:color="auto" w:sz="4" w:space="0"/>
              <w:left w:val="single" w:color="auto" w:sz="4" w:space="0"/>
              <w:bottom w:val="single" w:color="auto" w:sz="4" w:space="0"/>
              <w:right w:val="single" w:color="auto" w:sz="4" w:space="0"/>
            </w:tcBorders>
            <w:shd w:val="clear" w:color="auto" w:fill="auto"/>
            <w:vAlign w:val="center"/>
          </w:tcPr>
          <w:p w14:paraId="07F5074F">
            <w:pPr>
              <w:pStyle w:val="24"/>
              <w:spacing w:before="93" w:after="93"/>
              <w:rPr>
                <w:rFonts w:hint="default" w:eastAsia="宋体"/>
                <w:color w:val="auto"/>
                <w:highlight w:val="none"/>
                <w:lang w:val="en-US" w:eastAsia="zh-CN"/>
              </w:rPr>
            </w:pPr>
            <w:r>
              <w:rPr>
                <w:rFonts w:hint="eastAsia"/>
                <w:color w:val="auto"/>
                <w:highlight w:val="none"/>
                <w:lang w:val="en-US" w:eastAsia="zh-CN"/>
              </w:rPr>
              <w:t>18*******92</w:t>
            </w:r>
          </w:p>
        </w:tc>
      </w:tr>
      <w:tr w14:paraId="54F99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06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19E71B5">
            <w:pPr>
              <w:pStyle w:val="24"/>
              <w:spacing w:before="93" w:after="93"/>
              <w:rPr>
                <w:b/>
                <w:bCs/>
                <w:color w:val="auto"/>
                <w:highlight w:val="none"/>
              </w:rPr>
            </w:pPr>
            <w:r>
              <w:rPr>
                <w:rFonts w:hint="eastAsia"/>
                <w:b/>
                <w:bCs/>
                <w:color w:val="auto"/>
                <w:highlight w:val="none"/>
              </w:rPr>
              <w:t>建设地点</w:t>
            </w:r>
          </w:p>
        </w:tc>
        <w:tc>
          <w:tcPr>
            <w:tcW w:w="393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7A973FFD">
            <w:pPr>
              <w:pStyle w:val="24"/>
              <w:spacing w:before="93" w:after="93"/>
              <w:jc w:val="center"/>
              <w:rPr>
                <w:rFonts w:hint="eastAsia" w:eastAsia="宋体"/>
                <w:color w:val="auto"/>
                <w:highlight w:val="none"/>
                <w:lang w:eastAsia="zh-CN"/>
              </w:rPr>
            </w:pPr>
            <w:r>
              <w:rPr>
                <w:rFonts w:hint="eastAsia"/>
                <w:color w:val="auto"/>
                <w:highlight w:val="none"/>
                <w:lang w:eastAsia="zh-CN"/>
              </w:rPr>
              <w:t>重庆市九龙坡区西彭镇铝城大道74号附1号</w:t>
            </w:r>
          </w:p>
        </w:tc>
      </w:tr>
      <w:tr w14:paraId="00EAB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06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56BDCF1">
            <w:pPr>
              <w:pStyle w:val="24"/>
              <w:spacing w:before="93" w:after="93"/>
              <w:rPr>
                <w:b/>
                <w:bCs/>
                <w:color w:val="auto"/>
                <w:highlight w:val="none"/>
              </w:rPr>
            </w:pPr>
            <w:r>
              <w:rPr>
                <w:rFonts w:hint="eastAsia"/>
                <w:b/>
                <w:bCs/>
                <w:color w:val="auto"/>
                <w:highlight w:val="none"/>
              </w:rPr>
              <w:t>地理坐标</w:t>
            </w:r>
          </w:p>
        </w:tc>
        <w:tc>
          <w:tcPr>
            <w:tcW w:w="393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4C68DAB5">
            <w:pPr>
              <w:pStyle w:val="24"/>
              <w:spacing w:before="93" w:after="93"/>
              <w:rPr>
                <w:color w:val="auto"/>
                <w:highlight w:val="none"/>
              </w:rPr>
            </w:pPr>
            <w:r>
              <w:rPr>
                <w:rFonts w:hint="eastAsia" w:cs="宋体"/>
                <w:color w:val="auto"/>
                <w:kern w:val="2"/>
                <w:highlight w:val="none"/>
              </w:rPr>
              <w:t>（</w:t>
            </w:r>
            <w:r>
              <w:rPr>
                <w:rFonts w:cs="宋体"/>
                <w:color w:val="auto"/>
                <w:kern w:val="2"/>
                <w:highlight w:val="none"/>
              </w:rPr>
              <w:t>N</w:t>
            </w:r>
            <w:r>
              <w:rPr>
                <w:rFonts w:cs="宋体"/>
                <w:color w:val="auto"/>
                <w:kern w:val="2"/>
                <w:highlight w:val="none"/>
                <w:u w:val="single"/>
              </w:rPr>
              <w:t xml:space="preserve"> 29</w:t>
            </w:r>
            <w:r>
              <w:rPr>
                <w:rFonts w:hint="eastAsia" w:cs="宋体"/>
                <w:color w:val="auto"/>
                <w:kern w:val="2"/>
                <w:highlight w:val="none"/>
              </w:rPr>
              <w:t>度</w:t>
            </w:r>
            <w:r>
              <w:rPr>
                <w:rFonts w:hint="eastAsia" w:cs="宋体"/>
                <w:color w:val="auto"/>
                <w:kern w:val="2"/>
                <w:highlight w:val="none"/>
                <w:u w:val="single"/>
                <w:lang w:val="en-US" w:eastAsia="zh-CN"/>
              </w:rPr>
              <w:t>17</w:t>
            </w:r>
            <w:r>
              <w:rPr>
                <w:rFonts w:hint="eastAsia" w:cs="宋体"/>
                <w:color w:val="auto"/>
                <w:kern w:val="2"/>
                <w:highlight w:val="none"/>
              </w:rPr>
              <w:t>分</w:t>
            </w:r>
            <w:r>
              <w:rPr>
                <w:rFonts w:hint="eastAsia" w:cs="宋体"/>
                <w:color w:val="auto"/>
                <w:kern w:val="2"/>
                <w:highlight w:val="none"/>
                <w:u w:val="single"/>
                <w:lang w:val="en-US" w:eastAsia="zh-CN"/>
              </w:rPr>
              <w:t>33.45</w:t>
            </w:r>
            <w:r>
              <w:rPr>
                <w:rFonts w:hint="eastAsia" w:cs="宋体"/>
                <w:color w:val="auto"/>
                <w:kern w:val="2"/>
                <w:highlight w:val="none"/>
              </w:rPr>
              <w:t>秒，</w:t>
            </w:r>
            <w:r>
              <w:rPr>
                <w:rFonts w:cs="宋体"/>
                <w:color w:val="auto"/>
                <w:kern w:val="2"/>
                <w:highlight w:val="none"/>
              </w:rPr>
              <w:t xml:space="preserve">E </w:t>
            </w:r>
            <w:r>
              <w:rPr>
                <w:rFonts w:cs="宋体"/>
                <w:color w:val="auto"/>
                <w:kern w:val="2"/>
                <w:highlight w:val="none"/>
                <w:u w:val="single"/>
              </w:rPr>
              <w:t>10</w:t>
            </w:r>
            <w:r>
              <w:rPr>
                <w:rFonts w:hint="eastAsia" w:cs="宋体"/>
                <w:color w:val="auto"/>
                <w:kern w:val="2"/>
                <w:highlight w:val="none"/>
                <w:u w:val="single"/>
              </w:rPr>
              <w:t>6</w:t>
            </w:r>
            <w:r>
              <w:rPr>
                <w:rFonts w:hint="eastAsia" w:cs="宋体"/>
                <w:color w:val="auto"/>
                <w:kern w:val="2"/>
                <w:highlight w:val="none"/>
              </w:rPr>
              <w:t>度</w:t>
            </w:r>
            <w:r>
              <w:rPr>
                <w:rFonts w:hint="eastAsia" w:cs="宋体"/>
                <w:color w:val="auto"/>
                <w:kern w:val="2"/>
                <w:highlight w:val="none"/>
                <w:u w:val="single"/>
                <w:lang w:val="en-US" w:eastAsia="zh-CN"/>
              </w:rPr>
              <w:t>19</w:t>
            </w:r>
            <w:r>
              <w:rPr>
                <w:rFonts w:hint="eastAsia" w:cs="宋体"/>
                <w:color w:val="auto"/>
                <w:kern w:val="2"/>
                <w:highlight w:val="none"/>
              </w:rPr>
              <w:t>分</w:t>
            </w:r>
            <w:r>
              <w:rPr>
                <w:rFonts w:hint="eastAsia" w:cs="宋体"/>
                <w:color w:val="auto"/>
                <w:kern w:val="2"/>
                <w:highlight w:val="none"/>
                <w:u w:val="single"/>
                <w:lang w:val="en-US" w:eastAsia="zh-CN"/>
              </w:rPr>
              <w:t>00.05</w:t>
            </w:r>
            <w:r>
              <w:rPr>
                <w:rFonts w:hint="eastAsia" w:cs="宋体"/>
                <w:color w:val="auto"/>
                <w:kern w:val="2"/>
                <w:highlight w:val="none"/>
              </w:rPr>
              <w:t>秒）</w:t>
            </w:r>
          </w:p>
        </w:tc>
      </w:tr>
      <w:tr w14:paraId="78DF8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06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B5C3F97">
            <w:pPr>
              <w:pStyle w:val="24"/>
              <w:spacing w:before="93" w:after="93"/>
              <w:rPr>
                <w:b/>
                <w:bCs/>
                <w:color w:val="auto"/>
                <w:highlight w:val="none"/>
              </w:rPr>
            </w:pPr>
            <w:r>
              <w:rPr>
                <w:rFonts w:hint="eastAsia"/>
                <w:b/>
                <w:bCs/>
                <w:color w:val="auto"/>
                <w:highlight w:val="none"/>
              </w:rPr>
              <w:t>国民经济</w:t>
            </w:r>
          </w:p>
          <w:p w14:paraId="0D9E3A73">
            <w:pPr>
              <w:pStyle w:val="24"/>
              <w:spacing w:before="93" w:after="93"/>
              <w:rPr>
                <w:b/>
                <w:bCs/>
                <w:color w:val="auto"/>
                <w:highlight w:val="none"/>
              </w:rPr>
            </w:pPr>
            <w:r>
              <w:rPr>
                <w:rFonts w:hint="eastAsia"/>
                <w:b/>
                <w:bCs/>
                <w:color w:val="auto"/>
                <w:highlight w:val="none"/>
              </w:rPr>
              <w:t>行业类别</w:t>
            </w:r>
          </w:p>
        </w:tc>
        <w:tc>
          <w:tcPr>
            <w:tcW w:w="1140" w:type="pct"/>
            <w:tcBorders>
              <w:top w:val="single" w:color="auto" w:sz="4" w:space="0"/>
              <w:left w:val="single" w:color="auto" w:sz="4" w:space="0"/>
              <w:bottom w:val="single" w:color="auto" w:sz="4" w:space="0"/>
              <w:right w:val="single" w:color="auto" w:sz="4" w:space="0"/>
            </w:tcBorders>
            <w:shd w:val="clear" w:color="auto" w:fill="auto"/>
            <w:vAlign w:val="center"/>
          </w:tcPr>
          <w:p w14:paraId="6ABEA4D6">
            <w:pPr>
              <w:pStyle w:val="24"/>
              <w:spacing w:before="93" w:after="93"/>
              <w:rPr>
                <w:rFonts w:hint="eastAsia"/>
                <w:color w:val="auto"/>
                <w:sz w:val="24"/>
                <w:highlight w:val="none"/>
                <w:lang w:eastAsia="zh-CN"/>
              </w:rPr>
            </w:pPr>
            <w:r>
              <w:rPr>
                <w:color w:val="auto"/>
                <w:sz w:val="24"/>
                <w:highlight w:val="none"/>
              </w:rPr>
              <w:t>C2929塑料零件及其他塑料制品制造</w:t>
            </w:r>
            <w:r>
              <w:rPr>
                <w:rFonts w:hint="eastAsia"/>
                <w:color w:val="auto"/>
                <w:sz w:val="24"/>
                <w:highlight w:val="none"/>
                <w:lang w:eastAsia="zh-CN"/>
              </w:rPr>
              <w:t>；</w:t>
            </w:r>
          </w:p>
          <w:p w14:paraId="6044F6FD">
            <w:pPr>
              <w:pStyle w:val="24"/>
              <w:spacing w:before="93" w:after="93"/>
              <w:rPr>
                <w:rFonts w:hint="eastAsia"/>
                <w:color w:val="auto"/>
                <w:sz w:val="24"/>
                <w:highlight w:val="none"/>
                <w:lang w:eastAsia="zh-CN"/>
              </w:rPr>
            </w:pPr>
            <w:r>
              <w:rPr>
                <w:rFonts w:cs="宋体"/>
                <w:color w:val="auto"/>
                <w:kern w:val="2"/>
                <w:highlight w:val="none"/>
                <w:lang w:bidi="ar"/>
              </w:rPr>
              <w:t xml:space="preserve">C367 </w:t>
            </w:r>
            <w:r>
              <w:rPr>
                <w:rFonts w:hint="eastAsia" w:cs="宋体"/>
                <w:color w:val="auto"/>
                <w:kern w:val="2"/>
                <w:highlight w:val="none"/>
                <w:lang w:bidi="ar"/>
              </w:rPr>
              <w:t>汽车零部件及配件制造</w:t>
            </w:r>
          </w:p>
        </w:tc>
        <w:tc>
          <w:tcPr>
            <w:tcW w:w="1072" w:type="pct"/>
            <w:tcBorders>
              <w:top w:val="single" w:color="auto" w:sz="4" w:space="0"/>
              <w:left w:val="single" w:color="auto" w:sz="4" w:space="0"/>
              <w:bottom w:val="single" w:color="auto" w:sz="4" w:space="0"/>
              <w:right w:val="single" w:color="auto" w:sz="4" w:space="0"/>
            </w:tcBorders>
            <w:shd w:val="clear" w:color="auto" w:fill="auto"/>
            <w:vAlign w:val="center"/>
          </w:tcPr>
          <w:p w14:paraId="52F4E96B">
            <w:pPr>
              <w:pStyle w:val="24"/>
              <w:spacing w:before="93" w:after="93"/>
              <w:rPr>
                <w:b/>
                <w:bCs/>
                <w:color w:val="auto"/>
                <w:highlight w:val="none"/>
              </w:rPr>
            </w:pPr>
            <w:r>
              <w:rPr>
                <w:rFonts w:hint="eastAsia"/>
                <w:b/>
                <w:bCs/>
                <w:color w:val="auto"/>
                <w:highlight w:val="none"/>
              </w:rPr>
              <w:t>建设项目</w:t>
            </w:r>
          </w:p>
          <w:p w14:paraId="43BB20D9">
            <w:pPr>
              <w:pStyle w:val="24"/>
              <w:spacing w:before="93" w:after="93"/>
              <w:rPr>
                <w:b/>
                <w:bCs/>
                <w:color w:val="auto"/>
                <w:highlight w:val="none"/>
              </w:rPr>
            </w:pPr>
            <w:r>
              <w:rPr>
                <w:rFonts w:hint="eastAsia"/>
                <w:b/>
                <w:bCs/>
                <w:color w:val="auto"/>
                <w:highlight w:val="none"/>
              </w:rPr>
              <w:t>行业类别</w:t>
            </w:r>
          </w:p>
        </w:tc>
        <w:tc>
          <w:tcPr>
            <w:tcW w:w="1719" w:type="pct"/>
            <w:tcBorders>
              <w:top w:val="single" w:color="auto" w:sz="4" w:space="0"/>
              <w:left w:val="single" w:color="auto" w:sz="4" w:space="0"/>
              <w:bottom w:val="single" w:color="auto" w:sz="4" w:space="0"/>
              <w:right w:val="single" w:color="auto" w:sz="4" w:space="0"/>
            </w:tcBorders>
            <w:shd w:val="clear" w:color="auto" w:fill="auto"/>
            <w:vAlign w:val="center"/>
          </w:tcPr>
          <w:p w14:paraId="5840ECE0">
            <w:pPr>
              <w:pStyle w:val="24"/>
              <w:spacing w:before="93" w:after="93"/>
              <w:rPr>
                <w:rFonts w:hint="eastAsia" w:eastAsia="宋体"/>
                <w:color w:val="auto"/>
                <w:highlight w:val="none"/>
                <w:lang w:eastAsia="zh-CN"/>
              </w:rPr>
            </w:pPr>
            <w:r>
              <w:rPr>
                <w:rFonts w:hint="eastAsia" w:cs="宋体"/>
                <w:color w:val="auto"/>
                <w:sz w:val="24"/>
                <w:highlight w:val="none"/>
              </w:rPr>
              <w:t>二十六、橡胶和塑料制品业 29</w:t>
            </w:r>
            <w:r>
              <w:rPr>
                <w:rFonts w:hint="eastAsia" w:cs="宋体"/>
                <w:color w:val="auto"/>
                <w:sz w:val="24"/>
                <w:highlight w:val="none"/>
                <w:lang w:val="en-US" w:eastAsia="zh-CN"/>
              </w:rPr>
              <w:t>-</w:t>
            </w:r>
            <w:r>
              <w:rPr>
                <w:rFonts w:hint="eastAsia" w:cs="宋体"/>
                <w:color w:val="auto"/>
                <w:sz w:val="24"/>
                <w:highlight w:val="none"/>
              </w:rPr>
              <w:t>53、塑料制品业 292</w:t>
            </w:r>
            <w:r>
              <w:rPr>
                <w:rFonts w:hint="eastAsia" w:cs="宋体"/>
                <w:color w:val="auto"/>
                <w:sz w:val="24"/>
                <w:highlight w:val="none"/>
                <w:lang w:val="en-US" w:eastAsia="zh-CN"/>
              </w:rPr>
              <w:t>-</w:t>
            </w:r>
            <w:r>
              <w:rPr>
                <w:rFonts w:hint="eastAsia" w:cs="宋体"/>
                <w:color w:val="auto"/>
                <w:sz w:val="24"/>
                <w:highlight w:val="none"/>
              </w:rPr>
              <w:t>其他（年用非溶剂型低VOC</w:t>
            </w:r>
            <w:r>
              <w:rPr>
                <w:rFonts w:hint="eastAsia" w:cs="宋体"/>
                <w:color w:val="auto"/>
                <w:sz w:val="24"/>
                <w:highlight w:val="none"/>
                <w:vertAlign w:val="subscript"/>
              </w:rPr>
              <w:t>S</w:t>
            </w:r>
            <w:r>
              <w:rPr>
                <w:rFonts w:hint="eastAsia" w:cs="宋体"/>
                <w:color w:val="auto"/>
                <w:sz w:val="24"/>
                <w:highlight w:val="none"/>
              </w:rPr>
              <w:t>含量涂料10吨以下的除外）</w:t>
            </w:r>
            <w:r>
              <w:rPr>
                <w:rFonts w:hint="eastAsia" w:cs="宋体"/>
                <w:color w:val="auto"/>
                <w:sz w:val="24"/>
                <w:highlight w:val="none"/>
                <w:lang w:eastAsia="zh-CN"/>
              </w:rPr>
              <w:t>；</w:t>
            </w:r>
          </w:p>
          <w:p w14:paraId="0A9F019B">
            <w:pPr>
              <w:pStyle w:val="24"/>
              <w:spacing w:before="93" w:after="93"/>
              <w:rPr>
                <w:rFonts w:hint="eastAsia" w:eastAsia="宋体"/>
                <w:color w:val="auto"/>
                <w:highlight w:val="none"/>
                <w:lang w:eastAsia="zh-CN"/>
              </w:rPr>
            </w:pPr>
            <w:r>
              <w:rPr>
                <w:rFonts w:hint="eastAsia"/>
                <w:color w:val="auto"/>
                <w:highlight w:val="none"/>
              </w:rPr>
              <w:t>三十三、汽车制造业</w:t>
            </w:r>
            <w:r>
              <w:rPr>
                <w:color w:val="auto"/>
                <w:highlight w:val="none"/>
              </w:rPr>
              <w:t>36-</w:t>
            </w:r>
            <w:r>
              <w:rPr>
                <w:rFonts w:hint="eastAsia"/>
                <w:color w:val="auto"/>
                <w:highlight w:val="none"/>
              </w:rPr>
              <w:t>汽车零部件及配件制造</w:t>
            </w:r>
            <w:r>
              <w:rPr>
                <w:color w:val="auto"/>
                <w:highlight w:val="none"/>
              </w:rPr>
              <w:t>367-</w:t>
            </w:r>
            <w:r>
              <w:rPr>
                <w:rFonts w:hint="eastAsia"/>
                <w:color w:val="auto"/>
                <w:highlight w:val="none"/>
              </w:rPr>
              <w:t>其他（年用非溶剂型低</w:t>
            </w:r>
            <w:r>
              <w:rPr>
                <w:color w:val="auto"/>
                <w:highlight w:val="none"/>
              </w:rPr>
              <w:t>VOCS</w:t>
            </w:r>
            <w:r>
              <w:rPr>
                <w:rFonts w:hint="eastAsia"/>
                <w:color w:val="auto"/>
                <w:highlight w:val="none"/>
              </w:rPr>
              <w:t>含量涂料</w:t>
            </w:r>
            <w:r>
              <w:rPr>
                <w:color w:val="auto"/>
                <w:highlight w:val="none"/>
              </w:rPr>
              <w:t>10</w:t>
            </w:r>
            <w:r>
              <w:rPr>
                <w:rFonts w:hint="eastAsia"/>
                <w:color w:val="auto"/>
                <w:highlight w:val="none"/>
              </w:rPr>
              <w:t>吨以下的除外）</w:t>
            </w:r>
            <w:r>
              <w:rPr>
                <w:rFonts w:hint="eastAsia"/>
                <w:color w:val="auto"/>
                <w:highlight w:val="none"/>
                <w:lang w:eastAsia="zh-CN"/>
              </w:rPr>
              <w:t>；</w:t>
            </w:r>
          </w:p>
        </w:tc>
      </w:tr>
      <w:tr w14:paraId="01E6A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06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952CE42">
            <w:pPr>
              <w:pStyle w:val="24"/>
              <w:spacing w:before="93" w:after="93"/>
              <w:rPr>
                <w:b/>
                <w:bCs/>
                <w:color w:val="auto"/>
                <w:highlight w:val="none"/>
              </w:rPr>
            </w:pPr>
            <w:r>
              <w:rPr>
                <w:rFonts w:hint="eastAsia"/>
                <w:b/>
                <w:bCs/>
                <w:color w:val="auto"/>
                <w:highlight w:val="none"/>
              </w:rPr>
              <w:t>建设性质</w:t>
            </w:r>
          </w:p>
        </w:tc>
        <w:tc>
          <w:tcPr>
            <w:tcW w:w="1140" w:type="pct"/>
            <w:tcBorders>
              <w:top w:val="single" w:color="auto" w:sz="4" w:space="0"/>
              <w:left w:val="single" w:color="auto" w:sz="4" w:space="0"/>
              <w:bottom w:val="single" w:color="auto" w:sz="4" w:space="0"/>
              <w:right w:val="single" w:color="auto" w:sz="4" w:space="0"/>
            </w:tcBorders>
            <w:shd w:val="clear" w:color="auto" w:fill="auto"/>
            <w:vAlign w:val="center"/>
          </w:tcPr>
          <w:p w14:paraId="1AB7DCFC">
            <w:pPr>
              <w:pStyle w:val="24"/>
              <w:spacing w:before="93" w:after="93"/>
              <w:jc w:val="left"/>
              <w:rPr>
                <w:color w:val="auto"/>
                <w:highlight w:val="none"/>
              </w:rPr>
            </w:pPr>
            <w:r>
              <w:rPr>
                <w:color w:val="auto"/>
                <w:highlight w:val="none"/>
              </w:rPr>
              <w:sym w:font="Wingdings 2" w:char="00A3"/>
            </w:r>
            <w:r>
              <w:rPr>
                <w:rFonts w:hint="eastAsia"/>
                <w:color w:val="auto"/>
                <w:highlight w:val="none"/>
              </w:rPr>
              <w:t>新建（迁建）</w:t>
            </w:r>
          </w:p>
          <w:p w14:paraId="73B2A630">
            <w:pPr>
              <w:pStyle w:val="24"/>
              <w:spacing w:before="93" w:after="93"/>
              <w:jc w:val="left"/>
              <w:rPr>
                <w:color w:val="auto"/>
                <w:highlight w:val="none"/>
              </w:rPr>
            </w:pPr>
            <w:r>
              <w:rPr>
                <w:color w:val="auto"/>
                <w:highlight w:val="none"/>
              </w:rPr>
              <w:sym w:font="Wingdings 2" w:char="00A3"/>
            </w:r>
            <w:r>
              <w:rPr>
                <w:rFonts w:hint="eastAsia"/>
                <w:color w:val="auto"/>
                <w:highlight w:val="none"/>
              </w:rPr>
              <w:t>改建</w:t>
            </w:r>
          </w:p>
          <w:p w14:paraId="26FD2C15">
            <w:pPr>
              <w:pStyle w:val="24"/>
              <w:spacing w:before="93" w:after="93"/>
              <w:jc w:val="left"/>
              <w:rPr>
                <w:color w:val="auto"/>
                <w:highlight w:val="none"/>
              </w:rPr>
            </w:pPr>
            <w:r>
              <w:rPr>
                <w:color w:val="auto"/>
                <w:highlight w:val="none"/>
              </w:rPr>
              <w:sym w:font="Wingdings 2" w:char="0052"/>
            </w:r>
            <w:r>
              <w:rPr>
                <w:rFonts w:hint="eastAsia"/>
                <w:color w:val="auto"/>
                <w:highlight w:val="none"/>
              </w:rPr>
              <w:t>扩建</w:t>
            </w:r>
          </w:p>
          <w:p w14:paraId="71D42D23">
            <w:pPr>
              <w:pStyle w:val="24"/>
              <w:spacing w:before="93" w:after="93"/>
              <w:jc w:val="left"/>
              <w:rPr>
                <w:color w:val="auto"/>
                <w:highlight w:val="none"/>
              </w:rPr>
            </w:pPr>
            <w:r>
              <w:rPr>
                <w:color w:val="auto"/>
                <w:highlight w:val="none"/>
              </w:rPr>
              <w:sym w:font="Wingdings 2" w:char="00A3"/>
            </w:r>
            <w:r>
              <w:rPr>
                <w:rFonts w:hint="eastAsia"/>
                <w:color w:val="auto"/>
                <w:highlight w:val="none"/>
              </w:rPr>
              <w:t>技术改造</w:t>
            </w:r>
          </w:p>
        </w:tc>
        <w:tc>
          <w:tcPr>
            <w:tcW w:w="1072" w:type="pct"/>
            <w:tcBorders>
              <w:top w:val="single" w:color="auto" w:sz="4" w:space="0"/>
              <w:left w:val="single" w:color="auto" w:sz="4" w:space="0"/>
              <w:bottom w:val="single" w:color="auto" w:sz="4" w:space="0"/>
              <w:right w:val="single" w:color="auto" w:sz="4" w:space="0"/>
            </w:tcBorders>
            <w:shd w:val="clear" w:color="auto" w:fill="auto"/>
            <w:vAlign w:val="center"/>
          </w:tcPr>
          <w:p w14:paraId="6B94D56A">
            <w:pPr>
              <w:pStyle w:val="24"/>
              <w:spacing w:before="93" w:after="93"/>
              <w:rPr>
                <w:b/>
                <w:bCs/>
                <w:color w:val="auto"/>
                <w:highlight w:val="none"/>
              </w:rPr>
            </w:pPr>
            <w:r>
              <w:rPr>
                <w:rFonts w:hint="eastAsia"/>
                <w:b/>
                <w:bCs/>
                <w:color w:val="auto"/>
                <w:highlight w:val="none"/>
              </w:rPr>
              <w:t>建设项目</w:t>
            </w:r>
          </w:p>
          <w:p w14:paraId="7AA0ACB0">
            <w:pPr>
              <w:pStyle w:val="24"/>
              <w:spacing w:before="93" w:after="93"/>
              <w:rPr>
                <w:b/>
                <w:bCs/>
                <w:color w:val="auto"/>
                <w:highlight w:val="none"/>
              </w:rPr>
            </w:pPr>
            <w:r>
              <w:rPr>
                <w:rFonts w:hint="eastAsia"/>
                <w:b/>
                <w:bCs/>
                <w:color w:val="auto"/>
                <w:highlight w:val="none"/>
              </w:rPr>
              <w:t>申报情形</w:t>
            </w:r>
          </w:p>
        </w:tc>
        <w:tc>
          <w:tcPr>
            <w:tcW w:w="1719" w:type="pct"/>
            <w:tcBorders>
              <w:top w:val="single" w:color="auto" w:sz="4" w:space="0"/>
              <w:left w:val="single" w:color="auto" w:sz="4" w:space="0"/>
              <w:bottom w:val="single" w:color="auto" w:sz="4" w:space="0"/>
              <w:right w:val="single" w:color="auto" w:sz="4" w:space="0"/>
            </w:tcBorders>
            <w:shd w:val="clear" w:color="auto" w:fill="auto"/>
            <w:vAlign w:val="center"/>
          </w:tcPr>
          <w:p w14:paraId="2F3D97BD">
            <w:pPr>
              <w:pStyle w:val="24"/>
              <w:spacing w:before="93" w:after="93"/>
              <w:jc w:val="left"/>
              <w:rPr>
                <w:color w:val="auto"/>
                <w:highlight w:val="none"/>
              </w:rPr>
            </w:pPr>
            <w:r>
              <w:rPr>
                <w:color w:val="auto"/>
                <w:highlight w:val="none"/>
              </w:rPr>
              <w:sym w:font="Wingdings 2" w:char="0052"/>
            </w:r>
            <w:r>
              <w:rPr>
                <w:rFonts w:hint="eastAsia"/>
                <w:color w:val="auto"/>
                <w:highlight w:val="none"/>
              </w:rPr>
              <w:t>首次申报项目</w:t>
            </w:r>
          </w:p>
          <w:p w14:paraId="40654AA8">
            <w:pPr>
              <w:pStyle w:val="24"/>
              <w:spacing w:before="93" w:after="93"/>
              <w:jc w:val="left"/>
              <w:rPr>
                <w:color w:val="auto"/>
                <w:highlight w:val="none"/>
              </w:rPr>
            </w:pPr>
            <w:r>
              <w:rPr>
                <w:color w:val="auto"/>
                <w:highlight w:val="none"/>
              </w:rPr>
              <w:sym w:font="Wingdings 2" w:char="00A3"/>
            </w:r>
            <w:r>
              <w:rPr>
                <w:rFonts w:hint="eastAsia"/>
                <w:color w:val="auto"/>
                <w:highlight w:val="none"/>
              </w:rPr>
              <w:t>不予批准后再次申报项目</w:t>
            </w:r>
          </w:p>
          <w:p w14:paraId="04721AF0">
            <w:pPr>
              <w:pStyle w:val="24"/>
              <w:spacing w:before="93" w:after="93"/>
              <w:jc w:val="left"/>
              <w:rPr>
                <w:color w:val="auto"/>
                <w:highlight w:val="none"/>
              </w:rPr>
            </w:pPr>
            <w:r>
              <w:rPr>
                <w:color w:val="auto"/>
                <w:highlight w:val="none"/>
              </w:rPr>
              <w:sym w:font="Wingdings 2" w:char="00A3"/>
            </w:r>
            <w:r>
              <w:rPr>
                <w:rFonts w:hint="eastAsia"/>
                <w:color w:val="auto"/>
                <w:highlight w:val="none"/>
              </w:rPr>
              <w:t>超五年重新审核项目</w:t>
            </w:r>
          </w:p>
          <w:p w14:paraId="341F3BD2">
            <w:pPr>
              <w:pStyle w:val="24"/>
              <w:spacing w:before="93" w:after="93"/>
              <w:jc w:val="left"/>
              <w:rPr>
                <w:color w:val="auto"/>
                <w:highlight w:val="none"/>
              </w:rPr>
            </w:pPr>
            <w:r>
              <w:rPr>
                <w:color w:val="auto"/>
                <w:highlight w:val="none"/>
              </w:rPr>
              <w:sym w:font="Wingdings 2" w:char="00A3"/>
            </w:r>
            <w:r>
              <w:rPr>
                <w:rFonts w:hint="eastAsia"/>
                <w:color w:val="auto"/>
                <w:highlight w:val="none"/>
              </w:rPr>
              <w:t>重大变动重新报批项目</w:t>
            </w:r>
          </w:p>
        </w:tc>
      </w:tr>
      <w:tr w14:paraId="0CDA3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06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BC8F5F8">
            <w:pPr>
              <w:pStyle w:val="24"/>
              <w:spacing w:before="93" w:after="93"/>
              <w:rPr>
                <w:b/>
                <w:bCs/>
                <w:color w:val="auto"/>
                <w:highlight w:val="none"/>
              </w:rPr>
            </w:pPr>
            <w:r>
              <w:rPr>
                <w:rFonts w:hint="eastAsia"/>
                <w:b/>
                <w:bCs/>
                <w:color w:val="auto"/>
                <w:highlight w:val="none"/>
              </w:rPr>
              <w:t>项目审批（核准</w:t>
            </w:r>
            <w:r>
              <w:rPr>
                <w:b/>
                <w:bCs/>
                <w:color w:val="auto"/>
                <w:highlight w:val="none"/>
              </w:rPr>
              <w:t>/</w:t>
            </w:r>
            <w:r>
              <w:rPr>
                <w:rFonts w:hint="eastAsia"/>
                <w:b/>
                <w:bCs/>
                <w:color w:val="auto"/>
                <w:highlight w:val="none"/>
              </w:rPr>
              <w:t>备案）部门（选填）</w:t>
            </w:r>
          </w:p>
        </w:tc>
        <w:tc>
          <w:tcPr>
            <w:tcW w:w="1140" w:type="pct"/>
            <w:tcBorders>
              <w:top w:val="single" w:color="auto" w:sz="4" w:space="0"/>
              <w:left w:val="single" w:color="auto" w:sz="4" w:space="0"/>
              <w:bottom w:val="single" w:color="auto" w:sz="4" w:space="0"/>
              <w:right w:val="single" w:color="auto" w:sz="4" w:space="0"/>
            </w:tcBorders>
            <w:shd w:val="clear" w:color="auto" w:fill="auto"/>
            <w:vAlign w:val="center"/>
          </w:tcPr>
          <w:p w14:paraId="244EDD74">
            <w:pPr>
              <w:pStyle w:val="24"/>
              <w:spacing w:before="93" w:after="93"/>
              <w:rPr>
                <w:color w:val="auto"/>
                <w:highlight w:val="none"/>
              </w:rPr>
            </w:pPr>
            <w:r>
              <w:rPr>
                <w:rFonts w:hint="eastAsia"/>
                <w:color w:val="auto"/>
                <w:highlight w:val="none"/>
              </w:rPr>
              <w:t>重庆市九龙坡区发展和改革委员会</w:t>
            </w:r>
          </w:p>
        </w:tc>
        <w:tc>
          <w:tcPr>
            <w:tcW w:w="1072" w:type="pct"/>
            <w:tcBorders>
              <w:top w:val="single" w:color="auto" w:sz="4" w:space="0"/>
              <w:left w:val="single" w:color="auto" w:sz="4" w:space="0"/>
              <w:bottom w:val="single" w:color="auto" w:sz="4" w:space="0"/>
              <w:right w:val="single" w:color="auto" w:sz="4" w:space="0"/>
            </w:tcBorders>
            <w:shd w:val="clear" w:color="auto" w:fill="auto"/>
            <w:vAlign w:val="center"/>
          </w:tcPr>
          <w:p w14:paraId="3DCBDEEA">
            <w:pPr>
              <w:pStyle w:val="24"/>
              <w:spacing w:before="93" w:after="93"/>
              <w:rPr>
                <w:b/>
                <w:bCs/>
                <w:color w:val="auto"/>
                <w:highlight w:val="none"/>
              </w:rPr>
            </w:pPr>
            <w:r>
              <w:rPr>
                <w:rFonts w:hint="eastAsia"/>
                <w:b/>
                <w:bCs/>
                <w:color w:val="auto"/>
                <w:highlight w:val="none"/>
              </w:rPr>
              <w:t>项目审批（核准</w:t>
            </w:r>
            <w:r>
              <w:rPr>
                <w:b/>
                <w:bCs/>
                <w:color w:val="auto"/>
                <w:highlight w:val="none"/>
              </w:rPr>
              <w:t>/</w:t>
            </w:r>
            <w:r>
              <w:rPr>
                <w:rFonts w:hint="eastAsia"/>
                <w:b/>
                <w:bCs/>
                <w:color w:val="auto"/>
                <w:highlight w:val="none"/>
              </w:rPr>
              <w:t>备案）文号（选填）</w:t>
            </w:r>
          </w:p>
        </w:tc>
        <w:tc>
          <w:tcPr>
            <w:tcW w:w="1719" w:type="pct"/>
            <w:tcBorders>
              <w:top w:val="single" w:color="auto" w:sz="4" w:space="0"/>
              <w:left w:val="single" w:color="auto" w:sz="4" w:space="0"/>
              <w:bottom w:val="single" w:color="auto" w:sz="4" w:space="0"/>
              <w:right w:val="single" w:color="auto" w:sz="4" w:space="0"/>
            </w:tcBorders>
            <w:shd w:val="clear" w:color="auto" w:fill="auto"/>
            <w:vAlign w:val="center"/>
          </w:tcPr>
          <w:p w14:paraId="044CBD9C">
            <w:pPr>
              <w:pStyle w:val="24"/>
              <w:spacing w:before="93" w:after="93"/>
              <w:rPr>
                <w:color w:val="auto"/>
                <w:highlight w:val="none"/>
              </w:rPr>
            </w:pPr>
            <w:r>
              <w:rPr>
                <w:rFonts w:hint="eastAsia"/>
                <w:color w:val="auto"/>
                <w:highlight w:val="none"/>
              </w:rPr>
              <w:t>/</w:t>
            </w:r>
          </w:p>
        </w:tc>
      </w:tr>
      <w:tr w14:paraId="42EF5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06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F29808D">
            <w:pPr>
              <w:pStyle w:val="24"/>
              <w:spacing w:before="93" w:after="93"/>
              <w:rPr>
                <w:b/>
                <w:bCs/>
                <w:color w:val="auto"/>
                <w:highlight w:val="none"/>
              </w:rPr>
            </w:pPr>
            <w:r>
              <w:rPr>
                <w:rFonts w:hint="eastAsia"/>
                <w:b/>
                <w:bCs/>
                <w:color w:val="auto"/>
                <w:highlight w:val="none"/>
              </w:rPr>
              <w:t>总投资（万元）</w:t>
            </w:r>
          </w:p>
        </w:tc>
        <w:tc>
          <w:tcPr>
            <w:tcW w:w="1140" w:type="pct"/>
            <w:tcBorders>
              <w:top w:val="single" w:color="auto" w:sz="4" w:space="0"/>
              <w:left w:val="single" w:color="auto" w:sz="4" w:space="0"/>
              <w:bottom w:val="single" w:color="auto" w:sz="4" w:space="0"/>
              <w:right w:val="single" w:color="auto" w:sz="4" w:space="0"/>
            </w:tcBorders>
            <w:shd w:val="clear" w:color="auto" w:fill="auto"/>
            <w:vAlign w:val="center"/>
          </w:tcPr>
          <w:p w14:paraId="66240D8A">
            <w:pPr>
              <w:pStyle w:val="24"/>
              <w:spacing w:before="93" w:after="93"/>
              <w:rPr>
                <w:rFonts w:hint="default" w:eastAsia="宋体"/>
                <w:color w:val="auto"/>
                <w:highlight w:val="none"/>
                <w:lang w:val="en-US" w:eastAsia="zh-CN"/>
              </w:rPr>
            </w:pPr>
            <w:r>
              <w:rPr>
                <w:rFonts w:hint="eastAsia"/>
                <w:color w:val="auto"/>
                <w:highlight w:val="none"/>
                <w:lang w:val="en-US" w:eastAsia="zh-CN"/>
              </w:rPr>
              <w:t>200</w:t>
            </w:r>
          </w:p>
        </w:tc>
        <w:tc>
          <w:tcPr>
            <w:tcW w:w="1072" w:type="pct"/>
            <w:tcBorders>
              <w:top w:val="single" w:color="auto" w:sz="4" w:space="0"/>
              <w:left w:val="single" w:color="auto" w:sz="4" w:space="0"/>
              <w:bottom w:val="single" w:color="auto" w:sz="4" w:space="0"/>
              <w:right w:val="single" w:color="auto" w:sz="4" w:space="0"/>
            </w:tcBorders>
            <w:shd w:val="clear" w:color="auto" w:fill="auto"/>
            <w:vAlign w:val="center"/>
          </w:tcPr>
          <w:p w14:paraId="52DA9A20">
            <w:pPr>
              <w:pStyle w:val="24"/>
              <w:spacing w:before="93" w:after="93"/>
              <w:rPr>
                <w:b/>
                <w:bCs/>
                <w:color w:val="auto"/>
                <w:highlight w:val="none"/>
              </w:rPr>
            </w:pPr>
            <w:r>
              <w:rPr>
                <w:rFonts w:hint="eastAsia"/>
                <w:b/>
                <w:bCs/>
                <w:color w:val="auto"/>
                <w:highlight w:val="none"/>
              </w:rPr>
              <w:t>环保投资</w:t>
            </w:r>
          </w:p>
          <w:p w14:paraId="4C40FFD7">
            <w:pPr>
              <w:pStyle w:val="24"/>
              <w:spacing w:before="93" w:after="93"/>
              <w:rPr>
                <w:b/>
                <w:bCs/>
                <w:color w:val="auto"/>
                <w:highlight w:val="none"/>
              </w:rPr>
            </w:pPr>
            <w:r>
              <w:rPr>
                <w:rFonts w:hint="eastAsia"/>
                <w:b/>
                <w:bCs/>
                <w:color w:val="auto"/>
                <w:highlight w:val="none"/>
              </w:rPr>
              <w:t>（万元）</w:t>
            </w:r>
          </w:p>
        </w:tc>
        <w:tc>
          <w:tcPr>
            <w:tcW w:w="1719" w:type="pct"/>
            <w:tcBorders>
              <w:top w:val="single" w:color="auto" w:sz="4" w:space="0"/>
              <w:left w:val="single" w:color="auto" w:sz="4" w:space="0"/>
              <w:bottom w:val="single" w:color="auto" w:sz="4" w:space="0"/>
              <w:right w:val="single" w:color="auto" w:sz="4" w:space="0"/>
            </w:tcBorders>
            <w:shd w:val="clear" w:color="auto" w:fill="auto"/>
            <w:vAlign w:val="center"/>
          </w:tcPr>
          <w:p w14:paraId="5248A39C">
            <w:pPr>
              <w:pStyle w:val="24"/>
              <w:spacing w:before="93" w:after="93"/>
              <w:rPr>
                <w:rFonts w:hint="default" w:eastAsia="宋体"/>
                <w:color w:val="auto"/>
                <w:highlight w:val="none"/>
                <w:lang w:val="en-US" w:eastAsia="zh-CN"/>
              </w:rPr>
            </w:pPr>
            <w:r>
              <w:rPr>
                <w:rFonts w:hint="eastAsia"/>
                <w:color w:val="auto"/>
                <w:highlight w:val="none"/>
                <w:lang w:val="en-US" w:eastAsia="zh-CN"/>
              </w:rPr>
              <w:t>20</w:t>
            </w:r>
          </w:p>
        </w:tc>
      </w:tr>
      <w:tr w14:paraId="7E909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06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BD5F591">
            <w:pPr>
              <w:pStyle w:val="24"/>
              <w:spacing w:before="93" w:after="93"/>
              <w:rPr>
                <w:b/>
                <w:bCs/>
                <w:color w:val="auto"/>
                <w:highlight w:val="none"/>
              </w:rPr>
            </w:pPr>
            <w:r>
              <w:rPr>
                <w:rFonts w:hint="eastAsia"/>
                <w:b/>
                <w:bCs/>
                <w:color w:val="auto"/>
                <w:highlight w:val="none"/>
              </w:rPr>
              <w:t>环保投资占比（</w:t>
            </w:r>
            <w:r>
              <w:rPr>
                <w:b/>
                <w:bCs/>
                <w:color w:val="auto"/>
                <w:highlight w:val="none"/>
              </w:rPr>
              <w:t>%</w:t>
            </w:r>
            <w:r>
              <w:rPr>
                <w:rFonts w:hint="eastAsia"/>
                <w:b/>
                <w:bCs/>
                <w:color w:val="auto"/>
                <w:highlight w:val="none"/>
              </w:rPr>
              <w:t>）</w:t>
            </w:r>
          </w:p>
        </w:tc>
        <w:tc>
          <w:tcPr>
            <w:tcW w:w="1140" w:type="pct"/>
            <w:tcBorders>
              <w:top w:val="single" w:color="auto" w:sz="4" w:space="0"/>
              <w:left w:val="single" w:color="auto" w:sz="4" w:space="0"/>
              <w:bottom w:val="single" w:color="auto" w:sz="4" w:space="0"/>
              <w:right w:val="single" w:color="auto" w:sz="4" w:space="0"/>
            </w:tcBorders>
            <w:shd w:val="clear" w:color="auto" w:fill="auto"/>
            <w:vAlign w:val="center"/>
          </w:tcPr>
          <w:p w14:paraId="61D8A469">
            <w:pPr>
              <w:pStyle w:val="24"/>
              <w:spacing w:before="93" w:after="93"/>
              <w:rPr>
                <w:color w:val="auto"/>
                <w:highlight w:val="none"/>
              </w:rPr>
            </w:pPr>
            <w:r>
              <w:rPr>
                <w:rFonts w:hint="eastAsia"/>
                <w:color w:val="auto"/>
                <w:highlight w:val="none"/>
              </w:rPr>
              <w:t>10</w:t>
            </w:r>
          </w:p>
        </w:tc>
        <w:tc>
          <w:tcPr>
            <w:tcW w:w="1072" w:type="pct"/>
            <w:tcBorders>
              <w:top w:val="single" w:color="auto" w:sz="4" w:space="0"/>
              <w:left w:val="single" w:color="auto" w:sz="4" w:space="0"/>
              <w:bottom w:val="single" w:color="auto" w:sz="4" w:space="0"/>
              <w:right w:val="single" w:color="auto" w:sz="4" w:space="0"/>
            </w:tcBorders>
            <w:shd w:val="clear" w:color="auto" w:fill="auto"/>
            <w:vAlign w:val="center"/>
          </w:tcPr>
          <w:p w14:paraId="41D341D4">
            <w:pPr>
              <w:pStyle w:val="24"/>
              <w:spacing w:before="93" w:after="93"/>
              <w:rPr>
                <w:b/>
                <w:bCs/>
                <w:color w:val="auto"/>
                <w:highlight w:val="none"/>
              </w:rPr>
            </w:pPr>
            <w:r>
              <w:rPr>
                <w:rFonts w:hint="eastAsia"/>
                <w:b/>
                <w:bCs/>
                <w:color w:val="auto"/>
                <w:highlight w:val="none"/>
              </w:rPr>
              <w:t>施工工期</w:t>
            </w:r>
          </w:p>
        </w:tc>
        <w:tc>
          <w:tcPr>
            <w:tcW w:w="1719" w:type="pct"/>
            <w:tcBorders>
              <w:top w:val="single" w:color="auto" w:sz="4" w:space="0"/>
              <w:left w:val="single" w:color="auto" w:sz="4" w:space="0"/>
              <w:bottom w:val="single" w:color="auto" w:sz="4" w:space="0"/>
              <w:right w:val="single" w:color="auto" w:sz="4" w:space="0"/>
            </w:tcBorders>
            <w:shd w:val="clear" w:color="auto" w:fill="auto"/>
            <w:vAlign w:val="center"/>
          </w:tcPr>
          <w:p w14:paraId="66A77643">
            <w:pPr>
              <w:pStyle w:val="24"/>
              <w:spacing w:before="93" w:after="93"/>
              <w:rPr>
                <w:color w:val="auto"/>
                <w:highlight w:val="none"/>
              </w:rPr>
            </w:pPr>
            <w:r>
              <w:rPr>
                <w:rFonts w:hint="eastAsia"/>
                <w:color w:val="auto"/>
                <w:highlight w:val="none"/>
                <w:lang w:val="en-US" w:eastAsia="zh-CN"/>
              </w:rPr>
              <w:t>1</w:t>
            </w:r>
            <w:r>
              <w:rPr>
                <w:rFonts w:hint="eastAsia"/>
                <w:color w:val="auto"/>
                <w:highlight w:val="none"/>
              </w:rPr>
              <w:t>个月</w:t>
            </w:r>
          </w:p>
        </w:tc>
      </w:tr>
      <w:tr w14:paraId="54234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06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ECF6FFF">
            <w:pPr>
              <w:pStyle w:val="24"/>
              <w:spacing w:before="93" w:after="93"/>
              <w:rPr>
                <w:b/>
                <w:bCs/>
                <w:color w:val="auto"/>
                <w:highlight w:val="none"/>
              </w:rPr>
            </w:pPr>
            <w:r>
              <w:rPr>
                <w:rFonts w:hint="eastAsia"/>
                <w:b/>
                <w:bCs/>
                <w:color w:val="auto"/>
                <w:highlight w:val="none"/>
              </w:rPr>
              <w:t>是否开工建设</w:t>
            </w:r>
          </w:p>
        </w:tc>
        <w:tc>
          <w:tcPr>
            <w:tcW w:w="1140" w:type="pct"/>
            <w:tcBorders>
              <w:top w:val="single" w:color="auto" w:sz="4" w:space="0"/>
              <w:left w:val="single" w:color="auto" w:sz="4" w:space="0"/>
              <w:bottom w:val="single" w:color="auto" w:sz="4" w:space="0"/>
              <w:right w:val="single" w:color="auto" w:sz="4" w:space="0"/>
            </w:tcBorders>
            <w:shd w:val="clear" w:color="auto" w:fill="auto"/>
            <w:vAlign w:val="center"/>
          </w:tcPr>
          <w:p w14:paraId="792020A2">
            <w:pPr>
              <w:pStyle w:val="24"/>
              <w:spacing w:before="93" w:after="93"/>
              <w:jc w:val="left"/>
              <w:rPr>
                <w:color w:val="auto"/>
                <w:highlight w:val="none"/>
              </w:rPr>
            </w:pPr>
            <w:r>
              <w:rPr>
                <w:color w:val="auto"/>
                <w:highlight w:val="none"/>
              </w:rPr>
              <w:sym w:font="Wingdings 2" w:char="0052"/>
            </w:r>
            <w:r>
              <w:rPr>
                <w:rFonts w:hint="eastAsia"/>
                <w:color w:val="auto"/>
                <w:highlight w:val="none"/>
              </w:rPr>
              <w:t>否</w:t>
            </w:r>
          </w:p>
          <w:p w14:paraId="7B1C715B">
            <w:pPr>
              <w:pStyle w:val="24"/>
              <w:spacing w:before="93" w:after="93"/>
              <w:jc w:val="left"/>
              <w:rPr>
                <w:color w:val="auto"/>
                <w:highlight w:val="none"/>
              </w:rPr>
            </w:pPr>
            <w:r>
              <w:rPr>
                <w:color w:val="auto"/>
                <w:highlight w:val="none"/>
              </w:rPr>
              <w:sym w:font="Wingdings 2" w:char="00A3"/>
            </w:r>
            <w:r>
              <w:rPr>
                <w:rFonts w:hint="eastAsia"/>
                <w:color w:val="auto"/>
                <w:highlight w:val="none"/>
              </w:rPr>
              <w:t>是</w:t>
            </w:r>
          </w:p>
        </w:tc>
        <w:tc>
          <w:tcPr>
            <w:tcW w:w="1072" w:type="pct"/>
            <w:tcBorders>
              <w:top w:val="single" w:color="auto" w:sz="4" w:space="0"/>
              <w:left w:val="single" w:color="auto" w:sz="4" w:space="0"/>
              <w:bottom w:val="single" w:color="auto" w:sz="4" w:space="0"/>
              <w:right w:val="single" w:color="auto" w:sz="4" w:space="0"/>
            </w:tcBorders>
            <w:shd w:val="clear" w:color="auto" w:fill="auto"/>
            <w:vAlign w:val="center"/>
          </w:tcPr>
          <w:p w14:paraId="74FAD365">
            <w:pPr>
              <w:pStyle w:val="24"/>
              <w:spacing w:before="93" w:after="93"/>
              <w:rPr>
                <w:b/>
                <w:bCs/>
                <w:color w:val="auto"/>
                <w:highlight w:val="none"/>
              </w:rPr>
            </w:pPr>
            <w:r>
              <w:rPr>
                <w:rFonts w:hint="eastAsia"/>
                <w:b/>
                <w:bCs/>
                <w:color w:val="auto"/>
                <w:highlight w:val="none"/>
              </w:rPr>
              <w:t>用地面积</w:t>
            </w:r>
          </w:p>
          <w:p w14:paraId="539EDB11">
            <w:pPr>
              <w:pStyle w:val="24"/>
              <w:spacing w:before="93" w:after="93"/>
              <w:rPr>
                <w:b/>
                <w:bCs/>
                <w:color w:val="auto"/>
                <w:highlight w:val="none"/>
              </w:rPr>
            </w:pPr>
            <w:r>
              <w:rPr>
                <w:rFonts w:hint="eastAsia"/>
                <w:b/>
                <w:bCs/>
                <w:color w:val="auto"/>
                <w:highlight w:val="none"/>
                <w:lang w:eastAsia="zh-CN"/>
              </w:rPr>
              <w:t>(</w:t>
            </w:r>
            <w:r>
              <w:rPr>
                <w:b/>
                <w:bCs/>
                <w:color w:val="auto"/>
                <w:highlight w:val="none"/>
              </w:rPr>
              <w:t>m</w:t>
            </w:r>
            <w:r>
              <w:rPr>
                <w:b/>
                <w:bCs/>
                <w:color w:val="auto"/>
                <w:highlight w:val="none"/>
                <w:vertAlign w:val="superscript"/>
              </w:rPr>
              <w:t>2</w:t>
            </w:r>
            <w:r>
              <w:rPr>
                <w:rFonts w:hint="eastAsia"/>
                <w:b/>
                <w:bCs/>
                <w:color w:val="auto"/>
                <w:highlight w:val="none"/>
                <w:vertAlign w:val="superscript"/>
                <w:lang w:eastAsia="zh-CN"/>
              </w:rPr>
              <w:t>)</w:t>
            </w:r>
          </w:p>
        </w:tc>
        <w:tc>
          <w:tcPr>
            <w:tcW w:w="1719" w:type="pct"/>
            <w:tcBorders>
              <w:top w:val="single" w:color="auto" w:sz="4" w:space="0"/>
              <w:left w:val="single" w:color="auto" w:sz="4" w:space="0"/>
              <w:bottom w:val="single" w:color="auto" w:sz="4" w:space="0"/>
              <w:right w:val="single" w:color="auto" w:sz="4" w:space="0"/>
            </w:tcBorders>
            <w:shd w:val="clear" w:color="auto" w:fill="auto"/>
            <w:vAlign w:val="center"/>
          </w:tcPr>
          <w:p w14:paraId="21784C13">
            <w:pPr>
              <w:pStyle w:val="24"/>
              <w:spacing w:before="93" w:after="93"/>
              <w:rPr>
                <w:rFonts w:hint="default" w:eastAsia="宋体"/>
                <w:color w:val="auto"/>
                <w:highlight w:val="none"/>
                <w:lang w:val="en-US" w:eastAsia="zh-CN"/>
              </w:rPr>
            </w:pPr>
            <w:r>
              <w:rPr>
                <w:rFonts w:hint="eastAsia"/>
                <w:color w:val="auto"/>
                <w:highlight w:val="none"/>
                <w:lang w:val="en-US" w:eastAsia="zh-CN"/>
              </w:rPr>
              <w:t>3339.5</w:t>
            </w:r>
            <w:r>
              <w:rPr>
                <w:rFonts w:hint="eastAsia"/>
                <w:color w:val="auto"/>
                <w:highlight w:val="none"/>
              </w:rPr>
              <w:t>m</w:t>
            </w:r>
            <w:r>
              <w:rPr>
                <w:rFonts w:hint="eastAsia"/>
                <w:color w:val="auto"/>
                <w:highlight w:val="none"/>
                <w:vertAlign w:val="superscript"/>
              </w:rPr>
              <w:t>2</w:t>
            </w:r>
            <w:r>
              <w:rPr>
                <w:rFonts w:hint="eastAsia"/>
                <w:color w:val="auto"/>
                <w:highlight w:val="none"/>
                <w:lang w:eastAsia="zh-CN"/>
              </w:rPr>
              <w:t>（</w:t>
            </w:r>
            <w:r>
              <w:rPr>
                <w:rFonts w:hint="eastAsia"/>
                <w:color w:val="auto"/>
                <w:highlight w:val="none"/>
                <w:lang w:val="en-US" w:eastAsia="zh-CN"/>
              </w:rPr>
              <w:t>租赁面积）</w:t>
            </w:r>
          </w:p>
        </w:tc>
      </w:tr>
      <w:tr w14:paraId="33C36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5B9F1611">
            <w:pPr>
              <w:pStyle w:val="24"/>
              <w:spacing w:before="93" w:after="93"/>
              <w:rPr>
                <w:b/>
                <w:bCs/>
                <w:color w:val="auto"/>
                <w:highlight w:val="none"/>
              </w:rPr>
            </w:pPr>
            <w:r>
              <w:rPr>
                <w:rFonts w:hint="eastAsia"/>
                <w:b/>
                <w:bCs/>
                <w:color w:val="auto"/>
                <w:highlight w:val="none"/>
              </w:rPr>
              <w:t>专项评价设置情况</w:t>
            </w:r>
          </w:p>
        </w:tc>
        <w:tc>
          <w:tcPr>
            <w:tcW w:w="4617"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D763F2F">
            <w:pPr>
              <w:pStyle w:val="18"/>
              <w:bidi w:val="0"/>
              <w:rPr>
                <w:rFonts w:hint="eastAsia" w:eastAsia="宋体"/>
                <w:color w:val="auto"/>
                <w:highlight w:val="none"/>
                <w:lang w:eastAsia="zh-CN"/>
              </w:rPr>
            </w:pPr>
            <w:r>
              <w:rPr>
                <w:rFonts w:hint="default"/>
                <w:color w:val="auto"/>
                <w:highlight w:val="none"/>
              </w:rPr>
              <w:t>根据建设项目环境影响报告表编制技术指南（污染影响类）（试行），本项目</w:t>
            </w:r>
            <w:r>
              <w:rPr>
                <w:rFonts w:hint="eastAsia"/>
                <w:color w:val="auto"/>
                <w:highlight w:val="none"/>
                <w:lang w:eastAsia="zh-CN"/>
              </w:rPr>
              <w:t>无须设置</w:t>
            </w:r>
            <w:r>
              <w:rPr>
                <w:rFonts w:hint="default"/>
                <w:color w:val="auto"/>
                <w:highlight w:val="none"/>
              </w:rPr>
              <w:t>专项评价，对照情况见</w:t>
            </w:r>
            <w:r>
              <w:rPr>
                <w:rFonts w:hint="default"/>
                <w:color w:val="auto"/>
                <w:highlight w:val="none"/>
              </w:rPr>
              <w:fldChar w:fldCharType="begin"/>
            </w:r>
            <w:r>
              <w:rPr>
                <w:rFonts w:hint="default"/>
                <w:color w:val="auto"/>
                <w:highlight w:val="none"/>
              </w:rPr>
              <w:instrText xml:space="preserve"> REF _Ref16995 \h </w:instrText>
            </w:r>
            <w:r>
              <w:rPr>
                <w:rFonts w:hint="default"/>
                <w:color w:val="auto"/>
                <w:highlight w:val="none"/>
              </w:rPr>
              <w:fldChar w:fldCharType="separate"/>
            </w:r>
            <w:r>
              <w:rPr>
                <w:color w:val="auto"/>
                <w:highlight w:val="none"/>
              </w:rPr>
              <w:t>表1-1</w:t>
            </w:r>
            <w:r>
              <w:rPr>
                <w:rFonts w:hint="default"/>
                <w:color w:val="auto"/>
                <w:highlight w:val="none"/>
              </w:rPr>
              <w:fldChar w:fldCharType="end"/>
            </w:r>
            <w:r>
              <w:rPr>
                <w:rFonts w:hint="eastAsia"/>
                <w:color w:val="auto"/>
                <w:highlight w:val="none"/>
                <w:lang w:eastAsia="zh-CN"/>
              </w:rPr>
              <w:t>。</w:t>
            </w:r>
          </w:p>
          <w:p w14:paraId="56E070C5">
            <w:pPr>
              <w:pStyle w:val="19"/>
              <w:spacing w:before="156"/>
              <w:rPr>
                <w:color w:val="auto"/>
                <w:highlight w:val="none"/>
              </w:rPr>
            </w:pPr>
            <w:bookmarkStart w:id="0" w:name="_Ref16995"/>
            <w:r>
              <w:rPr>
                <w:color w:val="auto"/>
                <w:highlight w:val="none"/>
              </w:rPr>
              <w:t>表1-</w:t>
            </w:r>
            <w:r>
              <w:rPr>
                <w:color w:val="auto"/>
                <w:highlight w:val="none"/>
              </w:rPr>
              <w:fldChar w:fldCharType="begin"/>
            </w:r>
            <w:r>
              <w:rPr>
                <w:color w:val="auto"/>
                <w:highlight w:val="none"/>
              </w:rPr>
              <w:instrText xml:space="preserve"> SEQ 表1- \* ARABIC </w:instrText>
            </w:r>
            <w:r>
              <w:rPr>
                <w:color w:val="auto"/>
                <w:highlight w:val="none"/>
              </w:rPr>
              <w:fldChar w:fldCharType="separate"/>
            </w:r>
            <w:r>
              <w:rPr>
                <w:color w:val="auto"/>
                <w:highlight w:val="none"/>
              </w:rPr>
              <w:t>1</w:t>
            </w:r>
            <w:r>
              <w:rPr>
                <w:color w:val="auto"/>
                <w:highlight w:val="none"/>
              </w:rPr>
              <w:fldChar w:fldCharType="end"/>
            </w:r>
            <w:bookmarkEnd w:id="0"/>
            <w:r>
              <w:rPr>
                <w:rFonts w:hint="eastAsia"/>
                <w:color w:val="auto"/>
                <w:highlight w:val="none"/>
              </w:rPr>
              <w:t xml:space="preserve">  专项评价设置原则对照表</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09"/>
              <w:gridCol w:w="4587"/>
              <w:gridCol w:w="2974"/>
            </w:tblGrid>
            <w:tr w14:paraId="3B71E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429" w:type="pct"/>
                  <w:noWrap w:val="0"/>
                  <w:vAlign w:val="center"/>
                </w:tcPr>
                <w:p w14:paraId="1800CEE9">
                  <w:pPr>
                    <w:pStyle w:val="20"/>
                    <w:bidi w:val="0"/>
                    <w:rPr>
                      <w:rFonts w:hint="default"/>
                      <w:b/>
                      <w:bCs/>
                      <w:color w:val="auto"/>
                      <w:highlight w:val="none"/>
                      <w:lang w:val="en-US" w:eastAsia="zh-CN"/>
                    </w:rPr>
                  </w:pPr>
                  <w:r>
                    <w:rPr>
                      <w:rFonts w:hint="default"/>
                      <w:b/>
                      <w:bCs/>
                      <w:color w:val="auto"/>
                      <w:highlight w:val="none"/>
                      <w:lang w:val="en-US" w:eastAsia="zh-CN"/>
                    </w:rPr>
                    <w:t>类别</w:t>
                  </w:r>
                </w:p>
              </w:tc>
              <w:tc>
                <w:tcPr>
                  <w:tcW w:w="2773" w:type="pct"/>
                  <w:noWrap w:val="0"/>
                  <w:vAlign w:val="center"/>
                </w:tcPr>
                <w:p w14:paraId="45F76F5C">
                  <w:pPr>
                    <w:pStyle w:val="20"/>
                    <w:bidi w:val="0"/>
                    <w:rPr>
                      <w:rFonts w:hint="default"/>
                      <w:b/>
                      <w:bCs/>
                      <w:color w:val="auto"/>
                      <w:highlight w:val="none"/>
                      <w:lang w:val="en-US" w:eastAsia="zh-CN"/>
                    </w:rPr>
                  </w:pPr>
                  <w:r>
                    <w:rPr>
                      <w:rFonts w:hint="default"/>
                      <w:b/>
                      <w:bCs/>
                      <w:color w:val="auto"/>
                      <w:highlight w:val="none"/>
                      <w:lang w:val="en-US" w:eastAsia="zh-CN"/>
                    </w:rPr>
                    <w:t>设置原则</w:t>
                  </w:r>
                </w:p>
              </w:tc>
              <w:tc>
                <w:tcPr>
                  <w:tcW w:w="1796" w:type="pct"/>
                  <w:noWrap w:val="0"/>
                  <w:vAlign w:val="center"/>
                </w:tcPr>
                <w:p w14:paraId="68E372E6">
                  <w:pPr>
                    <w:pStyle w:val="20"/>
                    <w:bidi w:val="0"/>
                    <w:rPr>
                      <w:rFonts w:hint="default"/>
                      <w:b/>
                      <w:bCs/>
                      <w:color w:val="auto"/>
                      <w:highlight w:val="none"/>
                      <w:lang w:val="en-US" w:eastAsia="zh-CN"/>
                    </w:rPr>
                  </w:pPr>
                  <w:r>
                    <w:rPr>
                      <w:rFonts w:hint="default"/>
                      <w:b/>
                      <w:bCs/>
                      <w:color w:val="auto"/>
                      <w:highlight w:val="none"/>
                      <w:lang w:val="en-US" w:eastAsia="zh-CN"/>
                    </w:rPr>
                    <w:t>项目情况对照</w:t>
                  </w:r>
                </w:p>
              </w:tc>
            </w:tr>
            <w:tr w14:paraId="2E8FE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29" w:type="pct"/>
                  <w:noWrap w:val="0"/>
                  <w:vAlign w:val="center"/>
                </w:tcPr>
                <w:p w14:paraId="353FF3E3">
                  <w:pPr>
                    <w:pStyle w:val="20"/>
                    <w:bidi w:val="0"/>
                    <w:rPr>
                      <w:rFonts w:hint="default"/>
                      <w:color w:val="auto"/>
                      <w:highlight w:val="none"/>
                      <w:lang w:val="en-US" w:eastAsia="zh-CN"/>
                    </w:rPr>
                  </w:pPr>
                  <w:r>
                    <w:rPr>
                      <w:rFonts w:hint="default"/>
                      <w:color w:val="auto"/>
                      <w:highlight w:val="none"/>
                      <w:lang w:val="en-US" w:eastAsia="zh-CN"/>
                    </w:rPr>
                    <w:t>大气</w:t>
                  </w:r>
                </w:p>
              </w:tc>
              <w:tc>
                <w:tcPr>
                  <w:tcW w:w="2773" w:type="pct"/>
                  <w:noWrap w:val="0"/>
                  <w:vAlign w:val="center"/>
                </w:tcPr>
                <w:p w14:paraId="082CA819">
                  <w:pPr>
                    <w:pStyle w:val="20"/>
                    <w:bidi w:val="0"/>
                    <w:jc w:val="both"/>
                    <w:rPr>
                      <w:rFonts w:hint="default"/>
                      <w:color w:val="auto"/>
                      <w:highlight w:val="none"/>
                      <w:lang w:val="en-US" w:eastAsia="zh-CN"/>
                    </w:rPr>
                  </w:pPr>
                  <w:r>
                    <w:rPr>
                      <w:rFonts w:hint="default"/>
                      <w:color w:val="auto"/>
                      <w:highlight w:val="none"/>
                      <w:lang w:val="en-US" w:eastAsia="zh-CN"/>
                    </w:rPr>
                    <w:t>排放废气含有毒有害污染物</w:t>
                  </w:r>
                  <w:r>
                    <w:rPr>
                      <w:rFonts w:hint="default"/>
                      <w:color w:val="auto"/>
                      <w:highlight w:val="none"/>
                      <w:vertAlign w:val="superscript"/>
                      <w:lang w:val="en-US" w:eastAsia="zh-CN"/>
                    </w:rPr>
                    <w:t>1</w:t>
                  </w:r>
                  <w:r>
                    <w:rPr>
                      <w:rFonts w:hint="default"/>
                      <w:color w:val="auto"/>
                      <w:highlight w:val="none"/>
                      <w:lang w:val="en-US" w:eastAsia="zh-CN"/>
                    </w:rPr>
                    <w:t>、二噁英、苯并[a]芘、氰化物、氯气且厂界外500米范围内有环境空气保护目标</w:t>
                  </w:r>
                  <w:r>
                    <w:rPr>
                      <w:rFonts w:hint="default"/>
                      <w:color w:val="auto"/>
                      <w:highlight w:val="none"/>
                      <w:vertAlign w:val="superscript"/>
                      <w:lang w:val="en-US" w:eastAsia="zh-CN"/>
                    </w:rPr>
                    <w:t>2</w:t>
                  </w:r>
                  <w:r>
                    <w:rPr>
                      <w:rFonts w:hint="default"/>
                      <w:color w:val="auto"/>
                      <w:highlight w:val="none"/>
                      <w:lang w:val="en-US" w:eastAsia="zh-CN"/>
                    </w:rPr>
                    <w:t>的建设项目</w:t>
                  </w:r>
                </w:p>
              </w:tc>
              <w:tc>
                <w:tcPr>
                  <w:tcW w:w="1796" w:type="pct"/>
                  <w:noWrap w:val="0"/>
                  <w:vAlign w:val="center"/>
                </w:tcPr>
                <w:p w14:paraId="35DD3E78">
                  <w:pPr>
                    <w:pStyle w:val="20"/>
                    <w:bidi w:val="0"/>
                    <w:rPr>
                      <w:rFonts w:hint="default"/>
                      <w:color w:val="auto"/>
                      <w:highlight w:val="none"/>
                      <w:lang w:val="en-US" w:eastAsia="zh-CN"/>
                    </w:rPr>
                  </w:pPr>
                  <w:r>
                    <w:rPr>
                      <w:rFonts w:hint="default"/>
                      <w:color w:val="auto"/>
                      <w:highlight w:val="none"/>
                      <w:lang w:val="en-US" w:eastAsia="zh-CN"/>
                    </w:rPr>
                    <w:t>本项目不排放《有毒有害大气污染物名录》中的有毒有害污染物，不设专项评价</w:t>
                  </w:r>
                </w:p>
              </w:tc>
            </w:tr>
            <w:tr w14:paraId="09422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29" w:type="pct"/>
                  <w:noWrap w:val="0"/>
                  <w:vAlign w:val="center"/>
                </w:tcPr>
                <w:p w14:paraId="248F6B60">
                  <w:pPr>
                    <w:pStyle w:val="20"/>
                    <w:bidi w:val="0"/>
                    <w:rPr>
                      <w:rFonts w:hint="default"/>
                      <w:color w:val="auto"/>
                      <w:highlight w:val="none"/>
                      <w:lang w:val="en-US" w:eastAsia="zh-CN"/>
                    </w:rPr>
                  </w:pPr>
                  <w:r>
                    <w:rPr>
                      <w:rFonts w:hint="default"/>
                      <w:color w:val="auto"/>
                      <w:highlight w:val="none"/>
                      <w:lang w:val="en-US" w:eastAsia="zh-CN"/>
                    </w:rPr>
                    <w:t>地表水</w:t>
                  </w:r>
                </w:p>
              </w:tc>
              <w:tc>
                <w:tcPr>
                  <w:tcW w:w="2773" w:type="pct"/>
                  <w:noWrap w:val="0"/>
                  <w:vAlign w:val="center"/>
                </w:tcPr>
                <w:p w14:paraId="2B4C9640">
                  <w:pPr>
                    <w:pStyle w:val="20"/>
                    <w:bidi w:val="0"/>
                    <w:jc w:val="both"/>
                    <w:rPr>
                      <w:rFonts w:hint="default"/>
                      <w:color w:val="auto"/>
                      <w:highlight w:val="none"/>
                      <w:lang w:val="en-US" w:eastAsia="zh-CN"/>
                    </w:rPr>
                  </w:pPr>
                  <w:r>
                    <w:rPr>
                      <w:rFonts w:hint="default"/>
                      <w:color w:val="auto"/>
                      <w:highlight w:val="none"/>
                      <w:lang w:val="en-US" w:eastAsia="zh-CN"/>
                    </w:rPr>
                    <w:t>新增工业废水直排建设项目（槽罐车外送污水处理厂的除外）；新增废水直排的污水集中处理厂</w:t>
                  </w:r>
                </w:p>
              </w:tc>
              <w:tc>
                <w:tcPr>
                  <w:tcW w:w="1796" w:type="pct"/>
                  <w:noWrap w:val="0"/>
                  <w:vAlign w:val="center"/>
                </w:tcPr>
                <w:p w14:paraId="2B77A2A5">
                  <w:pPr>
                    <w:pStyle w:val="20"/>
                    <w:bidi w:val="0"/>
                    <w:rPr>
                      <w:rFonts w:hint="default"/>
                      <w:color w:val="auto"/>
                      <w:highlight w:val="none"/>
                      <w:lang w:val="en-US" w:eastAsia="zh-CN"/>
                    </w:rPr>
                  </w:pPr>
                  <w:r>
                    <w:rPr>
                      <w:rFonts w:hint="default"/>
                      <w:color w:val="auto"/>
                      <w:highlight w:val="none"/>
                      <w:lang w:val="en-US" w:eastAsia="zh-CN"/>
                    </w:rPr>
                    <w:t>本项目污废水排放方式为间接排放，不设置专项评价</w:t>
                  </w:r>
                </w:p>
              </w:tc>
            </w:tr>
            <w:tr w14:paraId="5A109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29" w:type="pct"/>
                  <w:noWrap w:val="0"/>
                  <w:vAlign w:val="center"/>
                </w:tcPr>
                <w:p w14:paraId="40395206">
                  <w:pPr>
                    <w:pStyle w:val="20"/>
                    <w:bidi w:val="0"/>
                    <w:rPr>
                      <w:rFonts w:hint="default"/>
                      <w:color w:val="auto"/>
                      <w:highlight w:val="none"/>
                      <w:lang w:val="en-US" w:eastAsia="zh-CN"/>
                    </w:rPr>
                  </w:pPr>
                  <w:r>
                    <w:rPr>
                      <w:rFonts w:hint="default"/>
                      <w:color w:val="auto"/>
                      <w:highlight w:val="none"/>
                      <w:lang w:val="en-US" w:eastAsia="zh-CN"/>
                    </w:rPr>
                    <w:t>环境风险</w:t>
                  </w:r>
                </w:p>
              </w:tc>
              <w:tc>
                <w:tcPr>
                  <w:tcW w:w="2773" w:type="pct"/>
                  <w:noWrap w:val="0"/>
                  <w:vAlign w:val="center"/>
                </w:tcPr>
                <w:p w14:paraId="419E041F">
                  <w:pPr>
                    <w:pStyle w:val="20"/>
                    <w:bidi w:val="0"/>
                    <w:jc w:val="both"/>
                    <w:rPr>
                      <w:rFonts w:hint="default"/>
                      <w:color w:val="auto"/>
                      <w:highlight w:val="none"/>
                      <w:lang w:val="en-US" w:eastAsia="zh-CN"/>
                    </w:rPr>
                  </w:pPr>
                  <w:r>
                    <w:rPr>
                      <w:rFonts w:hint="default"/>
                      <w:color w:val="auto"/>
                      <w:highlight w:val="none"/>
                      <w:lang w:val="en-US" w:eastAsia="zh-CN"/>
                    </w:rPr>
                    <w:t>有毒有害和易燃易爆危险物质存储量超过临界量</w:t>
                  </w:r>
                  <w:r>
                    <w:rPr>
                      <w:rFonts w:hint="default"/>
                      <w:color w:val="auto"/>
                      <w:highlight w:val="none"/>
                      <w:vertAlign w:val="superscript"/>
                      <w:lang w:val="en-US" w:eastAsia="zh-CN"/>
                    </w:rPr>
                    <w:t>3</w:t>
                  </w:r>
                  <w:r>
                    <w:rPr>
                      <w:rFonts w:hint="default"/>
                      <w:color w:val="auto"/>
                      <w:highlight w:val="none"/>
                      <w:lang w:val="en-US" w:eastAsia="zh-CN"/>
                    </w:rPr>
                    <w:t>的建设项目</w:t>
                  </w:r>
                </w:p>
              </w:tc>
              <w:tc>
                <w:tcPr>
                  <w:tcW w:w="1796" w:type="pct"/>
                  <w:noWrap w:val="0"/>
                  <w:vAlign w:val="center"/>
                </w:tcPr>
                <w:p w14:paraId="5AA0148C">
                  <w:pPr>
                    <w:pStyle w:val="20"/>
                    <w:bidi w:val="0"/>
                    <w:rPr>
                      <w:rFonts w:hint="default"/>
                      <w:color w:val="auto"/>
                      <w:highlight w:val="none"/>
                      <w:lang w:val="en-US" w:eastAsia="zh-CN"/>
                    </w:rPr>
                  </w:pPr>
                  <w:r>
                    <w:rPr>
                      <w:rFonts w:hint="default"/>
                      <w:color w:val="auto"/>
                      <w:highlight w:val="none"/>
                      <w:lang w:val="en-US" w:eastAsia="zh-CN"/>
                    </w:rPr>
                    <w:t>本项目危险物质储存量未超过临界量，不设置专项评价</w:t>
                  </w:r>
                </w:p>
              </w:tc>
            </w:tr>
            <w:tr w14:paraId="2E70B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29" w:type="pct"/>
                  <w:noWrap w:val="0"/>
                  <w:vAlign w:val="center"/>
                </w:tcPr>
                <w:p w14:paraId="60E5D0A3">
                  <w:pPr>
                    <w:pStyle w:val="20"/>
                    <w:bidi w:val="0"/>
                    <w:rPr>
                      <w:rFonts w:hint="default"/>
                      <w:color w:val="auto"/>
                      <w:highlight w:val="none"/>
                      <w:lang w:val="en-US" w:eastAsia="zh-CN"/>
                    </w:rPr>
                  </w:pPr>
                  <w:r>
                    <w:rPr>
                      <w:rFonts w:hint="default"/>
                      <w:color w:val="auto"/>
                      <w:highlight w:val="none"/>
                      <w:lang w:val="en-US" w:eastAsia="zh-CN"/>
                    </w:rPr>
                    <w:t>生态</w:t>
                  </w:r>
                </w:p>
              </w:tc>
              <w:tc>
                <w:tcPr>
                  <w:tcW w:w="2773" w:type="pct"/>
                  <w:noWrap w:val="0"/>
                  <w:vAlign w:val="center"/>
                </w:tcPr>
                <w:p w14:paraId="4EEF6ECF">
                  <w:pPr>
                    <w:pStyle w:val="20"/>
                    <w:bidi w:val="0"/>
                    <w:jc w:val="both"/>
                    <w:rPr>
                      <w:rFonts w:hint="default"/>
                      <w:color w:val="auto"/>
                      <w:highlight w:val="none"/>
                      <w:lang w:val="en-US" w:eastAsia="zh-CN"/>
                    </w:rPr>
                  </w:pPr>
                  <w:r>
                    <w:rPr>
                      <w:rFonts w:hint="default"/>
                      <w:color w:val="auto"/>
                      <w:highlight w:val="none"/>
                      <w:lang w:val="en-US" w:eastAsia="zh-CN"/>
                    </w:rPr>
                    <w:t>取水口下游500米范围内有重要水生生物的自然产卵场、索饵场、越冬场和洄游通道的新增河道取水的污染类建设项目</w:t>
                  </w:r>
                </w:p>
              </w:tc>
              <w:tc>
                <w:tcPr>
                  <w:tcW w:w="1796" w:type="pct"/>
                  <w:noWrap w:val="0"/>
                  <w:vAlign w:val="center"/>
                </w:tcPr>
                <w:p w14:paraId="2979C9D1">
                  <w:pPr>
                    <w:pStyle w:val="20"/>
                    <w:bidi w:val="0"/>
                    <w:rPr>
                      <w:rFonts w:hint="default"/>
                      <w:color w:val="auto"/>
                      <w:highlight w:val="none"/>
                      <w:lang w:val="en-US" w:eastAsia="zh-CN"/>
                    </w:rPr>
                  </w:pPr>
                  <w:r>
                    <w:rPr>
                      <w:rFonts w:hint="default"/>
                      <w:color w:val="auto"/>
                      <w:highlight w:val="none"/>
                      <w:lang w:val="en-US" w:eastAsia="zh-CN"/>
                    </w:rPr>
                    <w:t>项目用水为园区自来水管网供给</w:t>
                  </w:r>
                </w:p>
              </w:tc>
            </w:tr>
            <w:tr w14:paraId="05D26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29" w:type="pct"/>
                  <w:noWrap w:val="0"/>
                  <w:vAlign w:val="center"/>
                </w:tcPr>
                <w:p w14:paraId="0CA85EDE">
                  <w:pPr>
                    <w:pStyle w:val="20"/>
                    <w:bidi w:val="0"/>
                    <w:rPr>
                      <w:rFonts w:hint="default"/>
                      <w:color w:val="auto"/>
                      <w:highlight w:val="none"/>
                      <w:lang w:val="en-US" w:eastAsia="zh-CN"/>
                    </w:rPr>
                  </w:pPr>
                  <w:r>
                    <w:rPr>
                      <w:rFonts w:hint="default"/>
                      <w:color w:val="auto"/>
                      <w:highlight w:val="none"/>
                      <w:lang w:val="en-US" w:eastAsia="zh-CN"/>
                    </w:rPr>
                    <w:t>海洋</w:t>
                  </w:r>
                </w:p>
              </w:tc>
              <w:tc>
                <w:tcPr>
                  <w:tcW w:w="2773" w:type="pct"/>
                  <w:noWrap w:val="0"/>
                  <w:vAlign w:val="center"/>
                </w:tcPr>
                <w:p w14:paraId="6FB94C53">
                  <w:pPr>
                    <w:pStyle w:val="20"/>
                    <w:bidi w:val="0"/>
                    <w:jc w:val="both"/>
                    <w:rPr>
                      <w:rFonts w:hint="default"/>
                      <w:color w:val="auto"/>
                      <w:highlight w:val="none"/>
                      <w:lang w:val="en-US" w:eastAsia="zh-CN"/>
                    </w:rPr>
                  </w:pPr>
                  <w:r>
                    <w:rPr>
                      <w:rFonts w:hint="default"/>
                      <w:color w:val="auto"/>
                      <w:highlight w:val="none"/>
                      <w:lang w:val="en-US" w:eastAsia="zh-CN"/>
                    </w:rPr>
                    <w:t>直接向海排放污染物的海洋工程建设项目</w:t>
                  </w:r>
                </w:p>
              </w:tc>
              <w:tc>
                <w:tcPr>
                  <w:tcW w:w="1796" w:type="pct"/>
                  <w:noWrap w:val="0"/>
                  <w:vAlign w:val="center"/>
                </w:tcPr>
                <w:p w14:paraId="74F28173">
                  <w:pPr>
                    <w:pStyle w:val="20"/>
                    <w:bidi w:val="0"/>
                    <w:rPr>
                      <w:rFonts w:hint="default"/>
                      <w:color w:val="auto"/>
                      <w:highlight w:val="none"/>
                      <w:lang w:val="en-US" w:eastAsia="zh-CN"/>
                    </w:rPr>
                  </w:pPr>
                  <w:r>
                    <w:rPr>
                      <w:rFonts w:hint="default"/>
                      <w:color w:val="auto"/>
                      <w:highlight w:val="none"/>
                      <w:lang w:val="en-US" w:eastAsia="zh-CN"/>
                    </w:rPr>
                    <w:t>项目不属于海洋工程建设项目</w:t>
                  </w:r>
                </w:p>
              </w:tc>
            </w:tr>
            <w:tr w14:paraId="2E100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29" w:type="pct"/>
                  <w:noWrap w:val="0"/>
                  <w:vAlign w:val="center"/>
                </w:tcPr>
                <w:p w14:paraId="55A01386">
                  <w:pPr>
                    <w:pStyle w:val="20"/>
                    <w:bidi w:val="0"/>
                    <w:rPr>
                      <w:rFonts w:hint="default"/>
                      <w:color w:val="auto"/>
                      <w:highlight w:val="none"/>
                      <w:lang w:val="en-US" w:eastAsia="zh-CN"/>
                    </w:rPr>
                  </w:pPr>
                  <w:r>
                    <w:rPr>
                      <w:color w:val="auto"/>
                      <w:highlight w:val="none"/>
                    </w:rPr>
                    <w:t>地下水</w:t>
                  </w:r>
                </w:p>
              </w:tc>
              <w:tc>
                <w:tcPr>
                  <w:tcW w:w="2773" w:type="pct"/>
                  <w:noWrap w:val="0"/>
                  <w:vAlign w:val="center"/>
                </w:tcPr>
                <w:p w14:paraId="71E4CE72">
                  <w:pPr>
                    <w:pStyle w:val="20"/>
                    <w:bidi w:val="0"/>
                    <w:jc w:val="both"/>
                    <w:rPr>
                      <w:rFonts w:hint="default"/>
                      <w:color w:val="auto"/>
                      <w:highlight w:val="none"/>
                      <w:lang w:val="en-US" w:eastAsia="zh-CN"/>
                    </w:rPr>
                  </w:pPr>
                  <w:r>
                    <w:rPr>
                      <w:color w:val="auto"/>
                      <w:highlight w:val="none"/>
                    </w:rPr>
                    <w:t>原则上不开展专项评价，涉及集中式饮用水水源和热水、矿泉水、温泉等特殊地下水资源保护区的开展地下水专项评价工作</w:t>
                  </w:r>
                </w:p>
              </w:tc>
              <w:tc>
                <w:tcPr>
                  <w:tcW w:w="1796" w:type="pct"/>
                  <w:noWrap w:val="0"/>
                  <w:vAlign w:val="center"/>
                </w:tcPr>
                <w:p w14:paraId="7F10F1A8">
                  <w:pPr>
                    <w:pStyle w:val="20"/>
                    <w:bidi w:val="0"/>
                    <w:rPr>
                      <w:rFonts w:hint="default"/>
                      <w:color w:val="auto"/>
                      <w:highlight w:val="none"/>
                      <w:lang w:val="en-US" w:eastAsia="zh-CN"/>
                    </w:rPr>
                  </w:pPr>
                  <w:r>
                    <w:rPr>
                      <w:rFonts w:hint="eastAsia"/>
                      <w:color w:val="auto"/>
                      <w:highlight w:val="none"/>
                      <w:lang w:eastAsia="zh-CN"/>
                    </w:rPr>
                    <w:t>扩建项目</w:t>
                  </w:r>
                  <w:r>
                    <w:rPr>
                      <w:color w:val="auto"/>
                      <w:highlight w:val="none"/>
                    </w:rPr>
                    <w:t>不涉及所列地下水资源保护区</w:t>
                  </w:r>
                </w:p>
              </w:tc>
            </w:tr>
            <w:tr w14:paraId="3A907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000" w:type="pct"/>
                  <w:gridSpan w:val="3"/>
                  <w:noWrap w:val="0"/>
                  <w:vAlign w:val="center"/>
                </w:tcPr>
                <w:p w14:paraId="0146FB64">
                  <w:pPr>
                    <w:pStyle w:val="20"/>
                    <w:bidi w:val="0"/>
                    <w:jc w:val="both"/>
                    <w:rPr>
                      <w:rFonts w:hint="default"/>
                      <w:color w:val="auto"/>
                      <w:highlight w:val="none"/>
                      <w:lang w:val="en-US" w:eastAsia="zh-CN"/>
                    </w:rPr>
                  </w:pPr>
                  <w:r>
                    <w:rPr>
                      <w:rFonts w:hint="default"/>
                      <w:color w:val="auto"/>
                      <w:highlight w:val="none"/>
                      <w:lang w:val="en-US" w:eastAsia="zh-CN"/>
                    </w:rPr>
                    <w:t>注：</w:t>
                  </w:r>
                </w:p>
                <w:p w14:paraId="682C95ED">
                  <w:pPr>
                    <w:pStyle w:val="20"/>
                    <w:keepNext w:val="0"/>
                    <w:keepLines w:val="0"/>
                    <w:pageBreakBefore w:val="0"/>
                    <w:widowControl/>
                    <w:kinsoku/>
                    <w:wordWrap/>
                    <w:overflowPunct/>
                    <w:topLinePunct w:val="0"/>
                    <w:autoSpaceDE/>
                    <w:autoSpaceDN/>
                    <w:bidi w:val="0"/>
                    <w:adjustRightInd/>
                    <w:snapToGrid/>
                    <w:ind w:firstLine="420" w:firstLineChars="200"/>
                    <w:jc w:val="both"/>
                    <w:textAlignment w:val="auto"/>
                    <w:rPr>
                      <w:rFonts w:hint="default"/>
                      <w:color w:val="auto"/>
                      <w:highlight w:val="none"/>
                      <w:lang w:val="en-US" w:eastAsia="zh-CN"/>
                    </w:rPr>
                  </w:pPr>
                  <w:r>
                    <w:rPr>
                      <w:rFonts w:hint="default"/>
                      <w:color w:val="auto"/>
                      <w:highlight w:val="none"/>
                      <w:lang w:val="en-US" w:eastAsia="zh-CN"/>
                    </w:rPr>
                    <w:t>1.废气中有毒有害污染物指纳入《有毒有害大气污染物名录》的污染物（不包括无排放标准的污染物）。</w:t>
                  </w:r>
                </w:p>
                <w:p w14:paraId="2A34C924">
                  <w:pPr>
                    <w:pStyle w:val="20"/>
                    <w:keepNext w:val="0"/>
                    <w:keepLines w:val="0"/>
                    <w:pageBreakBefore w:val="0"/>
                    <w:widowControl/>
                    <w:kinsoku/>
                    <w:wordWrap/>
                    <w:overflowPunct/>
                    <w:topLinePunct w:val="0"/>
                    <w:autoSpaceDE/>
                    <w:autoSpaceDN/>
                    <w:bidi w:val="0"/>
                    <w:adjustRightInd/>
                    <w:snapToGrid/>
                    <w:ind w:firstLine="420" w:firstLineChars="200"/>
                    <w:jc w:val="both"/>
                    <w:textAlignment w:val="auto"/>
                    <w:rPr>
                      <w:rFonts w:hint="default"/>
                      <w:color w:val="auto"/>
                      <w:highlight w:val="none"/>
                      <w:lang w:val="en-US" w:eastAsia="zh-CN"/>
                    </w:rPr>
                  </w:pPr>
                  <w:r>
                    <w:rPr>
                      <w:rFonts w:hint="default"/>
                      <w:color w:val="auto"/>
                      <w:highlight w:val="none"/>
                      <w:lang w:val="en-US" w:eastAsia="zh-CN"/>
                    </w:rPr>
                    <w:t>2.环境空气保护目标指自然保护区、风景名胜区、居住区、文化区和农村地区中人群较集中的区域。</w:t>
                  </w:r>
                </w:p>
                <w:p w14:paraId="29917177">
                  <w:pPr>
                    <w:pStyle w:val="20"/>
                    <w:keepNext w:val="0"/>
                    <w:keepLines w:val="0"/>
                    <w:pageBreakBefore w:val="0"/>
                    <w:widowControl/>
                    <w:kinsoku/>
                    <w:wordWrap/>
                    <w:overflowPunct/>
                    <w:topLinePunct w:val="0"/>
                    <w:autoSpaceDE/>
                    <w:autoSpaceDN/>
                    <w:bidi w:val="0"/>
                    <w:adjustRightInd/>
                    <w:snapToGrid/>
                    <w:ind w:firstLine="420" w:firstLineChars="200"/>
                    <w:jc w:val="both"/>
                    <w:textAlignment w:val="auto"/>
                    <w:rPr>
                      <w:color w:val="auto"/>
                      <w:highlight w:val="none"/>
                    </w:rPr>
                  </w:pPr>
                  <w:r>
                    <w:rPr>
                      <w:rFonts w:hint="default"/>
                      <w:color w:val="auto"/>
                      <w:highlight w:val="none"/>
                      <w:lang w:val="en-US" w:eastAsia="zh-CN"/>
                    </w:rPr>
                    <w:t xml:space="preserve">3.临界量及其计算方法可参考《建设项目环境风险评价技术导则》（HJ </w:t>
                  </w:r>
                  <w:r>
                    <w:rPr>
                      <w:rFonts w:hint="eastAsia"/>
                      <w:color w:val="auto"/>
                      <w:highlight w:val="none"/>
                      <w:lang w:val="en-US" w:eastAsia="zh-CN"/>
                    </w:rPr>
                    <w:t>1</w:t>
                  </w:r>
                  <w:r>
                    <w:rPr>
                      <w:rFonts w:hint="default"/>
                      <w:color w:val="auto"/>
                      <w:highlight w:val="none"/>
                      <w:lang w:val="en-US" w:eastAsia="zh-CN"/>
                    </w:rPr>
                    <w:t>69）附录B、附录C。</w:t>
                  </w:r>
                </w:p>
              </w:tc>
            </w:tr>
          </w:tbl>
          <w:p w14:paraId="3294FFCA">
            <w:pPr>
              <w:pStyle w:val="18"/>
              <w:ind w:firstLine="0" w:firstLineChars="0"/>
              <w:jc w:val="center"/>
              <w:rPr>
                <w:color w:val="auto"/>
                <w:highlight w:val="none"/>
              </w:rPr>
            </w:pPr>
          </w:p>
        </w:tc>
      </w:tr>
      <w:tr w14:paraId="5B9CC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3C0A2C98">
            <w:pPr>
              <w:pStyle w:val="24"/>
              <w:spacing w:before="93" w:after="93"/>
              <w:rPr>
                <w:b/>
                <w:bCs/>
                <w:color w:val="auto"/>
                <w:highlight w:val="none"/>
              </w:rPr>
            </w:pPr>
            <w:r>
              <w:rPr>
                <w:rFonts w:hint="eastAsia"/>
                <w:b/>
                <w:bCs/>
                <w:color w:val="auto"/>
                <w:highlight w:val="none"/>
              </w:rPr>
              <w:t>规划情况</w:t>
            </w:r>
          </w:p>
        </w:tc>
        <w:tc>
          <w:tcPr>
            <w:tcW w:w="4617"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0A8E4162">
            <w:pPr>
              <w:pStyle w:val="18"/>
              <w:ind w:firstLine="0" w:firstLineChars="0"/>
              <w:rPr>
                <w:color w:val="auto"/>
                <w:highlight w:val="none"/>
              </w:rPr>
            </w:pPr>
            <w:r>
              <w:rPr>
                <w:rFonts w:hint="eastAsia"/>
                <w:b/>
                <w:bCs/>
                <w:color w:val="auto"/>
                <w:highlight w:val="none"/>
              </w:rPr>
              <w:t>规划名称：</w:t>
            </w:r>
            <w:r>
              <w:rPr>
                <w:color w:val="auto"/>
                <w:highlight w:val="none"/>
              </w:rPr>
              <w:t>《重庆西彭工业园区规划</w:t>
            </w:r>
            <w:r>
              <w:rPr>
                <w:rFonts w:hint="eastAsia"/>
                <w:color w:val="auto"/>
                <w:highlight w:val="none"/>
              </w:rPr>
              <w:t>》（2022年6月）</w:t>
            </w:r>
          </w:p>
        </w:tc>
      </w:tr>
      <w:tr w14:paraId="7446D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6FD47FB7">
            <w:pPr>
              <w:pStyle w:val="24"/>
              <w:spacing w:before="93" w:after="93"/>
              <w:rPr>
                <w:b/>
                <w:bCs/>
                <w:color w:val="auto"/>
                <w:highlight w:val="none"/>
              </w:rPr>
            </w:pPr>
            <w:r>
              <w:rPr>
                <w:rFonts w:hint="eastAsia"/>
                <w:b/>
                <w:bCs/>
                <w:color w:val="auto"/>
                <w:highlight w:val="none"/>
              </w:rPr>
              <w:t>规划环境影响评价情况</w:t>
            </w:r>
          </w:p>
        </w:tc>
        <w:tc>
          <w:tcPr>
            <w:tcW w:w="4617"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28A3AB94">
            <w:pPr>
              <w:pStyle w:val="18"/>
              <w:ind w:firstLine="0" w:firstLineChars="0"/>
              <w:rPr>
                <w:color w:val="auto"/>
                <w:highlight w:val="none"/>
              </w:rPr>
            </w:pPr>
            <w:r>
              <w:rPr>
                <w:rFonts w:hint="eastAsia"/>
                <w:b/>
                <w:bCs/>
                <w:color w:val="auto"/>
                <w:highlight w:val="none"/>
              </w:rPr>
              <w:t>规划环境影响评价文件名称：</w:t>
            </w:r>
            <w:r>
              <w:rPr>
                <w:color w:val="auto"/>
                <w:highlight w:val="none"/>
              </w:rPr>
              <w:t>《重庆西彭工业园区规划环境影响报告书》；</w:t>
            </w:r>
          </w:p>
          <w:p w14:paraId="68D10221">
            <w:pPr>
              <w:pStyle w:val="18"/>
              <w:ind w:firstLine="0" w:firstLineChars="0"/>
              <w:rPr>
                <w:color w:val="auto"/>
                <w:highlight w:val="none"/>
              </w:rPr>
            </w:pPr>
            <w:r>
              <w:rPr>
                <w:rFonts w:hint="eastAsia"/>
                <w:b/>
                <w:bCs/>
                <w:color w:val="auto"/>
                <w:highlight w:val="none"/>
              </w:rPr>
              <w:t>召集审查机关：</w:t>
            </w:r>
            <w:r>
              <w:rPr>
                <w:rFonts w:hint="eastAsia"/>
                <w:color w:val="auto"/>
                <w:highlight w:val="none"/>
              </w:rPr>
              <w:t>重庆市生态环境局；</w:t>
            </w:r>
          </w:p>
          <w:p w14:paraId="25F87879">
            <w:pPr>
              <w:pStyle w:val="18"/>
              <w:ind w:firstLine="0" w:firstLineChars="0"/>
              <w:jc w:val="left"/>
              <w:rPr>
                <w:rFonts w:hint="eastAsia"/>
                <w:color w:val="auto"/>
                <w:highlight w:val="none"/>
              </w:rPr>
            </w:pPr>
            <w:r>
              <w:rPr>
                <w:rFonts w:hint="eastAsia"/>
                <w:b/>
                <w:bCs/>
                <w:color w:val="auto"/>
                <w:highlight w:val="none"/>
              </w:rPr>
              <w:t>审查文件名称：</w:t>
            </w:r>
            <w:r>
              <w:rPr>
                <w:color w:val="auto"/>
                <w:highlight w:val="none"/>
              </w:rPr>
              <w:t>《重庆市生态环境局关于重庆西彭工业园区规划环境影响报告书审查意见的函》</w:t>
            </w:r>
            <w:r>
              <w:rPr>
                <w:rFonts w:hint="eastAsia"/>
                <w:color w:val="auto"/>
                <w:highlight w:val="none"/>
              </w:rPr>
              <w:t>（</w:t>
            </w:r>
            <w:r>
              <w:rPr>
                <w:color w:val="auto"/>
                <w:highlight w:val="none"/>
              </w:rPr>
              <w:t>渝环函〔202</w:t>
            </w:r>
            <w:r>
              <w:rPr>
                <w:rFonts w:hint="eastAsia"/>
                <w:color w:val="auto"/>
                <w:highlight w:val="none"/>
              </w:rPr>
              <w:t>3</w:t>
            </w:r>
            <w:r>
              <w:rPr>
                <w:color w:val="auto"/>
                <w:highlight w:val="none"/>
              </w:rPr>
              <w:t>〕</w:t>
            </w:r>
            <w:r>
              <w:rPr>
                <w:rFonts w:hint="eastAsia"/>
                <w:color w:val="auto"/>
                <w:highlight w:val="none"/>
              </w:rPr>
              <w:t>439</w:t>
            </w:r>
            <w:r>
              <w:rPr>
                <w:color w:val="auto"/>
                <w:highlight w:val="none"/>
              </w:rPr>
              <w:t>号</w:t>
            </w:r>
            <w:r>
              <w:rPr>
                <w:rFonts w:hint="eastAsia"/>
                <w:color w:val="auto"/>
                <w:highlight w:val="none"/>
              </w:rPr>
              <w:t>）。</w:t>
            </w:r>
          </w:p>
          <w:p w14:paraId="7855697A">
            <w:pPr>
              <w:pStyle w:val="18"/>
              <w:rPr>
                <w:rFonts w:hint="eastAsia"/>
                <w:color w:val="auto"/>
                <w:highlight w:val="none"/>
              </w:rPr>
            </w:pPr>
            <w:r>
              <w:rPr>
                <w:rFonts w:hint="eastAsia"/>
                <w:color w:val="auto"/>
                <w:highlight w:val="none"/>
              </w:rPr>
              <w:t>2025年4月21日，西彭工业园区补充编制了《重庆西彭工业园区规划补充环境影响报告书》，并取得了《重庆市生态环境局关于重庆西彭工业园区规划补充环境影响报告书审查意见的函》（渝环函〔2025〕265号），本项目不在该规划补充调整范围内，故本</w:t>
            </w:r>
            <w:r>
              <w:rPr>
                <w:rFonts w:hint="eastAsia"/>
                <w:color w:val="auto"/>
                <w:highlight w:val="none"/>
                <w:lang w:val="en-US" w:eastAsia="zh-CN"/>
              </w:rPr>
              <w:t>报告</w:t>
            </w:r>
            <w:r>
              <w:rPr>
                <w:rFonts w:hint="eastAsia"/>
                <w:color w:val="auto"/>
                <w:highlight w:val="none"/>
              </w:rPr>
              <w:t>仍分析与“重庆西彭工业园区”规划符合性。</w:t>
            </w:r>
          </w:p>
        </w:tc>
      </w:tr>
      <w:tr w14:paraId="7833D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1888BE02">
            <w:pPr>
              <w:pStyle w:val="24"/>
              <w:spacing w:before="93" w:after="93"/>
              <w:rPr>
                <w:b/>
                <w:bCs/>
                <w:color w:val="auto"/>
                <w:highlight w:val="none"/>
              </w:rPr>
            </w:pPr>
            <w:r>
              <w:rPr>
                <w:rFonts w:hint="eastAsia"/>
                <w:b/>
                <w:bCs/>
                <w:color w:val="auto"/>
                <w:highlight w:val="none"/>
              </w:rPr>
              <w:t>规划及规</w:t>
            </w:r>
            <w:r>
              <w:rPr>
                <w:rFonts w:hint="eastAsia"/>
                <w:b/>
                <w:bCs/>
                <w:color w:val="auto"/>
                <w:sz w:val="28"/>
                <w:szCs w:val="28"/>
                <w:highlight w:val="none"/>
              </w:rPr>
              <w:t>划环境影响评价符合性分</w:t>
            </w:r>
            <w:r>
              <w:rPr>
                <w:rFonts w:hint="eastAsia"/>
                <w:b/>
                <w:bCs/>
                <w:color w:val="auto"/>
                <w:highlight w:val="none"/>
              </w:rPr>
              <w:t>析</w:t>
            </w:r>
          </w:p>
        </w:tc>
        <w:tc>
          <w:tcPr>
            <w:tcW w:w="4617"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17DD467F">
            <w:pPr>
              <w:pStyle w:val="2"/>
              <w:widowControl/>
              <w:spacing w:before="156"/>
              <w:rPr>
                <w:color w:val="auto"/>
                <w:highlight w:val="none"/>
              </w:rPr>
            </w:pPr>
            <w:r>
              <w:rPr>
                <w:rFonts w:hint="eastAsia" w:cs="宋体"/>
                <w:color w:val="auto"/>
                <w:highlight w:val="none"/>
              </w:rPr>
              <w:t>规划符合性分析</w:t>
            </w:r>
          </w:p>
          <w:p w14:paraId="4D9BB53E">
            <w:pPr>
              <w:pStyle w:val="18"/>
              <w:rPr>
                <w:color w:val="auto"/>
                <w:highlight w:val="none"/>
              </w:rPr>
            </w:pPr>
            <w:r>
              <w:rPr>
                <w:rFonts w:hint="eastAsia"/>
                <w:color w:val="auto"/>
                <w:highlight w:val="none"/>
              </w:rPr>
              <w:t>重庆西彭工业园区是重庆市人民政府2003年以《重庆市人民政府关于同意黔江区等10个区县设立特色工业园区和拓展区的批复》（渝府</w:t>
            </w:r>
            <w:r>
              <w:rPr>
                <w:color w:val="auto"/>
                <w:highlight w:val="none"/>
              </w:rPr>
              <w:t>〔20</w:t>
            </w:r>
            <w:r>
              <w:rPr>
                <w:rFonts w:hint="eastAsia"/>
                <w:color w:val="auto"/>
                <w:highlight w:val="none"/>
              </w:rPr>
              <w:t>03</w:t>
            </w:r>
            <w:r>
              <w:rPr>
                <w:color w:val="auto"/>
                <w:highlight w:val="none"/>
              </w:rPr>
              <w:t>〕</w:t>
            </w:r>
            <w:r>
              <w:rPr>
                <w:rFonts w:hint="eastAsia"/>
                <w:color w:val="auto"/>
                <w:highlight w:val="none"/>
              </w:rPr>
              <w:t>169号）批复设立的市级特色工业园区。</w:t>
            </w:r>
          </w:p>
          <w:p w14:paraId="1DB6B0CC">
            <w:pPr>
              <w:pStyle w:val="18"/>
              <w:rPr>
                <w:color w:val="auto"/>
                <w:highlight w:val="none"/>
              </w:rPr>
            </w:pPr>
            <w:r>
              <w:rPr>
                <w:rFonts w:hint="eastAsia"/>
                <w:color w:val="auto"/>
                <w:highlight w:val="none"/>
              </w:rPr>
              <w:t>根据《重庆市人民政府关于确认璧山高新区等15个产业园区国土空间开发利用范围的批复》（渝府〔2022〕10号），重庆西彭工业园区管理委员会组织编制了《重庆西彭工业园区规划》。重庆西彭工业园区最新规划面积为4267.24公顷，包含西彭组团、陶家组团和铜罐驿组团。其中，西彭组团2616.89公顷、陶家组团1420.22公顷、铜罐驿组团230.13公顷。</w:t>
            </w:r>
          </w:p>
          <w:p w14:paraId="71D89116">
            <w:pPr>
              <w:pStyle w:val="3"/>
              <w:ind w:firstLine="482"/>
              <w:rPr>
                <w:color w:val="auto"/>
                <w:highlight w:val="none"/>
              </w:rPr>
            </w:pPr>
            <w:r>
              <w:rPr>
                <w:rFonts w:hint="eastAsia"/>
                <w:color w:val="auto"/>
                <w:highlight w:val="none"/>
              </w:rPr>
              <w:t>1）功能定位</w:t>
            </w:r>
          </w:p>
          <w:p w14:paraId="5444B9D2">
            <w:pPr>
              <w:pStyle w:val="18"/>
              <w:rPr>
                <w:color w:val="auto"/>
                <w:highlight w:val="none"/>
              </w:rPr>
            </w:pPr>
            <w:r>
              <w:rPr>
                <w:rFonts w:hint="eastAsia"/>
                <w:color w:val="auto"/>
                <w:highlight w:val="none"/>
              </w:rPr>
              <w:t>西彭工业园区是九龙坡“一江两山·三轴四片”中的重要组成部分；同时，规划区是九龙坡区“智造产业片区”的重要组成部分，是以科技创新和扩大开放双轮驱动，建设面向</w:t>
            </w:r>
            <w:r>
              <w:rPr>
                <w:rFonts w:hint="eastAsia"/>
                <w:color w:val="auto"/>
                <w:highlight w:val="none"/>
                <w:lang w:eastAsia="zh-CN"/>
              </w:rPr>
              <w:t>“一带一路”</w:t>
            </w:r>
            <w:r>
              <w:rPr>
                <w:rFonts w:hint="eastAsia"/>
                <w:color w:val="auto"/>
                <w:highlight w:val="none"/>
              </w:rPr>
              <w:t>和成渝地区双城经济圈的智慧产业片区，借力中铝高端制造项目的落地，统筹布局智慧产业，打造“轻量化材料应用之都”，新建陶家城市组团，打造科学城南部科创策源地，优化提升黄磏港“铁-公-水”联运的对外物流口岸。</w:t>
            </w:r>
          </w:p>
          <w:p w14:paraId="1FE63541">
            <w:pPr>
              <w:pStyle w:val="3"/>
              <w:ind w:firstLine="482"/>
              <w:rPr>
                <w:color w:val="auto"/>
                <w:highlight w:val="none"/>
              </w:rPr>
            </w:pPr>
            <w:r>
              <w:rPr>
                <w:rFonts w:hint="eastAsia"/>
                <w:color w:val="auto"/>
                <w:highlight w:val="none"/>
              </w:rPr>
              <w:t>2）主导产业</w:t>
            </w:r>
          </w:p>
          <w:p w14:paraId="16E6BB64">
            <w:pPr>
              <w:pStyle w:val="18"/>
              <w:bidi w:val="0"/>
              <w:rPr>
                <w:color w:val="auto"/>
                <w:highlight w:val="none"/>
              </w:rPr>
            </w:pPr>
            <w:r>
              <w:rPr>
                <w:rFonts w:hint="eastAsia"/>
                <w:color w:val="auto"/>
                <w:highlight w:val="none"/>
              </w:rPr>
              <w:t>西彭组团主导产业为装备制造、新材料、仓储物流。装备制造重点发展高端智能装备及机器人、航空航天装备、轨道交通装备等；新材料重点发展先进有色合金材料、气凝胶等其他新材料等。陶家组团主导产业为新能源、装备制造、新材料。新能源重点发展氢燃料电池商用整车、氢燃料电池核心关键零部件等；装备制造重点发展通机及农机；新材料重点发展先进有色合金材料。铜罐驿组团未来主要发展生活性服务业，工业总体维持现状规模。西彭工业园区范围内禁止新引入木质家具制造、报废汽车拆解，玻璃制造（除光伏玻璃外）项目。</w:t>
            </w:r>
          </w:p>
          <w:p w14:paraId="1703A9BD">
            <w:pPr>
              <w:pStyle w:val="18"/>
              <w:bidi w:val="0"/>
              <w:rPr>
                <w:color w:val="auto"/>
                <w:highlight w:val="none"/>
              </w:rPr>
            </w:pPr>
            <w:r>
              <w:rPr>
                <w:rFonts w:hint="eastAsia"/>
                <w:color w:val="auto"/>
                <w:highlight w:val="none"/>
                <w:lang w:val="en-US" w:eastAsia="zh-CN"/>
              </w:rPr>
              <w:t>本项目为塑料制品业，生产塑料汽车零部件，位于西彭组团，与园区主导产业不冲突</w:t>
            </w:r>
            <w:r>
              <w:rPr>
                <w:rFonts w:hint="eastAsia"/>
                <w:color w:val="auto"/>
                <w:highlight w:val="none"/>
              </w:rPr>
              <w:t>，符合园区产业定位。</w:t>
            </w:r>
          </w:p>
          <w:p w14:paraId="2D7D211F">
            <w:pPr>
              <w:pStyle w:val="2"/>
              <w:bidi w:val="0"/>
              <w:rPr>
                <w:rFonts w:hint="eastAsia"/>
                <w:color w:val="auto"/>
                <w:highlight w:val="none"/>
              </w:rPr>
            </w:pPr>
            <w:r>
              <w:rPr>
                <w:rFonts w:hint="eastAsia"/>
                <w:color w:val="auto"/>
                <w:highlight w:val="none"/>
              </w:rPr>
              <w:t>规划环境影响评价符合性分析</w:t>
            </w:r>
          </w:p>
          <w:p w14:paraId="6E4DDC7F">
            <w:pPr>
              <w:pStyle w:val="18"/>
              <w:rPr>
                <w:rFonts w:hint="eastAsia"/>
                <w:color w:val="auto"/>
                <w:highlight w:val="none"/>
              </w:rPr>
            </w:pPr>
            <w:r>
              <w:rPr>
                <w:rFonts w:hint="eastAsia"/>
                <w:color w:val="auto"/>
                <w:highlight w:val="none"/>
              </w:rPr>
              <w:t>根据</w:t>
            </w:r>
            <w:r>
              <w:rPr>
                <w:color w:val="auto"/>
                <w:highlight w:val="none"/>
              </w:rPr>
              <w:t>《重庆市生态环境局关于重庆西彭工业园区规划环境影响报告书审查意见的函》</w:t>
            </w:r>
            <w:r>
              <w:rPr>
                <w:rFonts w:hint="eastAsia"/>
                <w:color w:val="auto"/>
                <w:highlight w:val="none"/>
              </w:rPr>
              <w:t>（</w:t>
            </w:r>
            <w:r>
              <w:rPr>
                <w:color w:val="auto"/>
                <w:highlight w:val="none"/>
              </w:rPr>
              <w:t>渝环函〔202</w:t>
            </w:r>
            <w:r>
              <w:rPr>
                <w:rFonts w:hint="eastAsia"/>
                <w:color w:val="auto"/>
                <w:highlight w:val="none"/>
              </w:rPr>
              <w:t>3</w:t>
            </w:r>
            <w:r>
              <w:rPr>
                <w:color w:val="auto"/>
                <w:highlight w:val="none"/>
              </w:rPr>
              <w:t>〕</w:t>
            </w:r>
            <w:r>
              <w:rPr>
                <w:rFonts w:hint="eastAsia"/>
                <w:color w:val="auto"/>
                <w:highlight w:val="none"/>
              </w:rPr>
              <w:t>439</w:t>
            </w:r>
            <w:r>
              <w:rPr>
                <w:color w:val="auto"/>
                <w:highlight w:val="none"/>
              </w:rPr>
              <w:t>号</w:t>
            </w:r>
            <w:r>
              <w:rPr>
                <w:rFonts w:hint="eastAsia"/>
                <w:color w:val="auto"/>
                <w:highlight w:val="none"/>
              </w:rPr>
              <w:t>），本项目与生态环境准入清单符合性见</w:t>
            </w:r>
            <w:r>
              <w:rPr>
                <w:rFonts w:hint="eastAsia"/>
                <w:color w:val="auto"/>
                <w:highlight w:val="none"/>
              </w:rPr>
              <w:fldChar w:fldCharType="begin"/>
            </w:r>
            <w:r>
              <w:rPr>
                <w:rFonts w:hint="eastAsia"/>
                <w:color w:val="auto"/>
                <w:highlight w:val="none"/>
              </w:rPr>
              <w:instrText xml:space="preserve"> REF _Ref17133 \h </w:instrText>
            </w:r>
            <w:r>
              <w:rPr>
                <w:rFonts w:hint="eastAsia"/>
                <w:color w:val="auto"/>
                <w:highlight w:val="none"/>
              </w:rPr>
              <w:fldChar w:fldCharType="separate"/>
            </w:r>
            <w:r>
              <w:rPr>
                <w:color w:val="auto"/>
                <w:highlight w:val="none"/>
              </w:rPr>
              <w:t>表1-2</w:t>
            </w:r>
            <w:r>
              <w:rPr>
                <w:rFonts w:hint="eastAsia"/>
                <w:color w:val="auto"/>
                <w:highlight w:val="none"/>
              </w:rPr>
              <w:fldChar w:fldCharType="end"/>
            </w:r>
            <w:r>
              <w:rPr>
                <w:rFonts w:hint="eastAsia"/>
                <w:color w:val="auto"/>
                <w:highlight w:val="none"/>
              </w:rPr>
              <w:t>，与规划环评审查意见函符合性见</w:t>
            </w:r>
            <w:r>
              <w:rPr>
                <w:rFonts w:hint="eastAsia"/>
                <w:color w:val="auto"/>
                <w:highlight w:val="none"/>
              </w:rPr>
              <w:fldChar w:fldCharType="begin"/>
            </w:r>
            <w:r>
              <w:rPr>
                <w:rFonts w:hint="eastAsia"/>
                <w:color w:val="auto"/>
                <w:highlight w:val="none"/>
              </w:rPr>
              <w:instrText xml:space="preserve"> REF _Ref17178 \h </w:instrText>
            </w:r>
            <w:r>
              <w:rPr>
                <w:rFonts w:hint="eastAsia"/>
                <w:color w:val="auto"/>
                <w:highlight w:val="none"/>
              </w:rPr>
              <w:fldChar w:fldCharType="separate"/>
            </w:r>
            <w:r>
              <w:rPr>
                <w:color w:val="auto"/>
                <w:highlight w:val="none"/>
              </w:rPr>
              <w:t>表1-3</w:t>
            </w:r>
            <w:r>
              <w:rPr>
                <w:rFonts w:hint="eastAsia"/>
                <w:color w:val="auto"/>
                <w:highlight w:val="none"/>
              </w:rPr>
              <w:fldChar w:fldCharType="end"/>
            </w:r>
            <w:r>
              <w:rPr>
                <w:rFonts w:hint="eastAsia"/>
                <w:color w:val="auto"/>
                <w:highlight w:val="none"/>
              </w:rPr>
              <w:t>。</w:t>
            </w:r>
          </w:p>
          <w:p w14:paraId="3543AF83">
            <w:pPr>
              <w:pStyle w:val="19"/>
              <w:spacing w:before="156"/>
              <w:rPr>
                <w:color w:val="auto"/>
                <w:highlight w:val="none"/>
              </w:rPr>
            </w:pPr>
            <w:bookmarkStart w:id="1" w:name="_Ref17133"/>
            <w:r>
              <w:rPr>
                <w:color w:val="auto"/>
                <w:highlight w:val="none"/>
              </w:rPr>
              <w:t>表1-</w:t>
            </w:r>
            <w:r>
              <w:rPr>
                <w:color w:val="auto"/>
                <w:highlight w:val="none"/>
              </w:rPr>
              <w:fldChar w:fldCharType="begin"/>
            </w:r>
            <w:r>
              <w:rPr>
                <w:color w:val="auto"/>
                <w:highlight w:val="none"/>
              </w:rPr>
              <w:instrText xml:space="preserve"> SEQ 表1- \* ARABIC </w:instrText>
            </w:r>
            <w:r>
              <w:rPr>
                <w:color w:val="auto"/>
                <w:highlight w:val="none"/>
              </w:rPr>
              <w:fldChar w:fldCharType="separate"/>
            </w:r>
            <w:r>
              <w:rPr>
                <w:color w:val="auto"/>
                <w:highlight w:val="none"/>
              </w:rPr>
              <w:t>2</w:t>
            </w:r>
            <w:r>
              <w:rPr>
                <w:color w:val="auto"/>
                <w:highlight w:val="none"/>
              </w:rPr>
              <w:fldChar w:fldCharType="end"/>
            </w:r>
            <w:bookmarkEnd w:id="1"/>
            <w:r>
              <w:rPr>
                <w:rFonts w:hint="eastAsia"/>
                <w:color w:val="auto"/>
                <w:highlight w:val="none"/>
              </w:rPr>
              <w:t xml:space="preserve">  </w:t>
            </w:r>
            <w:r>
              <w:rPr>
                <w:rFonts w:hint="eastAsia"/>
                <w:color w:val="auto"/>
                <w:highlight w:val="none"/>
                <w:lang w:eastAsia="zh-CN"/>
              </w:rPr>
              <w:t>扩建项目</w:t>
            </w:r>
            <w:r>
              <w:rPr>
                <w:rFonts w:hint="eastAsia"/>
                <w:color w:val="auto"/>
                <w:highlight w:val="none"/>
              </w:rPr>
              <w:t>与规划环评环境准入负面清单符合性一览表</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329"/>
              <w:gridCol w:w="553"/>
              <w:gridCol w:w="4118"/>
              <w:gridCol w:w="2589"/>
              <w:gridCol w:w="681"/>
            </w:tblGrid>
            <w:tr w14:paraId="60E3E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99" w:type="pct"/>
                  <w:vAlign w:val="center"/>
                </w:tcPr>
                <w:p w14:paraId="22AF3C90">
                  <w:pPr>
                    <w:pStyle w:val="20"/>
                    <w:bidi w:val="0"/>
                    <w:jc w:val="center"/>
                    <w:rPr>
                      <w:rFonts w:hint="eastAsia"/>
                      <w:b/>
                      <w:bCs/>
                      <w:color w:val="auto"/>
                      <w:highlight w:val="none"/>
                    </w:rPr>
                  </w:pPr>
                  <w:r>
                    <w:rPr>
                      <w:rFonts w:hint="eastAsia"/>
                      <w:b/>
                      <w:bCs/>
                      <w:color w:val="auto"/>
                      <w:highlight w:val="none"/>
                    </w:rPr>
                    <w:t>序号</w:t>
                  </w:r>
                </w:p>
              </w:tc>
              <w:tc>
                <w:tcPr>
                  <w:tcW w:w="334" w:type="pct"/>
                  <w:vAlign w:val="center"/>
                </w:tcPr>
                <w:p w14:paraId="491110CA">
                  <w:pPr>
                    <w:pStyle w:val="20"/>
                    <w:bidi w:val="0"/>
                    <w:jc w:val="center"/>
                    <w:rPr>
                      <w:rFonts w:hint="eastAsia"/>
                      <w:b/>
                      <w:bCs/>
                      <w:color w:val="auto"/>
                      <w:highlight w:val="none"/>
                    </w:rPr>
                  </w:pPr>
                  <w:r>
                    <w:rPr>
                      <w:rFonts w:hint="eastAsia"/>
                      <w:b/>
                      <w:bCs/>
                      <w:color w:val="auto"/>
                      <w:highlight w:val="none"/>
                    </w:rPr>
                    <w:t>分类</w:t>
                  </w:r>
                </w:p>
              </w:tc>
              <w:tc>
                <w:tcPr>
                  <w:tcW w:w="2489" w:type="pct"/>
                  <w:vAlign w:val="center"/>
                </w:tcPr>
                <w:p w14:paraId="5C741CC7">
                  <w:pPr>
                    <w:pStyle w:val="20"/>
                    <w:bidi w:val="0"/>
                    <w:jc w:val="center"/>
                    <w:rPr>
                      <w:rFonts w:hint="eastAsia"/>
                      <w:b/>
                      <w:bCs/>
                      <w:color w:val="auto"/>
                      <w:highlight w:val="none"/>
                    </w:rPr>
                  </w:pPr>
                  <w:r>
                    <w:rPr>
                      <w:rFonts w:hint="eastAsia"/>
                      <w:b/>
                      <w:bCs/>
                      <w:color w:val="auto"/>
                      <w:highlight w:val="none"/>
                    </w:rPr>
                    <w:t>环境准入要求</w:t>
                  </w:r>
                </w:p>
              </w:tc>
              <w:tc>
                <w:tcPr>
                  <w:tcW w:w="1565" w:type="pct"/>
                  <w:vAlign w:val="center"/>
                </w:tcPr>
                <w:p w14:paraId="3FD7991E">
                  <w:pPr>
                    <w:pStyle w:val="20"/>
                    <w:bidi w:val="0"/>
                    <w:jc w:val="center"/>
                    <w:rPr>
                      <w:rFonts w:hint="eastAsia"/>
                      <w:b/>
                      <w:bCs/>
                      <w:color w:val="auto"/>
                      <w:highlight w:val="none"/>
                    </w:rPr>
                  </w:pPr>
                  <w:r>
                    <w:rPr>
                      <w:rFonts w:hint="eastAsia"/>
                      <w:b/>
                      <w:bCs/>
                      <w:color w:val="auto"/>
                      <w:highlight w:val="none"/>
                    </w:rPr>
                    <w:t>本项目</w:t>
                  </w:r>
                </w:p>
              </w:tc>
              <w:tc>
                <w:tcPr>
                  <w:tcW w:w="411" w:type="pct"/>
                  <w:vAlign w:val="center"/>
                </w:tcPr>
                <w:p w14:paraId="1857C3BC">
                  <w:pPr>
                    <w:pStyle w:val="20"/>
                    <w:bidi w:val="0"/>
                    <w:jc w:val="center"/>
                    <w:rPr>
                      <w:rFonts w:hint="eastAsia"/>
                      <w:b/>
                      <w:bCs/>
                      <w:color w:val="auto"/>
                      <w:highlight w:val="none"/>
                    </w:rPr>
                  </w:pPr>
                  <w:r>
                    <w:rPr>
                      <w:rFonts w:hint="eastAsia"/>
                      <w:b/>
                      <w:bCs/>
                      <w:color w:val="auto"/>
                      <w:highlight w:val="none"/>
                    </w:rPr>
                    <w:t>符合性</w:t>
                  </w:r>
                </w:p>
              </w:tc>
            </w:tr>
            <w:tr w14:paraId="35A21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9" w:type="pct"/>
                  <w:vAlign w:val="center"/>
                </w:tcPr>
                <w:p w14:paraId="54FF367B">
                  <w:pPr>
                    <w:pStyle w:val="20"/>
                    <w:bidi w:val="0"/>
                    <w:jc w:val="center"/>
                    <w:rPr>
                      <w:rFonts w:hint="eastAsia"/>
                      <w:color w:val="auto"/>
                      <w:highlight w:val="none"/>
                    </w:rPr>
                  </w:pPr>
                  <w:r>
                    <w:rPr>
                      <w:rFonts w:hint="eastAsia"/>
                      <w:color w:val="auto"/>
                      <w:highlight w:val="none"/>
                    </w:rPr>
                    <w:t>1</w:t>
                  </w:r>
                </w:p>
              </w:tc>
              <w:tc>
                <w:tcPr>
                  <w:tcW w:w="334" w:type="pct"/>
                  <w:vMerge w:val="restart"/>
                  <w:vAlign w:val="center"/>
                </w:tcPr>
                <w:p w14:paraId="7501B1A3">
                  <w:pPr>
                    <w:pStyle w:val="20"/>
                    <w:bidi w:val="0"/>
                    <w:jc w:val="center"/>
                    <w:rPr>
                      <w:rFonts w:hint="eastAsia"/>
                      <w:color w:val="auto"/>
                      <w:highlight w:val="none"/>
                    </w:rPr>
                  </w:pPr>
                  <w:r>
                    <w:rPr>
                      <w:rFonts w:hint="eastAsia"/>
                      <w:color w:val="auto"/>
                      <w:highlight w:val="none"/>
                    </w:rPr>
                    <w:t>空间布局约束</w:t>
                  </w:r>
                </w:p>
              </w:tc>
              <w:tc>
                <w:tcPr>
                  <w:tcW w:w="2489" w:type="pct"/>
                  <w:vAlign w:val="center"/>
                </w:tcPr>
                <w:p w14:paraId="29E7958C">
                  <w:pPr>
                    <w:pStyle w:val="20"/>
                    <w:bidi w:val="0"/>
                    <w:jc w:val="both"/>
                    <w:rPr>
                      <w:rFonts w:hint="eastAsia"/>
                      <w:color w:val="auto"/>
                      <w:highlight w:val="none"/>
                    </w:rPr>
                  </w:pPr>
                  <w:r>
                    <w:rPr>
                      <w:rFonts w:hint="eastAsia"/>
                      <w:color w:val="auto"/>
                      <w:highlight w:val="none"/>
                    </w:rPr>
                    <w:t>西彭组团东北侧科研用地兼一类工业用地（C61-1/01、C61-4/01、C61-5/01、C62-1/01、C62-3/01、C63-1/01、C63-2/01）后续引入项目时应考虑以污染较轻的项目为主，禁止新建涉及喷漆、酸洗、熔炼等异味较大的生产工艺项目。</w:t>
                  </w:r>
                </w:p>
              </w:tc>
              <w:tc>
                <w:tcPr>
                  <w:tcW w:w="1565" w:type="pct"/>
                  <w:vMerge w:val="restart"/>
                  <w:vAlign w:val="center"/>
                </w:tcPr>
                <w:p w14:paraId="6C3DF875">
                  <w:pPr>
                    <w:pStyle w:val="20"/>
                    <w:bidi w:val="0"/>
                    <w:jc w:val="both"/>
                    <w:rPr>
                      <w:rFonts w:hint="eastAsia"/>
                      <w:color w:val="auto"/>
                      <w:highlight w:val="none"/>
                    </w:rPr>
                  </w:pPr>
                  <w:r>
                    <w:rPr>
                      <w:rFonts w:hint="eastAsia"/>
                      <w:color w:val="auto"/>
                      <w:highlight w:val="none"/>
                    </w:rPr>
                    <w:t>本项目位于西彭工业园区</w:t>
                  </w:r>
                  <w:r>
                    <w:rPr>
                      <w:rFonts w:hint="eastAsia"/>
                      <w:color w:val="auto"/>
                      <w:highlight w:val="none"/>
                      <w:lang w:val="en-US" w:eastAsia="zh-CN"/>
                    </w:rPr>
                    <w:t>西彭</w:t>
                  </w:r>
                  <w:r>
                    <w:rPr>
                      <w:rFonts w:hint="eastAsia"/>
                      <w:color w:val="auto"/>
                      <w:highlight w:val="none"/>
                    </w:rPr>
                    <w:t>组团</w:t>
                  </w:r>
                  <w:r>
                    <w:rPr>
                      <w:rFonts w:hint="eastAsia"/>
                      <w:color w:val="auto"/>
                      <w:highlight w:val="none"/>
                      <w:lang w:eastAsia="zh-CN"/>
                    </w:rPr>
                    <w:t>，</w:t>
                  </w:r>
                  <w:r>
                    <w:rPr>
                      <w:rFonts w:hint="eastAsia"/>
                      <w:color w:val="auto"/>
                      <w:highlight w:val="none"/>
                      <w:lang w:val="en-US" w:eastAsia="zh-CN"/>
                    </w:rPr>
                    <w:t>为A9/03地块</w:t>
                  </w:r>
                  <w:r>
                    <w:rPr>
                      <w:rFonts w:hint="eastAsia"/>
                      <w:color w:val="auto"/>
                      <w:highlight w:val="none"/>
                    </w:rPr>
                    <w:t>。不在文件所列地块范围内。</w:t>
                  </w:r>
                </w:p>
              </w:tc>
              <w:tc>
                <w:tcPr>
                  <w:tcW w:w="411" w:type="pct"/>
                  <w:vAlign w:val="center"/>
                </w:tcPr>
                <w:p w14:paraId="5558D794">
                  <w:pPr>
                    <w:pStyle w:val="20"/>
                    <w:bidi w:val="0"/>
                    <w:jc w:val="center"/>
                    <w:rPr>
                      <w:rFonts w:hint="eastAsia"/>
                      <w:color w:val="auto"/>
                      <w:highlight w:val="none"/>
                    </w:rPr>
                  </w:pPr>
                  <w:r>
                    <w:rPr>
                      <w:rFonts w:hint="eastAsia"/>
                      <w:color w:val="auto"/>
                      <w:highlight w:val="none"/>
                    </w:rPr>
                    <w:t>符合</w:t>
                  </w:r>
                </w:p>
              </w:tc>
            </w:tr>
            <w:tr w14:paraId="27C22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9" w:type="pct"/>
                  <w:vAlign w:val="center"/>
                </w:tcPr>
                <w:p w14:paraId="33B4AB03">
                  <w:pPr>
                    <w:pStyle w:val="20"/>
                    <w:bidi w:val="0"/>
                    <w:jc w:val="center"/>
                    <w:rPr>
                      <w:rFonts w:hint="eastAsia"/>
                      <w:color w:val="auto"/>
                      <w:highlight w:val="none"/>
                    </w:rPr>
                  </w:pPr>
                  <w:r>
                    <w:rPr>
                      <w:rFonts w:hint="eastAsia"/>
                      <w:color w:val="auto"/>
                      <w:highlight w:val="none"/>
                    </w:rPr>
                    <w:t>2</w:t>
                  </w:r>
                </w:p>
              </w:tc>
              <w:tc>
                <w:tcPr>
                  <w:tcW w:w="334" w:type="pct"/>
                  <w:vMerge w:val="continue"/>
                  <w:vAlign w:val="center"/>
                </w:tcPr>
                <w:p w14:paraId="4CDE2006">
                  <w:pPr>
                    <w:pStyle w:val="20"/>
                    <w:bidi w:val="0"/>
                    <w:jc w:val="center"/>
                    <w:rPr>
                      <w:rFonts w:hint="eastAsia"/>
                      <w:color w:val="auto"/>
                      <w:highlight w:val="none"/>
                    </w:rPr>
                  </w:pPr>
                </w:p>
              </w:tc>
              <w:tc>
                <w:tcPr>
                  <w:tcW w:w="2489" w:type="pct"/>
                  <w:vAlign w:val="center"/>
                </w:tcPr>
                <w:p w14:paraId="05D6F788">
                  <w:pPr>
                    <w:pStyle w:val="20"/>
                    <w:bidi w:val="0"/>
                    <w:jc w:val="both"/>
                    <w:rPr>
                      <w:rFonts w:hint="eastAsia"/>
                      <w:color w:val="auto"/>
                      <w:highlight w:val="none"/>
                    </w:rPr>
                  </w:pPr>
                  <w:r>
                    <w:rPr>
                      <w:rFonts w:hint="eastAsia"/>
                      <w:color w:val="auto"/>
                      <w:highlight w:val="none"/>
                    </w:rPr>
                    <w:t>西彭组团临近居住的A31/04、A33/04、A34/04、A30-1-1/06地块在新引入项目时应引入不涉及喷漆、酸洗、熔炼、铸造等异味较大的项目。</w:t>
                  </w:r>
                </w:p>
              </w:tc>
              <w:tc>
                <w:tcPr>
                  <w:tcW w:w="1565" w:type="pct"/>
                  <w:vMerge w:val="continue"/>
                  <w:vAlign w:val="center"/>
                </w:tcPr>
                <w:p w14:paraId="292690AF">
                  <w:pPr>
                    <w:pStyle w:val="20"/>
                    <w:bidi w:val="0"/>
                    <w:jc w:val="both"/>
                    <w:rPr>
                      <w:rFonts w:hint="eastAsia"/>
                      <w:color w:val="auto"/>
                      <w:highlight w:val="none"/>
                    </w:rPr>
                  </w:pPr>
                </w:p>
              </w:tc>
              <w:tc>
                <w:tcPr>
                  <w:tcW w:w="411" w:type="pct"/>
                  <w:vAlign w:val="center"/>
                </w:tcPr>
                <w:p w14:paraId="363A44E3">
                  <w:pPr>
                    <w:pStyle w:val="20"/>
                    <w:bidi w:val="0"/>
                    <w:jc w:val="center"/>
                    <w:rPr>
                      <w:rFonts w:hint="eastAsia"/>
                      <w:color w:val="auto"/>
                      <w:highlight w:val="none"/>
                    </w:rPr>
                  </w:pPr>
                  <w:r>
                    <w:rPr>
                      <w:rFonts w:hint="eastAsia"/>
                      <w:color w:val="auto"/>
                      <w:highlight w:val="none"/>
                    </w:rPr>
                    <w:t>符合</w:t>
                  </w:r>
                </w:p>
              </w:tc>
            </w:tr>
            <w:tr w14:paraId="2A4F8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9" w:type="pct"/>
                  <w:vAlign w:val="center"/>
                </w:tcPr>
                <w:p w14:paraId="5E1625C7">
                  <w:pPr>
                    <w:pStyle w:val="20"/>
                    <w:bidi w:val="0"/>
                    <w:jc w:val="center"/>
                    <w:rPr>
                      <w:rFonts w:hint="eastAsia"/>
                      <w:color w:val="auto"/>
                      <w:highlight w:val="none"/>
                    </w:rPr>
                  </w:pPr>
                  <w:r>
                    <w:rPr>
                      <w:rFonts w:hint="eastAsia"/>
                      <w:color w:val="auto"/>
                      <w:highlight w:val="none"/>
                    </w:rPr>
                    <w:t>3</w:t>
                  </w:r>
                </w:p>
              </w:tc>
              <w:tc>
                <w:tcPr>
                  <w:tcW w:w="334" w:type="pct"/>
                  <w:vMerge w:val="continue"/>
                  <w:vAlign w:val="center"/>
                </w:tcPr>
                <w:p w14:paraId="3AD8F56E">
                  <w:pPr>
                    <w:pStyle w:val="20"/>
                    <w:bidi w:val="0"/>
                    <w:jc w:val="center"/>
                    <w:rPr>
                      <w:rFonts w:hint="eastAsia"/>
                      <w:color w:val="auto"/>
                      <w:highlight w:val="none"/>
                    </w:rPr>
                  </w:pPr>
                </w:p>
              </w:tc>
              <w:tc>
                <w:tcPr>
                  <w:tcW w:w="2489" w:type="pct"/>
                  <w:vAlign w:val="center"/>
                </w:tcPr>
                <w:p w14:paraId="725DD301">
                  <w:pPr>
                    <w:pStyle w:val="20"/>
                    <w:bidi w:val="0"/>
                    <w:jc w:val="both"/>
                    <w:rPr>
                      <w:rFonts w:hint="eastAsia"/>
                      <w:color w:val="auto"/>
                      <w:highlight w:val="none"/>
                    </w:rPr>
                  </w:pPr>
                  <w:r>
                    <w:rPr>
                      <w:rFonts w:hint="eastAsia"/>
                      <w:color w:val="auto"/>
                      <w:highlight w:val="none"/>
                    </w:rPr>
                    <w:t>陶家组团规划的工业用地（O80-04/01、O80-01/04、L1-02-2/03、L1-02-1/03、L4-03/01、L9-01/02、L27-02-1/04、J41-9/01、J41-10/01）禁止引入涉及喷漆、熔炼、铸造等异味较大的生产工艺项目。</w:t>
                  </w:r>
                </w:p>
              </w:tc>
              <w:tc>
                <w:tcPr>
                  <w:tcW w:w="1565" w:type="pct"/>
                  <w:vMerge w:val="continue"/>
                  <w:vAlign w:val="center"/>
                </w:tcPr>
                <w:p w14:paraId="6D74AC9A">
                  <w:pPr>
                    <w:pStyle w:val="20"/>
                    <w:bidi w:val="0"/>
                    <w:jc w:val="both"/>
                    <w:rPr>
                      <w:rFonts w:hint="eastAsia"/>
                      <w:color w:val="auto"/>
                      <w:highlight w:val="none"/>
                    </w:rPr>
                  </w:pPr>
                </w:p>
              </w:tc>
              <w:tc>
                <w:tcPr>
                  <w:tcW w:w="411" w:type="pct"/>
                  <w:vAlign w:val="center"/>
                </w:tcPr>
                <w:p w14:paraId="1D7F1BD6">
                  <w:pPr>
                    <w:pStyle w:val="20"/>
                    <w:bidi w:val="0"/>
                    <w:jc w:val="center"/>
                    <w:rPr>
                      <w:rFonts w:hint="eastAsia"/>
                      <w:color w:val="auto"/>
                      <w:highlight w:val="none"/>
                    </w:rPr>
                  </w:pPr>
                  <w:r>
                    <w:rPr>
                      <w:rFonts w:hint="eastAsia"/>
                      <w:color w:val="auto"/>
                      <w:highlight w:val="none"/>
                    </w:rPr>
                    <w:t>符合</w:t>
                  </w:r>
                </w:p>
              </w:tc>
            </w:tr>
            <w:tr w14:paraId="14D11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9" w:type="pct"/>
                  <w:vAlign w:val="center"/>
                </w:tcPr>
                <w:p w14:paraId="4DFF58EA">
                  <w:pPr>
                    <w:pStyle w:val="20"/>
                    <w:bidi w:val="0"/>
                    <w:jc w:val="center"/>
                    <w:rPr>
                      <w:rFonts w:hint="eastAsia"/>
                      <w:color w:val="auto"/>
                      <w:highlight w:val="none"/>
                    </w:rPr>
                  </w:pPr>
                  <w:r>
                    <w:rPr>
                      <w:rFonts w:hint="eastAsia"/>
                      <w:color w:val="auto"/>
                      <w:highlight w:val="none"/>
                    </w:rPr>
                    <w:t>4</w:t>
                  </w:r>
                </w:p>
              </w:tc>
              <w:tc>
                <w:tcPr>
                  <w:tcW w:w="334" w:type="pct"/>
                  <w:vMerge w:val="continue"/>
                  <w:vAlign w:val="center"/>
                </w:tcPr>
                <w:p w14:paraId="1D08D902">
                  <w:pPr>
                    <w:pStyle w:val="20"/>
                    <w:bidi w:val="0"/>
                    <w:jc w:val="center"/>
                    <w:rPr>
                      <w:rFonts w:hint="eastAsia"/>
                      <w:color w:val="auto"/>
                      <w:highlight w:val="none"/>
                    </w:rPr>
                  </w:pPr>
                </w:p>
              </w:tc>
              <w:tc>
                <w:tcPr>
                  <w:tcW w:w="2489" w:type="pct"/>
                  <w:vAlign w:val="center"/>
                </w:tcPr>
                <w:p w14:paraId="41AE57FC">
                  <w:pPr>
                    <w:pStyle w:val="20"/>
                    <w:bidi w:val="0"/>
                    <w:jc w:val="both"/>
                    <w:rPr>
                      <w:rFonts w:hint="eastAsia"/>
                      <w:color w:val="auto"/>
                      <w:highlight w:val="none"/>
                    </w:rPr>
                  </w:pPr>
                  <w:r>
                    <w:rPr>
                      <w:rFonts w:hint="eastAsia"/>
                      <w:color w:val="auto"/>
                      <w:highlight w:val="none"/>
                    </w:rPr>
                    <w:t>规划区禁止新引入木质家具制造、报废汽车拆解，玻璃制造（除光伏玻璃外）工业项目。</w:t>
                  </w:r>
                </w:p>
              </w:tc>
              <w:tc>
                <w:tcPr>
                  <w:tcW w:w="1565" w:type="pct"/>
                  <w:vAlign w:val="center"/>
                </w:tcPr>
                <w:p w14:paraId="6FBBA008">
                  <w:pPr>
                    <w:pStyle w:val="20"/>
                    <w:bidi w:val="0"/>
                    <w:jc w:val="both"/>
                    <w:rPr>
                      <w:rFonts w:hint="eastAsia"/>
                      <w:color w:val="auto"/>
                      <w:highlight w:val="none"/>
                    </w:rPr>
                  </w:pPr>
                  <w:r>
                    <w:rPr>
                      <w:rFonts w:hint="eastAsia"/>
                      <w:color w:val="auto"/>
                      <w:highlight w:val="none"/>
                    </w:rPr>
                    <w:t>项目不属于木质家具制造、报废汽车拆解，玻璃制造项目。</w:t>
                  </w:r>
                </w:p>
              </w:tc>
              <w:tc>
                <w:tcPr>
                  <w:tcW w:w="411" w:type="pct"/>
                  <w:vAlign w:val="center"/>
                </w:tcPr>
                <w:p w14:paraId="55BF8694">
                  <w:pPr>
                    <w:pStyle w:val="20"/>
                    <w:bidi w:val="0"/>
                    <w:jc w:val="center"/>
                    <w:rPr>
                      <w:rFonts w:hint="eastAsia"/>
                      <w:color w:val="auto"/>
                      <w:highlight w:val="none"/>
                    </w:rPr>
                  </w:pPr>
                  <w:r>
                    <w:rPr>
                      <w:rFonts w:hint="eastAsia"/>
                      <w:color w:val="auto"/>
                      <w:highlight w:val="none"/>
                    </w:rPr>
                    <w:t>符合</w:t>
                  </w:r>
                </w:p>
              </w:tc>
            </w:tr>
            <w:tr w14:paraId="20F90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9" w:type="pct"/>
                  <w:vAlign w:val="center"/>
                </w:tcPr>
                <w:p w14:paraId="2EC491BD">
                  <w:pPr>
                    <w:pStyle w:val="20"/>
                    <w:bidi w:val="0"/>
                    <w:jc w:val="center"/>
                    <w:rPr>
                      <w:rFonts w:hint="eastAsia"/>
                      <w:color w:val="auto"/>
                      <w:highlight w:val="none"/>
                    </w:rPr>
                  </w:pPr>
                  <w:r>
                    <w:rPr>
                      <w:rFonts w:hint="eastAsia"/>
                      <w:color w:val="auto"/>
                      <w:highlight w:val="none"/>
                    </w:rPr>
                    <w:t>5</w:t>
                  </w:r>
                </w:p>
              </w:tc>
              <w:tc>
                <w:tcPr>
                  <w:tcW w:w="334" w:type="pct"/>
                  <w:vMerge w:val="restart"/>
                  <w:vAlign w:val="center"/>
                </w:tcPr>
                <w:p w14:paraId="7A82098F">
                  <w:pPr>
                    <w:pStyle w:val="20"/>
                    <w:bidi w:val="0"/>
                    <w:jc w:val="center"/>
                    <w:rPr>
                      <w:rFonts w:hint="eastAsia"/>
                      <w:color w:val="auto"/>
                      <w:highlight w:val="none"/>
                    </w:rPr>
                  </w:pPr>
                  <w:r>
                    <w:rPr>
                      <w:rFonts w:hint="eastAsia"/>
                      <w:color w:val="auto"/>
                      <w:highlight w:val="none"/>
                    </w:rPr>
                    <w:t>污染物排放管控</w:t>
                  </w:r>
                </w:p>
              </w:tc>
              <w:tc>
                <w:tcPr>
                  <w:tcW w:w="2489" w:type="pct"/>
                  <w:vAlign w:val="center"/>
                </w:tcPr>
                <w:p w14:paraId="5221D4CC">
                  <w:pPr>
                    <w:pStyle w:val="20"/>
                    <w:bidi w:val="0"/>
                    <w:jc w:val="both"/>
                    <w:rPr>
                      <w:rFonts w:hint="eastAsia"/>
                      <w:color w:val="auto"/>
                      <w:highlight w:val="none"/>
                    </w:rPr>
                  </w:pPr>
                  <w:r>
                    <w:rPr>
                      <w:rFonts w:hint="eastAsia"/>
                      <w:color w:val="auto"/>
                      <w:highlight w:val="none"/>
                    </w:rPr>
                    <w:t>规划区范围内污染物排放总量不得突破本次规划环评确定的污染物排放总量限值。</w:t>
                  </w:r>
                </w:p>
              </w:tc>
              <w:tc>
                <w:tcPr>
                  <w:tcW w:w="1565" w:type="pct"/>
                  <w:vAlign w:val="center"/>
                </w:tcPr>
                <w:p w14:paraId="47CBB36D">
                  <w:pPr>
                    <w:pStyle w:val="20"/>
                    <w:bidi w:val="0"/>
                    <w:jc w:val="both"/>
                    <w:rPr>
                      <w:rFonts w:hint="eastAsia"/>
                      <w:color w:val="auto"/>
                      <w:highlight w:val="none"/>
                    </w:rPr>
                  </w:pPr>
                  <w:r>
                    <w:rPr>
                      <w:rFonts w:hint="eastAsia"/>
                      <w:color w:val="auto"/>
                      <w:highlight w:val="none"/>
                      <w:lang w:val="en-US" w:eastAsia="zh-CN"/>
                    </w:rPr>
                    <w:t>项目扩建后非甲烷总烃污染物排放总量为0.6454t/a，详见</w:t>
                  </w:r>
                  <w:r>
                    <w:rPr>
                      <w:rFonts w:hint="eastAsia"/>
                      <w:color w:val="auto"/>
                      <w:highlight w:val="none"/>
                      <w:lang w:val="en-US" w:eastAsia="zh-CN"/>
                    </w:rPr>
                    <w:fldChar w:fldCharType="begin"/>
                  </w:r>
                  <w:r>
                    <w:rPr>
                      <w:rFonts w:hint="eastAsia"/>
                      <w:color w:val="auto"/>
                      <w:highlight w:val="none"/>
                      <w:lang w:val="en-US" w:eastAsia="zh-CN"/>
                    </w:rPr>
                    <w:instrText xml:space="preserve"> REF _Ref2627 \h </w:instrText>
                  </w:r>
                  <w:r>
                    <w:rPr>
                      <w:rFonts w:hint="eastAsia"/>
                      <w:color w:val="auto"/>
                      <w:highlight w:val="none"/>
                      <w:lang w:val="en-US" w:eastAsia="zh-CN"/>
                    </w:rPr>
                    <w:fldChar w:fldCharType="separate"/>
                  </w:r>
                  <w:r>
                    <w:rPr>
                      <w:color w:val="auto"/>
                      <w:highlight w:val="none"/>
                    </w:rPr>
                    <w:t>表3-10</w:t>
                  </w:r>
                  <w:r>
                    <w:rPr>
                      <w:rFonts w:hint="eastAsia"/>
                      <w:color w:val="auto"/>
                      <w:highlight w:val="none"/>
                      <w:lang w:val="en-US" w:eastAsia="zh-CN"/>
                    </w:rPr>
                    <w:fldChar w:fldCharType="end"/>
                  </w:r>
                  <w:r>
                    <w:rPr>
                      <w:rFonts w:hint="eastAsia"/>
                      <w:color w:val="auto"/>
                      <w:highlight w:val="none"/>
                      <w:lang w:val="en-US" w:eastAsia="zh-CN"/>
                    </w:rPr>
                    <w:t>、</w:t>
                  </w:r>
                  <w:r>
                    <w:rPr>
                      <w:rFonts w:hint="eastAsia"/>
                      <w:color w:val="auto"/>
                      <w:highlight w:val="none"/>
                      <w:lang w:val="en-US" w:eastAsia="zh-CN"/>
                    </w:rPr>
                    <w:fldChar w:fldCharType="begin"/>
                  </w:r>
                  <w:r>
                    <w:rPr>
                      <w:rFonts w:hint="eastAsia"/>
                      <w:color w:val="auto"/>
                      <w:highlight w:val="none"/>
                      <w:lang w:val="en-US" w:eastAsia="zh-CN"/>
                    </w:rPr>
                    <w:instrText xml:space="preserve"> REF _Ref2637 \h </w:instrText>
                  </w:r>
                  <w:r>
                    <w:rPr>
                      <w:rFonts w:hint="eastAsia"/>
                      <w:color w:val="auto"/>
                      <w:highlight w:val="none"/>
                      <w:lang w:val="en-US" w:eastAsia="zh-CN"/>
                    </w:rPr>
                    <w:fldChar w:fldCharType="separate"/>
                  </w:r>
                  <w:r>
                    <w:rPr>
                      <w:color w:val="auto"/>
                      <w:highlight w:val="none"/>
                    </w:rPr>
                    <w:t>表3-11</w:t>
                  </w:r>
                  <w:r>
                    <w:rPr>
                      <w:rFonts w:hint="eastAsia"/>
                      <w:color w:val="auto"/>
                      <w:highlight w:val="none"/>
                      <w:lang w:val="en-US" w:eastAsia="zh-CN"/>
                    </w:rPr>
                    <w:fldChar w:fldCharType="end"/>
                  </w:r>
                  <w:r>
                    <w:rPr>
                      <w:rFonts w:hint="eastAsia"/>
                      <w:color w:val="auto"/>
                      <w:highlight w:val="none"/>
                      <w:lang w:val="en-US" w:eastAsia="zh-CN"/>
                    </w:rPr>
                    <w:t>，</w:t>
                  </w:r>
                  <w:r>
                    <w:rPr>
                      <w:rFonts w:hint="eastAsia"/>
                      <w:color w:val="auto"/>
                      <w:highlight w:val="none"/>
                    </w:rPr>
                    <w:t>项目污染物排放总量占比较小，不会突破本次规划环评确定的污染物排放总量限值。</w:t>
                  </w:r>
                </w:p>
              </w:tc>
              <w:tc>
                <w:tcPr>
                  <w:tcW w:w="411" w:type="pct"/>
                  <w:vAlign w:val="center"/>
                </w:tcPr>
                <w:p w14:paraId="081704BD">
                  <w:pPr>
                    <w:pStyle w:val="20"/>
                    <w:bidi w:val="0"/>
                    <w:jc w:val="center"/>
                    <w:rPr>
                      <w:rFonts w:hint="eastAsia"/>
                      <w:color w:val="auto"/>
                      <w:highlight w:val="none"/>
                    </w:rPr>
                  </w:pPr>
                  <w:r>
                    <w:rPr>
                      <w:rFonts w:hint="eastAsia"/>
                      <w:color w:val="auto"/>
                      <w:highlight w:val="none"/>
                    </w:rPr>
                    <w:t>符合</w:t>
                  </w:r>
                </w:p>
              </w:tc>
            </w:tr>
            <w:tr w14:paraId="5A16A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9" w:type="pct"/>
                  <w:vAlign w:val="center"/>
                </w:tcPr>
                <w:p w14:paraId="40273D5E">
                  <w:pPr>
                    <w:pStyle w:val="20"/>
                    <w:bidi w:val="0"/>
                    <w:jc w:val="center"/>
                    <w:rPr>
                      <w:rFonts w:hint="eastAsia"/>
                      <w:color w:val="auto"/>
                      <w:highlight w:val="none"/>
                    </w:rPr>
                  </w:pPr>
                  <w:r>
                    <w:rPr>
                      <w:rFonts w:hint="eastAsia"/>
                      <w:color w:val="auto"/>
                      <w:highlight w:val="none"/>
                    </w:rPr>
                    <w:t>6</w:t>
                  </w:r>
                </w:p>
              </w:tc>
              <w:tc>
                <w:tcPr>
                  <w:tcW w:w="334" w:type="pct"/>
                  <w:vMerge w:val="continue"/>
                  <w:vAlign w:val="center"/>
                </w:tcPr>
                <w:p w14:paraId="649C1FFE">
                  <w:pPr>
                    <w:pStyle w:val="20"/>
                    <w:bidi w:val="0"/>
                    <w:jc w:val="center"/>
                    <w:rPr>
                      <w:rFonts w:hint="eastAsia"/>
                      <w:color w:val="auto"/>
                      <w:highlight w:val="none"/>
                    </w:rPr>
                  </w:pPr>
                </w:p>
              </w:tc>
              <w:tc>
                <w:tcPr>
                  <w:tcW w:w="2489" w:type="pct"/>
                  <w:vAlign w:val="center"/>
                </w:tcPr>
                <w:p w14:paraId="509EF65E">
                  <w:pPr>
                    <w:pStyle w:val="20"/>
                    <w:bidi w:val="0"/>
                    <w:jc w:val="both"/>
                    <w:rPr>
                      <w:rFonts w:hint="eastAsia"/>
                      <w:color w:val="auto"/>
                      <w:highlight w:val="none"/>
                    </w:rPr>
                  </w:pPr>
                  <w:r>
                    <w:rPr>
                      <w:rFonts w:hint="eastAsia"/>
                      <w:color w:val="auto"/>
                      <w:highlight w:val="none"/>
                    </w:rPr>
                    <w:t>禁止新建、扩建排放废水含有五类重金属（铬、镉、汞、砷、铅）、剧毒物质和持久性有机污染物的工业项目。</w:t>
                  </w:r>
                </w:p>
              </w:tc>
              <w:tc>
                <w:tcPr>
                  <w:tcW w:w="1565" w:type="pct"/>
                  <w:vAlign w:val="center"/>
                </w:tcPr>
                <w:p w14:paraId="6C69EB29">
                  <w:pPr>
                    <w:pStyle w:val="20"/>
                    <w:bidi w:val="0"/>
                    <w:jc w:val="both"/>
                    <w:rPr>
                      <w:rFonts w:hint="eastAsia"/>
                      <w:color w:val="auto"/>
                      <w:highlight w:val="none"/>
                    </w:rPr>
                  </w:pPr>
                  <w:r>
                    <w:rPr>
                      <w:rFonts w:hint="eastAsia"/>
                      <w:color w:val="auto"/>
                      <w:highlight w:val="none"/>
                    </w:rPr>
                    <w:t>项目外排废水不含五类重金属（铬、镉、汞、砷、铅）、剧毒物质和持久性有机污染物。</w:t>
                  </w:r>
                </w:p>
              </w:tc>
              <w:tc>
                <w:tcPr>
                  <w:tcW w:w="411" w:type="pct"/>
                  <w:vAlign w:val="center"/>
                </w:tcPr>
                <w:p w14:paraId="4590D177">
                  <w:pPr>
                    <w:pStyle w:val="20"/>
                    <w:bidi w:val="0"/>
                    <w:jc w:val="center"/>
                    <w:rPr>
                      <w:rFonts w:hint="eastAsia"/>
                      <w:color w:val="auto"/>
                      <w:highlight w:val="none"/>
                    </w:rPr>
                  </w:pPr>
                  <w:r>
                    <w:rPr>
                      <w:rFonts w:hint="eastAsia"/>
                      <w:color w:val="auto"/>
                      <w:highlight w:val="none"/>
                    </w:rPr>
                    <w:t>符合</w:t>
                  </w:r>
                </w:p>
              </w:tc>
            </w:tr>
            <w:tr w14:paraId="5881F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9" w:type="pct"/>
                  <w:vAlign w:val="center"/>
                </w:tcPr>
                <w:p w14:paraId="26C3FD95">
                  <w:pPr>
                    <w:pStyle w:val="20"/>
                    <w:bidi w:val="0"/>
                    <w:jc w:val="center"/>
                    <w:rPr>
                      <w:rFonts w:hint="eastAsia"/>
                      <w:color w:val="auto"/>
                      <w:highlight w:val="none"/>
                    </w:rPr>
                  </w:pPr>
                  <w:r>
                    <w:rPr>
                      <w:rFonts w:hint="eastAsia"/>
                      <w:color w:val="auto"/>
                      <w:highlight w:val="none"/>
                    </w:rPr>
                    <w:t>7</w:t>
                  </w:r>
                </w:p>
              </w:tc>
              <w:tc>
                <w:tcPr>
                  <w:tcW w:w="334" w:type="pct"/>
                  <w:vMerge w:val="continue"/>
                  <w:vAlign w:val="center"/>
                </w:tcPr>
                <w:p w14:paraId="1B7F6152">
                  <w:pPr>
                    <w:pStyle w:val="20"/>
                    <w:bidi w:val="0"/>
                    <w:jc w:val="center"/>
                    <w:rPr>
                      <w:rFonts w:hint="eastAsia"/>
                      <w:color w:val="auto"/>
                      <w:highlight w:val="none"/>
                    </w:rPr>
                  </w:pPr>
                </w:p>
              </w:tc>
              <w:tc>
                <w:tcPr>
                  <w:tcW w:w="2489" w:type="pct"/>
                  <w:vAlign w:val="center"/>
                </w:tcPr>
                <w:p w14:paraId="15207B42">
                  <w:pPr>
                    <w:pStyle w:val="20"/>
                    <w:bidi w:val="0"/>
                    <w:jc w:val="both"/>
                    <w:rPr>
                      <w:rFonts w:hint="eastAsia"/>
                      <w:color w:val="auto"/>
                      <w:highlight w:val="none"/>
                    </w:rPr>
                  </w:pPr>
                  <w:r>
                    <w:rPr>
                      <w:rFonts w:hint="eastAsia"/>
                      <w:color w:val="auto"/>
                      <w:highlight w:val="none"/>
                    </w:rPr>
                    <w:t>陶家组团范围内重庆奇爽实业（集团）有限公司不再扩大用地规模、不新增污染物排放。</w:t>
                  </w:r>
                </w:p>
              </w:tc>
              <w:tc>
                <w:tcPr>
                  <w:tcW w:w="1565" w:type="pct"/>
                  <w:vAlign w:val="center"/>
                </w:tcPr>
                <w:p w14:paraId="6FF1BFB7">
                  <w:pPr>
                    <w:pStyle w:val="20"/>
                    <w:bidi w:val="0"/>
                    <w:jc w:val="both"/>
                    <w:rPr>
                      <w:rFonts w:hint="eastAsia"/>
                      <w:color w:val="auto"/>
                      <w:highlight w:val="none"/>
                    </w:rPr>
                  </w:pPr>
                  <w:r>
                    <w:rPr>
                      <w:rFonts w:hint="eastAsia"/>
                      <w:color w:val="auto"/>
                      <w:highlight w:val="none"/>
                    </w:rPr>
                    <w:t>不涉及。</w:t>
                  </w:r>
                </w:p>
              </w:tc>
              <w:tc>
                <w:tcPr>
                  <w:tcW w:w="411" w:type="pct"/>
                  <w:vAlign w:val="center"/>
                </w:tcPr>
                <w:p w14:paraId="2AE65944">
                  <w:pPr>
                    <w:pStyle w:val="20"/>
                    <w:bidi w:val="0"/>
                    <w:jc w:val="center"/>
                    <w:rPr>
                      <w:rFonts w:hint="eastAsia"/>
                      <w:color w:val="auto"/>
                      <w:highlight w:val="none"/>
                    </w:rPr>
                  </w:pPr>
                  <w:r>
                    <w:rPr>
                      <w:rFonts w:hint="eastAsia"/>
                      <w:color w:val="auto"/>
                      <w:highlight w:val="none"/>
                    </w:rPr>
                    <w:t>符合</w:t>
                  </w:r>
                </w:p>
              </w:tc>
            </w:tr>
            <w:tr w14:paraId="41B48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9" w:type="pct"/>
                  <w:vAlign w:val="center"/>
                </w:tcPr>
                <w:p w14:paraId="7010CD0A">
                  <w:pPr>
                    <w:pStyle w:val="20"/>
                    <w:bidi w:val="0"/>
                    <w:jc w:val="center"/>
                    <w:rPr>
                      <w:rFonts w:hint="eastAsia"/>
                      <w:color w:val="auto"/>
                      <w:highlight w:val="none"/>
                    </w:rPr>
                  </w:pPr>
                  <w:r>
                    <w:rPr>
                      <w:rFonts w:hint="eastAsia"/>
                      <w:color w:val="auto"/>
                      <w:highlight w:val="none"/>
                    </w:rPr>
                    <w:t>8</w:t>
                  </w:r>
                </w:p>
              </w:tc>
              <w:tc>
                <w:tcPr>
                  <w:tcW w:w="334" w:type="pct"/>
                  <w:vMerge w:val="continue"/>
                  <w:vAlign w:val="center"/>
                </w:tcPr>
                <w:p w14:paraId="764416A5">
                  <w:pPr>
                    <w:pStyle w:val="20"/>
                    <w:bidi w:val="0"/>
                    <w:jc w:val="center"/>
                    <w:rPr>
                      <w:rFonts w:hint="eastAsia"/>
                      <w:color w:val="auto"/>
                      <w:highlight w:val="none"/>
                    </w:rPr>
                  </w:pPr>
                </w:p>
              </w:tc>
              <w:tc>
                <w:tcPr>
                  <w:tcW w:w="2489" w:type="pct"/>
                  <w:vAlign w:val="center"/>
                </w:tcPr>
                <w:p w14:paraId="4A6FAD74">
                  <w:pPr>
                    <w:pStyle w:val="20"/>
                    <w:bidi w:val="0"/>
                    <w:jc w:val="both"/>
                    <w:rPr>
                      <w:rFonts w:hint="eastAsia"/>
                      <w:color w:val="auto"/>
                      <w:highlight w:val="none"/>
                    </w:rPr>
                  </w:pPr>
                  <w:r>
                    <w:rPr>
                      <w:rFonts w:hint="eastAsia"/>
                      <w:color w:val="auto"/>
                      <w:highlight w:val="none"/>
                    </w:rPr>
                    <w:t>铜罐驿组团范围内红蜻蜓（重庆）植物油脂有限公司、重庆潼川印务有限责任公司、重庆小可食品有限公司、重庆豆奇食品有限公司不再扩大用地规模、不新增污染物排放。</w:t>
                  </w:r>
                </w:p>
              </w:tc>
              <w:tc>
                <w:tcPr>
                  <w:tcW w:w="1565" w:type="pct"/>
                  <w:vAlign w:val="center"/>
                </w:tcPr>
                <w:p w14:paraId="2177817C">
                  <w:pPr>
                    <w:pStyle w:val="20"/>
                    <w:bidi w:val="0"/>
                    <w:jc w:val="both"/>
                    <w:rPr>
                      <w:rFonts w:hint="default"/>
                      <w:color w:val="auto"/>
                      <w:highlight w:val="none"/>
                      <w:lang w:val="en-US" w:eastAsia="zh-CN"/>
                    </w:rPr>
                  </w:pPr>
                  <w:r>
                    <w:rPr>
                      <w:rFonts w:hint="eastAsia"/>
                      <w:color w:val="auto"/>
                      <w:highlight w:val="none"/>
                      <w:lang w:val="en-US" w:eastAsia="zh-CN"/>
                    </w:rPr>
                    <w:t>扩建项目不属于所列企业。</w:t>
                  </w:r>
                </w:p>
              </w:tc>
              <w:tc>
                <w:tcPr>
                  <w:tcW w:w="411" w:type="pct"/>
                  <w:vAlign w:val="center"/>
                </w:tcPr>
                <w:p w14:paraId="118D64DB">
                  <w:pPr>
                    <w:pStyle w:val="20"/>
                    <w:bidi w:val="0"/>
                    <w:jc w:val="center"/>
                    <w:rPr>
                      <w:rFonts w:hint="eastAsia"/>
                      <w:color w:val="auto"/>
                      <w:highlight w:val="none"/>
                    </w:rPr>
                  </w:pPr>
                  <w:r>
                    <w:rPr>
                      <w:rFonts w:hint="eastAsia"/>
                      <w:color w:val="auto"/>
                      <w:highlight w:val="none"/>
                    </w:rPr>
                    <w:t>符合</w:t>
                  </w:r>
                </w:p>
              </w:tc>
            </w:tr>
            <w:tr w14:paraId="1855D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9" w:type="pct"/>
                  <w:vAlign w:val="center"/>
                </w:tcPr>
                <w:p w14:paraId="03BD9B9B">
                  <w:pPr>
                    <w:pStyle w:val="20"/>
                    <w:bidi w:val="0"/>
                    <w:jc w:val="center"/>
                    <w:rPr>
                      <w:rFonts w:hint="eastAsia"/>
                      <w:color w:val="auto"/>
                      <w:highlight w:val="none"/>
                    </w:rPr>
                  </w:pPr>
                  <w:r>
                    <w:rPr>
                      <w:rFonts w:hint="eastAsia"/>
                      <w:color w:val="auto"/>
                      <w:highlight w:val="none"/>
                    </w:rPr>
                    <w:t>9</w:t>
                  </w:r>
                </w:p>
              </w:tc>
              <w:tc>
                <w:tcPr>
                  <w:tcW w:w="334" w:type="pct"/>
                  <w:vMerge w:val="restart"/>
                  <w:vAlign w:val="center"/>
                </w:tcPr>
                <w:p w14:paraId="60429B58">
                  <w:pPr>
                    <w:pStyle w:val="20"/>
                    <w:bidi w:val="0"/>
                    <w:jc w:val="center"/>
                    <w:rPr>
                      <w:rFonts w:hint="eastAsia"/>
                      <w:color w:val="auto"/>
                      <w:highlight w:val="none"/>
                    </w:rPr>
                  </w:pPr>
                  <w:r>
                    <w:rPr>
                      <w:rFonts w:hint="eastAsia"/>
                      <w:color w:val="auto"/>
                      <w:highlight w:val="none"/>
                    </w:rPr>
                    <w:t>环境风险防控</w:t>
                  </w:r>
                </w:p>
              </w:tc>
              <w:tc>
                <w:tcPr>
                  <w:tcW w:w="2489" w:type="pct"/>
                  <w:vAlign w:val="center"/>
                </w:tcPr>
                <w:p w14:paraId="4DF676AB">
                  <w:pPr>
                    <w:pStyle w:val="20"/>
                    <w:bidi w:val="0"/>
                    <w:jc w:val="both"/>
                    <w:rPr>
                      <w:rFonts w:hint="eastAsia"/>
                      <w:color w:val="auto"/>
                      <w:highlight w:val="none"/>
                    </w:rPr>
                  </w:pPr>
                  <w:r>
                    <w:rPr>
                      <w:rFonts w:hint="eastAsia"/>
                      <w:color w:val="auto"/>
                      <w:highlight w:val="none"/>
                    </w:rPr>
                    <w:t>西彭组团和铜罐驿组团沿江1km范围内规划仓储用地（A72-1/04、A90-1/04、A88/02、A87-1/03、A101/01、A99/01、A102/01、A104/01、A103/01、A105/01、F40-1/02、F41-1/01地块）禁止新引入从事危险化学品储存、运输的仓储物流项目。</w:t>
                  </w:r>
                </w:p>
              </w:tc>
              <w:tc>
                <w:tcPr>
                  <w:tcW w:w="1565" w:type="pct"/>
                  <w:vAlign w:val="center"/>
                </w:tcPr>
                <w:p w14:paraId="1775BE33">
                  <w:pPr>
                    <w:pStyle w:val="20"/>
                    <w:bidi w:val="0"/>
                    <w:jc w:val="both"/>
                    <w:rPr>
                      <w:rFonts w:hint="default"/>
                      <w:color w:val="auto"/>
                      <w:highlight w:val="none"/>
                      <w:lang w:val="en-US" w:eastAsia="zh-CN"/>
                    </w:rPr>
                  </w:pPr>
                  <w:r>
                    <w:rPr>
                      <w:rFonts w:hint="eastAsia"/>
                      <w:color w:val="auto"/>
                      <w:highlight w:val="none"/>
                      <w:lang w:val="en-US" w:eastAsia="zh-CN"/>
                    </w:rPr>
                    <w:t>项目不位于所列地块，不属于</w:t>
                  </w:r>
                  <w:r>
                    <w:rPr>
                      <w:rFonts w:hint="eastAsia"/>
                      <w:color w:val="auto"/>
                      <w:highlight w:val="none"/>
                    </w:rPr>
                    <w:t>危险化学品储存、运输的仓储物流项目。</w:t>
                  </w:r>
                </w:p>
              </w:tc>
              <w:tc>
                <w:tcPr>
                  <w:tcW w:w="411" w:type="pct"/>
                  <w:vAlign w:val="center"/>
                </w:tcPr>
                <w:p w14:paraId="579845C5">
                  <w:pPr>
                    <w:pStyle w:val="20"/>
                    <w:bidi w:val="0"/>
                    <w:jc w:val="center"/>
                    <w:rPr>
                      <w:rFonts w:hint="eastAsia"/>
                      <w:color w:val="auto"/>
                      <w:highlight w:val="none"/>
                    </w:rPr>
                  </w:pPr>
                  <w:r>
                    <w:rPr>
                      <w:rFonts w:hint="eastAsia"/>
                      <w:color w:val="auto"/>
                      <w:highlight w:val="none"/>
                    </w:rPr>
                    <w:t>符合</w:t>
                  </w:r>
                </w:p>
              </w:tc>
            </w:tr>
            <w:tr w14:paraId="6A176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9" w:type="pct"/>
                  <w:vAlign w:val="center"/>
                </w:tcPr>
                <w:p w14:paraId="6341EFF4">
                  <w:pPr>
                    <w:pStyle w:val="20"/>
                    <w:bidi w:val="0"/>
                    <w:jc w:val="center"/>
                    <w:rPr>
                      <w:rFonts w:hint="eastAsia"/>
                      <w:color w:val="auto"/>
                      <w:highlight w:val="none"/>
                    </w:rPr>
                  </w:pPr>
                  <w:r>
                    <w:rPr>
                      <w:rFonts w:hint="eastAsia"/>
                      <w:color w:val="auto"/>
                      <w:highlight w:val="none"/>
                    </w:rPr>
                    <w:t>10</w:t>
                  </w:r>
                </w:p>
              </w:tc>
              <w:tc>
                <w:tcPr>
                  <w:tcW w:w="334" w:type="pct"/>
                  <w:vMerge w:val="continue"/>
                  <w:vAlign w:val="center"/>
                </w:tcPr>
                <w:p w14:paraId="6D9D91E9">
                  <w:pPr>
                    <w:pStyle w:val="20"/>
                    <w:bidi w:val="0"/>
                    <w:jc w:val="center"/>
                    <w:rPr>
                      <w:rFonts w:hint="eastAsia"/>
                      <w:color w:val="auto"/>
                      <w:highlight w:val="none"/>
                    </w:rPr>
                  </w:pPr>
                </w:p>
              </w:tc>
              <w:tc>
                <w:tcPr>
                  <w:tcW w:w="2489" w:type="pct"/>
                  <w:vAlign w:val="center"/>
                </w:tcPr>
                <w:p w14:paraId="0A561F46">
                  <w:pPr>
                    <w:pStyle w:val="20"/>
                    <w:bidi w:val="0"/>
                    <w:jc w:val="both"/>
                    <w:rPr>
                      <w:rFonts w:hint="eastAsia"/>
                      <w:color w:val="auto"/>
                      <w:highlight w:val="none"/>
                    </w:rPr>
                  </w:pPr>
                  <w:r>
                    <w:rPr>
                      <w:rFonts w:hint="eastAsia"/>
                      <w:color w:val="auto"/>
                      <w:highlight w:val="none"/>
                    </w:rPr>
                    <w:t>临长江道路禁止规划运输危险化学品及危险废物路线。</w:t>
                  </w:r>
                </w:p>
              </w:tc>
              <w:tc>
                <w:tcPr>
                  <w:tcW w:w="1565" w:type="pct"/>
                  <w:vAlign w:val="center"/>
                </w:tcPr>
                <w:p w14:paraId="39477184">
                  <w:pPr>
                    <w:pStyle w:val="20"/>
                    <w:bidi w:val="0"/>
                    <w:jc w:val="both"/>
                    <w:rPr>
                      <w:rFonts w:hint="eastAsia"/>
                      <w:color w:val="auto"/>
                      <w:highlight w:val="none"/>
                    </w:rPr>
                  </w:pPr>
                  <w:r>
                    <w:rPr>
                      <w:rFonts w:hint="eastAsia"/>
                      <w:color w:val="auto"/>
                      <w:highlight w:val="none"/>
                    </w:rPr>
                    <w:t>不涉及。</w:t>
                  </w:r>
                </w:p>
              </w:tc>
              <w:tc>
                <w:tcPr>
                  <w:tcW w:w="411" w:type="pct"/>
                  <w:vAlign w:val="center"/>
                </w:tcPr>
                <w:p w14:paraId="17D28A63">
                  <w:pPr>
                    <w:pStyle w:val="20"/>
                    <w:bidi w:val="0"/>
                    <w:jc w:val="center"/>
                    <w:rPr>
                      <w:rFonts w:hint="eastAsia"/>
                      <w:color w:val="auto"/>
                      <w:highlight w:val="none"/>
                    </w:rPr>
                  </w:pPr>
                  <w:r>
                    <w:rPr>
                      <w:rFonts w:hint="eastAsia"/>
                      <w:color w:val="auto"/>
                      <w:highlight w:val="none"/>
                    </w:rPr>
                    <w:t>符合</w:t>
                  </w:r>
                </w:p>
              </w:tc>
            </w:tr>
            <w:tr w14:paraId="52CF4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9" w:type="pct"/>
                  <w:vAlign w:val="center"/>
                </w:tcPr>
                <w:p w14:paraId="51BACF9A">
                  <w:pPr>
                    <w:pStyle w:val="20"/>
                    <w:bidi w:val="0"/>
                    <w:jc w:val="center"/>
                    <w:rPr>
                      <w:rFonts w:hint="eastAsia"/>
                      <w:color w:val="auto"/>
                      <w:highlight w:val="none"/>
                    </w:rPr>
                  </w:pPr>
                  <w:r>
                    <w:rPr>
                      <w:rFonts w:hint="eastAsia"/>
                      <w:color w:val="auto"/>
                      <w:highlight w:val="none"/>
                    </w:rPr>
                    <w:t>11</w:t>
                  </w:r>
                </w:p>
              </w:tc>
              <w:tc>
                <w:tcPr>
                  <w:tcW w:w="334" w:type="pct"/>
                  <w:vMerge w:val="continue"/>
                  <w:vAlign w:val="center"/>
                </w:tcPr>
                <w:p w14:paraId="684E1193">
                  <w:pPr>
                    <w:pStyle w:val="20"/>
                    <w:bidi w:val="0"/>
                    <w:jc w:val="center"/>
                    <w:rPr>
                      <w:rFonts w:hint="eastAsia"/>
                      <w:color w:val="auto"/>
                      <w:highlight w:val="none"/>
                    </w:rPr>
                  </w:pPr>
                </w:p>
              </w:tc>
              <w:tc>
                <w:tcPr>
                  <w:tcW w:w="2489" w:type="pct"/>
                  <w:vAlign w:val="center"/>
                </w:tcPr>
                <w:p w14:paraId="050B99A5">
                  <w:pPr>
                    <w:pStyle w:val="20"/>
                    <w:bidi w:val="0"/>
                    <w:jc w:val="both"/>
                    <w:rPr>
                      <w:rFonts w:hint="eastAsia"/>
                      <w:color w:val="auto"/>
                      <w:highlight w:val="none"/>
                    </w:rPr>
                  </w:pPr>
                  <w:r>
                    <w:rPr>
                      <w:rFonts w:hint="eastAsia"/>
                      <w:color w:val="auto"/>
                      <w:highlight w:val="none"/>
                    </w:rPr>
                    <w:t>禁止新建、扩建化工项目。</w:t>
                  </w:r>
                </w:p>
              </w:tc>
              <w:tc>
                <w:tcPr>
                  <w:tcW w:w="1565" w:type="pct"/>
                  <w:vAlign w:val="center"/>
                </w:tcPr>
                <w:p w14:paraId="4BD7FE5D">
                  <w:pPr>
                    <w:pStyle w:val="20"/>
                    <w:bidi w:val="0"/>
                    <w:jc w:val="both"/>
                    <w:rPr>
                      <w:rFonts w:hint="eastAsia"/>
                      <w:color w:val="auto"/>
                      <w:highlight w:val="none"/>
                    </w:rPr>
                  </w:pPr>
                  <w:r>
                    <w:rPr>
                      <w:rFonts w:hint="eastAsia"/>
                      <w:color w:val="auto"/>
                      <w:highlight w:val="none"/>
                    </w:rPr>
                    <w:t>项目不属于化工项目。</w:t>
                  </w:r>
                </w:p>
              </w:tc>
              <w:tc>
                <w:tcPr>
                  <w:tcW w:w="411" w:type="pct"/>
                  <w:vAlign w:val="center"/>
                </w:tcPr>
                <w:p w14:paraId="6C826A7F">
                  <w:pPr>
                    <w:pStyle w:val="20"/>
                    <w:bidi w:val="0"/>
                    <w:jc w:val="center"/>
                    <w:rPr>
                      <w:rFonts w:hint="eastAsia"/>
                      <w:color w:val="auto"/>
                      <w:highlight w:val="none"/>
                    </w:rPr>
                  </w:pPr>
                  <w:r>
                    <w:rPr>
                      <w:rFonts w:hint="eastAsia"/>
                      <w:color w:val="auto"/>
                      <w:highlight w:val="none"/>
                    </w:rPr>
                    <w:t>符合</w:t>
                  </w:r>
                </w:p>
              </w:tc>
            </w:tr>
            <w:tr w14:paraId="67612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9" w:type="pct"/>
                  <w:vAlign w:val="center"/>
                </w:tcPr>
                <w:p w14:paraId="790858E0">
                  <w:pPr>
                    <w:pStyle w:val="20"/>
                    <w:bidi w:val="0"/>
                    <w:jc w:val="center"/>
                    <w:rPr>
                      <w:rFonts w:hint="eastAsia"/>
                      <w:color w:val="auto"/>
                      <w:highlight w:val="none"/>
                    </w:rPr>
                  </w:pPr>
                  <w:r>
                    <w:rPr>
                      <w:rFonts w:hint="eastAsia"/>
                      <w:color w:val="auto"/>
                      <w:highlight w:val="none"/>
                    </w:rPr>
                    <w:t>12</w:t>
                  </w:r>
                </w:p>
              </w:tc>
              <w:tc>
                <w:tcPr>
                  <w:tcW w:w="334" w:type="pct"/>
                  <w:vMerge w:val="restart"/>
                  <w:vAlign w:val="center"/>
                </w:tcPr>
                <w:p w14:paraId="546AF7F7">
                  <w:pPr>
                    <w:pStyle w:val="20"/>
                    <w:bidi w:val="0"/>
                    <w:jc w:val="center"/>
                    <w:rPr>
                      <w:rFonts w:hint="eastAsia"/>
                      <w:color w:val="auto"/>
                      <w:highlight w:val="none"/>
                    </w:rPr>
                  </w:pPr>
                  <w:r>
                    <w:rPr>
                      <w:rFonts w:hint="eastAsia"/>
                      <w:color w:val="auto"/>
                      <w:highlight w:val="none"/>
                    </w:rPr>
                    <w:t>资源开发利用要求</w:t>
                  </w:r>
                </w:p>
              </w:tc>
              <w:tc>
                <w:tcPr>
                  <w:tcW w:w="2489" w:type="pct"/>
                  <w:vAlign w:val="center"/>
                </w:tcPr>
                <w:p w14:paraId="24BAECED">
                  <w:pPr>
                    <w:pStyle w:val="20"/>
                    <w:bidi w:val="0"/>
                    <w:jc w:val="both"/>
                    <w:rPr>
                      <w:rFonts w:hint="eastAsia"/>
                      <w:color w:val="auto"/>
                      <w:highlight w:val="none"/>
                    </w:rPr>
                  </w:pPr>
                  <w:r>
                    <w:rPr>
                      <w:rFonts w:hint="eastAsia"/>
                      <w:color w:val="auto"/>
                      <w:highlight w:val="none"/>
                    </w:rPr>
                    <w:t>禁止新建、扩建燃用煤、重油等高污染燃料的工业项目，重庆和友实业股份有限公司不再新增燃煤总量。</w:t>
                  </w:r>
                </w:p>
              </w:tc>
              <w:tc>
                <w:tcPr>
                  <w:tcW w:w="1565" w:type="pct"/>
                  <w:vAlign w:val="center"/>
                </w:tcPr>
                <w:p w14:paraId="196F56D2">
                  <w:pPr>
                    <w:pStyle w:val="20"/>
                    <w:bidi w:val="0"/>
                    <w:jc w:val="both"/>
                    <w:rPr>
                      <w:rFonts w:hint="eastAsia"/>
                      <w:color w:val="auto"/>
                      <w:highlight w:val="none"/>
                    </w:rPr>
                  </w:pPr>
                  <w:r>
                    <w:rPr>
                      <w:rFonts w:hint="eastAsia"/>
                      <w:color w:val="auto"/>
                      <w:highlight w:val="none"/>
                    </w:rPr>
                    <w:t>项目不使用燃煤、重油等高污染燃料。</w:t>
                  </w:r>
                </w:p>
              </w:tc>
              <w:tc>
                <w:tcPr>
                  <w:tcW w:w="411" w:type="pct"/>
                  <w:vAlign w:val="center"/>
                </w:tcPr>
                <w:p w14:paraId="6C5C3B1A">
                  <w:pPr>
                    <w:pStyle w:val="20"/>
                    <w:bidi w:val="0"/>
                    <w:jc w:val="center"/>
                    <w:rPr>
                      <w:rFonts w:hint="eastAsia"/>
                      <w:color w:val="auto"/>
                      <w:highlight w:val="none"/>
                    </w:rPr>
                  </w:pPr>
                  <w:r>
                    <w:rPr>
                      <w:rFonts w:hint="eastAsia"/>
                      <w:color w:val="auto"/>
                      <w:highlight w:val="none"/>
                    </w:rPr>
                    <w:t>符合</w:t>
                  </w:r>
                </w:p>
              </w:tc>
            </w:tr>
            <w:tr w14:paraId="57B6A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9" w:type="pct"/>
                  <w:vAlign w:val="center"/>
                </w:tcPr>
                <w:p w14:paraId="1A91EDB1">
                  <w:pPr>
                    <w:pStyle w:val="20"/>
                    <w:bidi w:val="0"/>
                    <w:jc w:val="center"/>
                    <w:rPr>
                      <w:rFonts w:hint="eastAsia"/>
                      <w:color w:val="auto"/>
                      <w:highlight w:val="none"/>
                    </w:rPr>
                  </w:pPr>
                  <w:r>
                    <w:rPr>
                      <w:rFonts w:hint="eastAsia"/>
                      <w:color w:val="auto"/>
                      <w:highlight w:val="none"/>
                    </w:rPr>
                    <w:t>13</w:t>
                  </w:r>
                </w:p>
              </w:tc>
              <w:tc>
                <w:tcPr>
                  <w:tcW w:w="334" w:type="pct"/>
                  <w:vMerge w:val="continue"/>
                  <w:vAlign w:val="center"/>
                </w:tcPr>
                <w:p w14:paraId="2F4731CD">
                  <w:pPr>
                    <w:pStyle w:val="20"/>
                    <w:bidi w:val="0"/>
                    <w:jc w:val="center"/>
                    <w:rPr>
                      <w:rFonts w:hint="eastAsia"/>
                      <w:color w:val="auto"/>
                      <w:highlight w:val="none"/>
                    </w:rPr>
                  </w:pPr>
                </w:p>
              </w:tc>
              <w:tc>
                <w:tcPr>
                  <w:tcW w:w="2489" w:type="pct"/>
                  <w:vAlign w:val="center"/>
                </w:tcPr>
                <w:p w14:paraId="2D3EAC8B">
                  <w:pPr>
                    <w:pStyle w:val="20"/>
                    <w:bidi w:val="0"/>
                    <w:jc w:val="both"/>
                    <w:rPr>
                      <w:rFonts w:hint="eastAsia"/>
                      <w:color w:val="auto"/>
                      <w:highlight w:val="none"/>
                    </w:rPr>
                  </w:pPr>
                  <w:r>
                    <w:rPr>
                      <w:rFonts w:hint="eastAsia"/>
                      <w:color w:val="auto"/>
                      <w:highlight w:val="none"/>
                    </w:rPr>
                    <w:t>新建和改、扩建的工业项目清洁生产水平应达到国内先进水平。</w:t>
                  </w:r>
                </w:p>
              </w:tc>
              <w:tc>
                <w:tcPr>
                  <w:tcW w:w="1565" w:type="pct"/>
                  <w:vAlign w:val="center"/>
                </w:tcPr>
                <w:p w14:paraId="5C499AC9">
                  <w:pPr>
                    <w:pStyle w:val="20"/>
                    <w:bidi w:val="0"/>
                    <w:jc w:val="both"/>
                    <w:rPr>
                      <w:rFonts w:hint="eastAsia"/>
                      <w:color w:val="auto"/>
                      <w:highlight w:val="none"/>
                    </w:rPr>
                  </w:pPr>
                  <w:r>
                    <w:rPr>
                      <w:rFonts w:hint="eastAsia"/>
                      <w:color w:val="auto"/>
                      <w:highlight w:val="none"/>
                    </w:rPr>
                    <w:t>项目清洁生产水平可达到国内先进水平。</w:t>
                  </w:r>
                </w:p>
              </w:tc>
              <w:tc>
                <w:tcPr>
                  <w:tcW w:w="411" w:type="pct"/>
                  <w:vAlign w:val="center"/>
                </w:tcPr>
                <w:p w14:paraId="0E9699E1">
                  <w:pPr>
                    <w:pStyle w:val="20"/>
                    <w:bidi w:val="0"/>
                    <w:jc w:val="center"/>
                    <w:rPr>
                      <w:rFonts w:hint="eastAsia"/>
                      <w:color w:val="auto"/>
                      <w:highlight w:val="none"/>
                    </w:rPr>
                  </w:pPr>
                  <w:r>
                    <w:rPr>
                      <w:rFonts w:hint="eastAsia"/>
                      <w:color w:val="auto"/>
                      <w:highlight w:val="none"/>
                    </w:rPr>
                    <w:t>符合</w:t>
                  </w:r>
                </w:p>
              </w:tc>
            </w:tr>
          </w:tbl>
          <w:p w14:paraId="0E05EFD7">
            <w:pPr>
              <w:pStyle w:val="19"/>
              <w:widowControl/>
              <w:spacing w:before="156"/>
              <w:rPr>
                <w:color w:val="auto"/>
                <w:highlight w:val="none"/>
              </w:rPr>
            </w:pPr>
            <w:bookmarkStart w:id="2" w:name="_Ref17178"/>
            <w:r>
              <w:rPr>
                <w:color w:val="auto"/>
                <w:highlight w:val="none"/>
              </w:rPr>
              <w:t>表1-</w:t>
            </w:r>
            <w:r>
              <w:rPr>
                <w:color w:val="auto"/>
                <w:highlight w:val="none"/>
              </w:rPr>
              <w:fldChar w:fldCharType="begin"/>
            </w:r>
            <w:r>
              <w:rPr>
                <w:color w:val="auto"/>
                <w:highlight w:val="none"/>
              </w:rPr>
              <w:instrText xml:space="preserve"> SEQ 表1- \* ARABIC </w:instrText>
            </w:r>
            <w:r>
              <w:rPr>
                <w:color w:val="auto"/>
                <w:highlight w:val="none"/>
              </w:rPr>
              <w:fldChar w:fldCharType="separate"/>
            </w:r>
            <w:r>
              <w:rPr>
                <w:color w:val="auto"/>
                <w:highlight w:val="none"/>
              </w:rPr>
              <w:t>3</w:t>
            </w:r>
            <w:r>
              <w:rPr>
                <w:color w:val="auto"/>
                <w:highlight w:val="none"/>
              </w:rPr>
              <w:fldChar w:fldCharType="end"/>
            </w:r>
            <w:bookmarkEnd w:id="2"/>
            <w:r>
              <w:rPr>
                <w:rFonts w:hint="eastAsia"/>
                <w:color w:val="auto"/>
                <w:highlight w:val="none"/>
              </w:rPr>
              <w:t xml:space="preserve"> 与审查意见函（</w:t>
            </w:r>
            <w:r>
              <w:rPr>
                <w:color w:val="auto"/>
                <w:highlight w:val="none"/>
              </w:rPr>
              <w:t>渝环函〔202</w:t>
            </w:r>
            <w:r>
              <w:rPr>
                <w:rFonts w:hint="eastAsia"/>
                <w:color w:val="auto"/>
                <w:highlight w:val="none"/>
              </w:rPr>
              <w:t>3</w:t>
            </w:r>
            <w:r>
              <w:rPr>
                <w:color w:val="auto"/>
                <w:highlight w:val="none"/>
              </w:rPr>
              <w:t>〕</w:t>
            </w:r>
            <w:r>
              <w:rPr>
                <w:rFonts w:hint="eastAsia"/>
                <w:color w:val="auto"/>
                <w:highlight w:val="none"/>
              </w:rPr>
              <w:t>439</w:t>
            </w:r>
            <w:r>
              <w:rPr>
                <w:color w:val="auto"/>
                <w:highlight w:val="none"/>
              </w:rPr>
              <w:t>号</w:t>
            </w:r>
            <w:r>
              <w:rPr>
                <w:rFonts w:hint="eastAsia"/>
                <w:color w:val="auto"/>
                <w:highlight w:val="none"/>
              </w:rPr>
              <w:t>）符合性分析</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44"/>
              <w:gridCol w:w="4869"/>
              <w:gridCol w:w="2062"/>
              <w:gridCol w:w="592"/>
            </w:tblGrid>
            <w:tr w14:paraId="0F98E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3394" w:type="pct"/>
                  <w:gridSpan w:val="2"/>
                  <w:tcMar>
                    <w:top w:w="0" w:type="dxa"/>
                    <w:bottom w:w="0" w:type="dxa"/>
                  </w:tcMar>
                  <w:vAlign w:val="center"/>
                </w:tcPr>
                <w:p w14:paraId="7BBF1D83">
                  <w:pPr>
                    <w:pStyle w:val="20"/>
                    <w:spacing w:before="31"/>
                    <w:jc w:val="center"/>
                    <w:rPr>
                      <w:b/>
                      <w:bCs/>
                      <w:color w:val="auto"/>
                      <w:highlight w:val="none"/>
                    </w:rPr>
                  </w:pPr>
                  <w:r>
                    <w:rPr>
                      <w:rFonts w:hint="eastAsia"/>
                      <w:b/>
                      <w:bCs/>
                      <w:color w:val="auto"/>
                      <w:highlight w:val="none"/>
                    </w:rPr>
                    <w:t>审查意见要求</w:t>
                  </w:r>
                </w:p>
              </w:tc>
              <w:tc>
                <w:tcPr>
                  <w:tcW w:w="1247" w:type="pct"/>
                  <w:tcMar>
                    <w:top w:w="0" w:type="dxa"/>
                    <w:bottom w:w="0" w:type="dxa"/>
                  </w:tcMar>
                  <w:vAlign w:val="center"/>
                </w:tcPr>
                <w:p w14:paraId="772DB0B9">
                  <w:pPr>
                    <w:pStyle w:val="20"/>
                    <w:spacing w:before="31"/>
                    <w:jc w:val="center"/>
                    <w:rPr>
                      <w:b/>
                      <w:bCs/>
                      <w:color w:val="auto"/>
                      <w:highlight w:val="none"/>
                    </w:rPr>
                  </w:pPr>
                  <w:r>
                    <w:rPr>
                      <w:rFonts w:hint="eastAsia"/>
                      <w:b/>
                      <w:bCs/>
                      <w:color w:val="auto"/>
                      <w:highlight w:val="none"/>
                    </w:rPr>
                    <w:t>本项目</w:t>
                  </w:r>
                </w:p>
              </w:tc>
              <w:tc>
                <w:tcPr>
                  <w:tcW w:w="358" w:type="pct"/>
                  <w:tcMar>
                    <w:top w:w="0" w:type="dxa"/>
                    <w:bottom w:w="0" w:type="dxa"/>
                  </w:tcMar>
                  <w:vAlign w:val="center"/>
                </w:tcPr>
                <w:p w14:paraId="0474FDCE">
                  <w:pPr>
                    <w:pStyle w:val="20"/>
                    <w:spacing w:before="31"/>
                    <w:jc w:val="center"/>
                    <w:rPr>
                      <w:b/>
                      <w:bCs/>
                      <w:color w:val="auto"/>
                      <w:highlight w:val="none"/>
                    </w:rPr>
                  </w:pPr>
                  <w:r>
                    <w:rPr>
                      <w:rFonts w:hint="eastAsia"/>
                      <w:b/>
                      <w:bCs/>
                      <w:color w:val="auto"/>
                      <w:highlight w:val="none"/>
                    </w:rPr>
                    <w:t>符合性</w:t>
                  </w:r>
                </w:p>
              </w:tc>
            </w:tr>
            <w:tr w14:paraId="0AE27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449" w:type="pct"/>
                  <w:tcMar>
                    <w:top w:w="0" w:type="dxa"/>
                    <w:bottom w:w="0" w:type="dxa"/>
                  </w:tcMar>
                  <w:vAlign w:val="center"/>
                </w:tcPr>
                <w:p w14:paraId="38038F6E">
                  <w:pPr>
                    <w:pStyle w:val="20"/>
                    <w:spacing w:before="31"/>
                    <w:rPr>
                      <w:color w:val="auto"/>
                      <w:highlight w:val="none"/>
                    </w:rPr>
                  </w:pPr>
                  <w:r>
                    <w:rPr>
                      <w:rFonts w:hint="eastAsia"/>
                      <w:color w:val="auto"/>
                      <w:highlight w:val="none"/>
                    </w:rPr>
                    <w:t>（一）严格生态环境准入</w:t>
                  </w:r>
                </w:p>
              </w:tc>
              <w:tc>
                <w:tcPr>
                  <w:tcW w:w="2944" w:type="pct"/>
                  <w:tcMar>
                    <w:top w:w="0" w:type="dxa"/>
                    <w:bottom w:w="0" w:type="dxa"/>
                  </w:tcMar>
                  <w:vAlign w:val="center"/>
                </w:tcPr>
                <w:p w14:paraId="3E0B8C93">
                  <w:pPr>
                    <w:pStyle w:val="20"/>
                    <w:spacing w:before="31"/>
                    <w:jc w:val="both"/>
                    <w:rPr>
                      <w:color w:val="auto"/>
                      <w:highlight w:val="none"/>
                    </w:rPr>
                  </w:pPr>
                  <w:r>
                    <w:rPr>
                      <w:rFonts w:hint="eastAsia"/>
                      <w:color w:val="auto"/>
                      <w:highlight w:val="none"/>
                    </w:rPr>
                    <w:t>强化规划环评与“三线一单”生态环境分区管控要求、国土空间“三区三线”等成果衔接，主要管控措施应符合重庆市及九龙坡区“三线一单”生态环境分区管控要求。规划区入驻项目应满足相关产业政策和环境准入要求以及《报告书》提出的生态环境管控要求。</w:t>
                  </w:r>
                </w:p>
              </w:tc>
              <w:tc>
                <w:tcPr>
                  <w:tcW w:w="1247" w:type="pct"/>
                  <w:tcMar>
                    <w:top w:w="0" w:type="dxa"/>
                    <w:bottom w:w="0" w:type="dxa"/>
                  </w:tcMar>
                  <w:vAlign w:val="center"/>
                </w:tcPr>
                <w:p w14:paraId="1004ACC0">
                  <w:pPr>
                    <w:pStyle w:val="20"/>
                    <w:spacing w:before="31"/>
                    <w:jc w:val="both"/>
                    <w:rPr>
                      <w:color w:val="auto"/>
                      <w:highlight w:val="none"/>
                    </w:rPr>
                  </w:pPr>
                  <w:r>
                    <w:rPr>
                      <w:rFonts w:hint="eastAsia"/>
                      <w:color w:val="auto"/>
                      <w:highlight w:val="none"/>
                    </w:rPr>
                    <w:t>项目满足相关产业和环境准入要求以及《报告书》制定的生态环境管控要求</w:t>
                  </w:r>
                </w:p>
              </w:tc>
              <w:tc>
                <w:tcPr>
                  <w:tcW w:w="358" w:type="pct"/>
                  <w:tcMar>
                    <w:top w:w="0" w:type="dxa"/>
                    <w:bottom w:w="0" w:type="dxa"/>
                  </w:tcMar>
                  <w:vAlign w:val="center"/>
                </w:tcPr>
                <w:p w14:paraId="359B50CD">
                  <w:pPr>
                    <w:pStyle w:val="20"/>
                    <w:spacing w:before="31"/>
                    <w:rPr>
                      <w:color w:val="auto"/>
                      <w:highlight w:val="none"/>
                    </w:rPr>
                  </w:pPr>
                  <w:r>
                    <w:rPr>
                      <w:rFonts w:hint="eastAsia"/>
                      <w:color w:val="auto"/>
                      <w:highlight w:val="none"/>
                    </w:rPr>
                    <w:t>符合</w:t>
                  </w:r>
                </w:p>
              </w:tc>
            </w:tr>
            <w:tr w14:paraId="2915C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449" w:type="pct"/>
                  <w:tcMar>
                    <w:top w:w="0" w:type="dxa"/>
                    <w:bottom w:w="0" w:type="dxa"/>
                  </w:tcMar>
                  <w:vAlign w:val="center"/>
                </w:tcPr>
                <w:p w14:paraId="34CC6C73">
                  <w:pPr>
                    <w:pStyle w:val="20"/>
                    <w:spacing w:before="31"/>
                    <w:rPr>
                      <w:color w:val="auto"/>
                      <w:highlight w:val="none"/>
                    </w:rPr>
                  </w:pPr>
                  <w:r>
                    <w:rPr>
                      <w:rFonts w:hint="eastAsia"/>
                      <w:color w:val="auto"/>
                      <w:highlight w:val="none"/>
                    </w:rPr>
                    <w:t>（二）强化空间布局约束</w:t>
                  </w:r>
                </w:p>
              </w:tc>
              <w:tc>
                <w:tcPr>
                  <w:tcW w:w="2944" w:type="pct"/>
                  <w:tcMar>
                    <w:top w:w="0" w:type="dxa"/>
                    <w:bottom w:w="0" w:type="dxa"/>
                  </w:tcMar>
                  <w:vAlign w:val="center"/>
                </w:tcPr>
                <w:p w14:paraId="23A99821">
                  <w:pPr>
                    <w:pStyle w:val="20"/>
                    <w:spacing w:before="31"/>
                    <w:jc w:val="both"/>
                    <w:rPr>
                      <w:color w:val="auto"/>
                      <w:highlight w:val="none"/>
                    </w:rPr>
                  </w:pPr>
                  <w:r>
                    <w:rPr>
                      <w:rFonts w:hint="eastAsia"/>
                      <w:color w:val="auto"/>
                      <w:highlight w:val="none"/>
                    </w:rPr>
                    <w:t>开发建设应符合《中华人民共和国长江保护法》等法律法规以及关于沿江产业布局的相关规定。合理布局有环境防护距离要求的建设项目，其环境防护距离原则上应控制在园区规划边界或用地红线内。邻近渝西中学的未开发工业用地与渝西中学之间以及邻近居住用地的未开发工业地块（A31/04、A33/04、A34/04、A32/04、A30-1-1/06）与居住用地之间均应设置不少于100米环境防护距离，后续应根据项目环评确定</w:t>
                  </w:r>
                  <w:r>
                    <w:rPr>
                      <w:rFonts w:hint="eastAsia"/>
                      <w:color w:val="auto"/>
                      <w:highlight w:val="none"/>
                      <w:lang w:eastAsia="zh-CN"/>
                    </w:rPr>
                    <w:t>扩建项目</w:t>
                  </w:r>
                  <w:r>
                    <w:rPr>
                      <w:rFonts w:hint="eastAsia"/>
                      <w:color w:val="auto"/>
                      <w:highlight w:val="none"/>
                    </w:rPr>
                    <w:t>环境防护距离是否满足要求。与居住用地相邻的规划工业用地（A31/04、A33/04、A34/04、A30-1-1/06）及东北侧规划科研用地兼一类工业用地（C61-1/01、C61-4/01、C61-5/01、C62-1/01、C62-3/01、C63-1/01C63-2/01）后续不宜布局高噪声以及涉及喷漆、酸洗、熔炼等异味明显的生产项目。规划区禁止新建、扩建排放废水中含重金属（铬、</w:t>
                  </w:r>
                  <w:r>
                    <w:rPr>
                      <w:rFonts w:hint="eastAsia"/>
                      <w:color w:val="auto"/>
                      <w:highlight w:val="none"/>
                      <w:lang w:eastAsia="zh-CN"/>
                    </w:rPr>
                    <w:t>镉</w:t>
                  </w:r>
                  <w:r>
                    <w:rPr>
                      <w:rFonts w:hint="eastAsia"/>
                      <w:color w:val="auto"/>
                      <w:highlight w:val="none"/>
                    </w:rPr>
                    <w:t>、汞、砷、铅等重金属）、剧毒物质和持久性有机污染物的工业项目。</w:t>
                  </w:r>
                </w:p>
              </w:tc>
              <w:tc>
                <w:tcPr>
                  <w:tcW w:w="1247" w:type="pct"/>
                  <w:tcMar>
                    <w:top w:w="0" w:type="dxa"/>
                    <w:bottom w:w="0" w:type="dxa"/>
                  </w:tcMar>
                  <w:vAlign w:val="center"/>
                </w:tcPr>
                <w:p w14:paraId="2356B2FA">
                  <w:pPr>
                    <w:pStyle w:val="20"/>
                    <w:spacing w:before="31"/>
                    <w:jc w:val="both"/>
                    <w:rPr>
                      <w:color w:val="auto"/>
                      <w:highlight w:val="none"/>
                    </w:rPr>
                  </w:pPr>
                  <w:r>
                    <w:rPr>
                      <w:rFonts w:hint="eastAsia"/>
                      <w:color w:val="auto"/>
                      <w:highlight w:val="none"/>
                    </w:rPr>
                    <w:t>本项目位于西彭工业园区</w:t>
                  </w:r>
                  <w:r>
                    <w:rPr>
                      <w:rFonts w:hint="eastAsia"/>
                      <w:color w:val="auto"/>
                      <w:highlight w:val="none"/>
                      <w:lang w:val="en-US" w:eastAsia="zh-CN"/>
                    </w:rPr>
                    <w:t>西彭</w:t>
                  </w:r>
                  <w:r>
                    <w:rPr>
                      <w:rFonts w:hint="eastAsia"/>
                      <w:color w:val="auto"/>
                      <w:highlight w:val="none"/>
                    </w:rPr>
                    <w:t>组团</w:t>
                  </w:r>
                  <w:r>
                    <w:rPr>
                      <w:rFonts w:hint="eastAsia"/>
                      <w:color w:val="auto"/>
                      <w:highlight w:val="none"/>
                      <w:lang w:eastAsia="zh-CN"/>
                    </w:rPr>
                    <w:t>，</w:t>
                  </w:r>
                  <w:r>
                    <w:rPr>
                      <w:rFonts w:hint="eastAsia"/>
                      <w:color w:val="auto"/>
                      <w:highlight w:val="none"/>
                      <w:lang w:val="en-US" w:eastAsia="zh-CN"/>
                    </w:rPr>
                    <w:t>为A9/03地块</w:t>
                  </w:r>
                  <w:r>
                    <w:rPr>
                      <w:rFonts w:hint="eastAsia"/>
                      <w:color w:val="auto"/>
                      <w:highlight w:val="none"/>
                    </w:rPr>
                    <w:t>，不在文件所列A31/04、A33/04、A34/04、A32/04、A30-1-1/06</w:t>
                  </w:r>
                  <w:r>
                    <w:rPr>
                      <w:rFonts w:hint="eastAsia"/>
                      <w:color w:val="auto"/>
                      <w:highlight w:val="none"/>
                      <w:lang w:eastAsia="zh-CN"/>
                    </w:rPr>
                    <w:t>，无须设置</w:t>
                  </w:r>
                  <w:r>
                    <w:rPr>
                      <w:rFonts w:hint="eastAsia"/>
                      <w:color w:val="auto"/>
                      <w:highlight w:val="none"/>
                    </w:rPr>
                    <w:t>环境防护距离</w:t>
                  </w:r>
                  <w:r>
                    <w:rPr>
                      <w:rFonts w:hint="eastAsia"/>
                      <w:color w:val="auto"/>
                      <w:highlight w:val="none"/>
                      <w:lang w:eastAsia="zh-CN"/>
                    </w:rPr>
                    <w:t>。</w:t>
                  </w:r>
                  <w:r>
                    <w:rPr>
                      <w:rFonts w:hint="eastAsia"/>
                      <w:color w:val="auto"/>
                      <w:highlight w:val="none"/>
                      <w:lang w:val="en-US" w:eastAsia="zh-CN"/>
                    </w:rPr>
                    <w:t>不在文件所列</w:t>
                  </w:r>
                  <w:r>
                    <w:rPr>
                      <w:rFonts w:hint="eastAsia"/>
                      <w:color w:val="auto"/>
                      <w:highlight w:val="none"/>
                    </w:rPr>
                    <w:t>C61-1/01、C61-4/01、C61-5/01、C62-1/01、C62-3/01、C63-1/01C63-2/01地块</w:t>
                  </w:r>
                  <w:r>
                    <w:rPr>
                      <w:rFonts w:hint="eastAsia"/>
                      <w:color w:val="auto"/>
                      <w:highlight w:val="none"/>
                      <w:lang w:eastAsia="zh-CN"/>
                    </w:rPr>
                    <w:t>，</w:t>
                  </w:r>
                  <w:r>
                    <w:rPr>
                      <w:rFonts w:hint="eastAsia"/>
                      <w:color w:val="auto"/>
                      <w:highlight w:val="none"/>
                      <w:lang w:val="en-US" w:eastAsia="zh-CN"/>
                    </w:rPr>
                    <w:t>不受其</w:t>
                  </w:r>
                  <w:r>
                    <w:rPr>
                      <w:rFonts w:hint="eastAsia"/>
                      <w:color w:val="auto"/>
                      <w:highlight w:val="none"/>
                    </w:rPr>
                    <w:t>空间布局约束。项目外排废水不含五类重金属（铬、镉、汞、砷、铅）、剧毒物质和持久性有机污染物。</w:t>
                  </w:r>
                </w:p>
              </w:tc>
              <w:tc>
                <w:tcPr>
                  <w:tcW w:w="358" w:type="pct"/>
                  <w:tcMar>
                    <w:top w:w="0" w:type="dxa"/>
                    <w:bottom w:w="0" w:type="dxa"/>
                  </w:tcMar>
                  <w:vAlign w:val="center"/>
                </w:tcPr>
                <w:p w14:paraId="02B8A1A6">
                  <w:pPr>
                    <w:pStyle w:val="20"/>
                    <w:spacing w:before="31"/>
                    <w:rPr>
                      <w:color w:val="auto"/>
                      <w:highlight w:val="none"/>
                    </w:rPr>
                  </w:pPr>
                  <w:r>
                    <w:rPr>
                      <w:rFonts w:hint="eastAsia"/>
                      <w:color w:val="auto"/>
                      <w:highlight w:val="none"/>
                    </w:rPr>
                    <w:t>符合</w:t>
                  </w:r>
                </w:p>
              </w:tc>
            </w:tr>
            <w:tr w14:paraId="2542D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449" w:type="pct"/>
                  <w:tcMar>
                    <w:top w:w="0" w:type="dxa"/>
                    <w:bottom w:w="0" w:type="dxa"/>
                  </w:tcMar>
                  <w:vAlign w:val="center"/>
                </w:tcPr>
                <w:p w14:paraId="01291C4C">
                  <w:pPr>
                    <w:pStyle w:val="20"/>
                    <w:spacing w:before="31"/>
                    <w:rPr>
                      <w:color w:val="auto"/>
                      <w:highlight w:val="none"/>
                    </w:rPr>
                  </w:pPr>
                  <w:r>
                    <w:rPr>
                      <w:rFonts w:hint="eastAsia"/>
                      <w:color w:val="auto"/>
                      <w:highlight w:val="none"/>
                    </w:rPr>
                    <w:t>（三）加强污染排放管控</w:t>
                  </w:r>
                </w:p>
              </w:tc>
              <w:tc>
                <w:tcPr>
                  <w:tcW w:w="2944" w:type="pct"/>
                  <w:tcMar>
                    <w:top w:w="0" w:type="dxa"/>
                    <w:bottom w:w="0" w:type="dxa"/>
                  </w:tcMar>
                  <w:vAlign w:val="center"/>
                </w:tcPr>
                <w:p w14:paraId="4EBD697C">
                  <w:pPr>
                    <w:pStyle w:val="20"/>
                    <w:spacing w:before="31"/>
                    <w:jc w:val="both"/>
                    <w:rPr>
                      <w:color w:val="auto"/>
                      <w:highlight w:val="none"/>
                    </w:rPr>
                  </w:pPr>
                  <w:r>
                    <w:rPr>
                      <w:rFonts w:hint="eastAsia"/>
                      <w:color w:val="auto"/>
                      <w:highlight w:val="none"/>
                    </w:rPr>
                    <w:t>规划实施排放的主要污染物及特征污染物排放量不得突破《报告书》确定的总量管控指标。</w:t>
                  </w:r>
                </w:p>
              </w:tc>
              <w:tc>
                <w:tcPr>
                  <w:tcW w:w="1247" w:type="pct"/>
                  <w:tcMar>
                    <w:top w:w="0" w:type="dxa"/>
                    <w:bottom w:w="0" w:type="dxa"/>
                  </w:tcMar>
                  <w:vAlign w:val="center"/>
                </w:tcPr>
                <w:p w14:paraId="6360D6BE">
                  <w:pPr>
                    <w:pStyle w:val="20"/>
                    <w:bidi w:val="0"/>
                    <w:jc w:val="both"/>
                    <w:rPr>
                      <w:color w:val="auto"/>
                      <w:highlight w:val="none"/>
                    </w:rPr>
                  </w:pPr>
                  <w:r>
                    <w:rPr>
                      <w:rFonts w:hint="eastAsia"/>
                      <w:color w:val="auto"/>
                      <w:highlight w:val="none"/>
                      <w:lang w:val="en-US" w:eastAsia="zh-CN"/>
                    </w:rPr>
                    <w:t>项目扩建后非甲烷总烃污染物排放总量为0.6454t/a，详见</w:t>
                  </w:r>
                  <w:r>
                    <w:rPr>
                      <w:rFonts w:hint="eastAsia"/>
                      <w:color w:val="auto"/>
                      <w:highlight w:val="none"/>
                      <w:lang w:val="en-US" w:eastAsia="zh-CN"/>
                    </w:rPr>
                    <w:fldChar w:fldCharType="begin"/>
                  </w:r>
                  <w:r>
                    <w:rPr>
                      <w:rFonts w:hint="eastAsia"/>
                      <w:color w:val="auto"/>
                      <w:highlight w:val="none"/>
                      <w:lang w:val="en-US" w:eastAsia="zh-CN"/>
                    </w:rPr>
                    <w:instrText xml:space="preserve"> REF _Ref2627 \h </w:instrText>
                  </w:r>
                  <w:r>
                    <w:rPr>
                      <w:rFonts w:hint="eastAsia"/>
                      <w:color w:val="auto"/>
                      <w:highlight w:val="none"/>
                      <w:lang w:val="en-US" w:eastAsia="zh-CN"/>
                    </w:rPr>
                    <w:fldChar w:fldCharType="separate"/>
                  </w:r>
                  <w:r>
                    <w:rPr>
                      <w:color w:val="auto"/>
                      <w:highlight w:val="none"/>
                    </w:rPr>
                    <w:t>表3-10</w:t>
                  </w:r>
                  <w:r>
                    <w:rPr>
                      <w:rFonts w:hint="eastAsia"/>
                      <w:color w:val="auto"/>
                      <w:highlight w:val="none"/>
                      <w:lang w:val="en-US" w:eastAsia="zh-CN"/>
                    </w:rPr>
                    <w:fldChar w:fldCharType="end"/>
                  </w:r>
                  <w:r>
                    <w:rPr>
                      <w:rFonts w:hint="eastAsia"/>
                      <w:color w:val="auto"/>
                      <w:highlight w:val="none"/>
                      <w:lang w:val="en-US" w:eastAsia="zh-CN"/>
                    </w:rPr>
                    <w:t>、</w:t>
                  </w:r>
                  <w:r>
                    <w:rPr>
                      <w:rFonts w:hint="eastAsia"/>
                      <w:color w:val="auto"/>
                      <w:highlight w:val="none"/>
                      <w:lang w:val="en-US" w:eastAsia="zh-CN"/>
                    </w:rPr>
                    <w:fldChar w:fldCharType="begin"/>
                  </w:r>
                  <w:r>
                    <w:rPr>
                      <w:rFonts w:hint="eastAsia"/>
                      <w:color w:val="auto"/>
                      <w:highlight w:val="none"/>
                      <w:lang w:val="en-US" w:eastAsia="zh-CN"/>
                    </w:rPr>
                    <w:instrText xml:space="preserve"> REF _Ref2637 \h </w:instrText>
                  </w:r>
                  <w:r>
                    <w:rPr>
                      <w:rFonts w:hint="eastAsia"/>
                      <w:color w:val="auto"/>
                      <w:highlight w:val="none"/>
                      <w:lang w:val="en-US" w:eastAsia="zh-CN"/>
                    </w:rPr>
                    <w:fldChar w:fldCharType="separate"/>
                  </w:r>
                  <w:r>
                    <w:rPr>
                      <w:color w:val="auto"/>
                      <w:highlight w:val="none"/>
                    </w:rPr>
                    <w:t>表3-11</w:t>
                  </w:r>
                  <w:r>
                    <w:rPr>
                      <w:rFonts w:hint="eastAsia"/>
                      <w:color w:val="auto"/>
                      <w:highlight w:val="none"/>
                      <w:lang w:val="en-US" w:eastAsia="zh-CN"/>
                    </w:rPr>
                    <w:fldChar w:fldCharType="end"/>
                  </w:r>
                  <w:r>
                    <w:rPr>
                      <w:rFonts w:hint="eastAsia"/>
                      <w:color w:val="auto"/>
                      <w:highlight w:val="none"/>
                      <w:lang w:val="en-US" w:eastAsia="zh-CN"/>
                    </w:rPr>
                    <w:t>，</w:t>
                  </w:r>
                  <w:r>
                    <w:rPr>
                      <w:rFonts w:hint="eastAsia"/>
                      <w:color w:val="auto"/>
                      <w:highlight w:val="none"/>
                    </w:rPr>
                    <w:t>项目污染物排放总量占比较小，不会突破本次规划环评确定的污染物排放总量限值。</w:t>
                  </w:r>
                </w:p>
              </w:tc>
              <w:tc>
                <w:tcPr>
                  <w:tcW w:w="358" w:type="pct"/>
                  <w:tcMar>
                    <w:top w:w="0" w:type="dxa"/>
                    <w:bottom w:w="0" w:type="dxa"/>
                  </w:tcMar>
                  <w:vAlign w:val="center"/>
                </w:tcPr>
                <w:p w14:paraId="4B65D545">
                  <w:pPr>
                    <w:pStyle w:val="20"/>
                    <w:bidi w:val="0"/>
                    <w:jc w:val="center"/>
                    <w:rPr>
                      <w:color w:val="auto"/>
                      <w:highlight w:val="none"/>
                    </w:rPr>
                  </w:pPr>
                  <w:r>
                    <w:rPr>
                      <w:rFonts w:hint="eastAsia"/>
                      <w:color w:val="auto"/>
                      <w:highlight w:val="none"/>
                    </w:rPr>
                    <w:t>符合</w:t>
                  </w:r>
                </w:p>
              </w:tc>
            </w:tr>
            <w:tr w14:paraId="20349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449" w:type="pct"/>
                  <w:vMerge w:val="restart"/>
                  <w:tcMar>
                    <w:top w:w="0" w:type="dxa"/>
                    <w:bottom w:w="0" w:type="dxa"/>
                  </w:tcMar>
                  <w:vAlign w:val="center"/>
                </w:tcPr>
                <w:p w14:paraId="141D39E3">
                  <w:pPr>
                    <w:pStyle w:val="20"/>
                    <w:spacing w:before="31"/>
                    <w:rPr>
                      <w:color w:val="auto"/>
                      <w:highlight w:val="none"/>
                    </w:rPr>
                  </w:pPr>
                  <w:r>
                    <w:rPr>
                      <w:rFonts w:hint="eastAsia"/>
                      <w:color w:val="auto"/>
                      <w:highlight w:val="none"/>
                    </w:rPr>
                    <w:t>1.水污染物排放管控</w:t>
                  </w:r>
                </w:p>
              </w:tc>
              <w:tc>
                <w:tcPr>
                  <w:tcW w:w="2944" w:type="pct"/>
                  <w:tcMar>
                    <w:top w:w="0" w:type="dxa"/>
                    <w:bottom w:w="0" w:type="dxa"/>
                  </w:tcMar>
                  <w:vAlign w:val="center"/>
                </w:tcPr>
                <w:p w14:paraId="6A951955">
                  <w:pPr>
                    <w:pStyle w:val="20"/>
                    <w:spacing w:before="31"/>
                    <w:jc w:val="both"/>
                    <w:rPr>
                      <w:color w:val="auto"/>
                      <w:highlight w:val="none"/>
                    </w:rPr>
                  </w:pPr>
                  <w:r>
                    <w:rPr>
                      <w:rFonts w:hint="eastAsia"/>
                      <w:color w:val="auto"/>
                      <w:highlight w:val="none"/>
                    </w:rPr>
                    <w:t>规划区排水系统采用雨、污分流制，加快实施污水处理厂扩建和提标改造，完善雨水、污水管网建设，确保雨污分流、污废水得到有效收集处理。持续推进清洁生产审核，工业企业应采用先进的生产工艺，减少新鲜水消耗和废水排放。</w:t>
                  </w:r>
                </w:p>
              </w:tc>
              <w:tc>
                <w:tcPr>
                  <w:tcW w:w="1247" w:type="pct"/>
                  <w:vMerge w:val="restart"/>
                  <w:tcMar>
                    <w:top w:w="0" w:type="dxa"/>
                    <w:bottom w:w="0" w:type="dxa"/>
                  </w:tcMar>
                  <w:vAlign w:val="center"/>
                </w:tcPr>
                <w:p w14:paraId="6A72D18B">
                  <w:pPr>
                    <w:pStyle w:val="20"/>
                    <w:spacing w:before="31"/>
                    <w:jc w:val="both"/>
                    <w:rPr>
                      <w:color w:val="auto"/>
                      <w:highlight w:val="none"/>
                    </w:rPr>
                  </w:pPr>
                  <w:r>
                    <w:rPr>
                      <w:rFonts w:hint="eastAsia"/>
                      <w:color w:val="auto"/>
                      <w:highlight w:val="none"/>
                      <w:lang w:eastAsia="zh-CN"/>
                    </w:rPr>
                    <w:t>扩建项目</w:t>
                  </w:r>
                  <w:r>
                    <w:rPr>
                      <w:rFonts w:hint="eastAsia"/>
                      <w:color w:val="auto"/>
                      <w:highlight w:val="none"/>
                      <w:lang w:val="en-US" w:eastAsia="zh-CN"/>
                    </w:rPr>
                    <w:t>位于西彭组团，废水</w:t>
                  </w:r>
                  <w:r>
                    <w:rPr>
                      <w:rFonts w:hint="eastAsia"/>
                      <w:color w:val="auto"/>
                      <w:highlight w:val="none"/>
                    </w:rPr>
                    <w:t>达《污水综合排放标准》（GB8978-1996）三级标准后进入园区污水管网。进入西彭工业园区污水处理厂进一步处理。项目周边已有污水管网覆盖，可接入污水处理厂。项目外排废水占比较小，不会对污水处理厂造成负荷冲击。</w:t>
                  </w:r>
                </w:p>
              </w:tc>
              <w:tc>
                <w:tcPr>
                  <w:tcW w:w="358" w:type="pct"/>
                  <w:vMerge w:val="restart"/>
                  <w:tcMar>
                    <w:top w:w="0" w:type="dxa"/>
                    <w:bottom w:w="0" w:type="dxa"/>
                  </w:tcMar>
                  <w:vAlign w:val="center"/>
                </w:tcPr>
                <w:p w14:paraId="2268CE74">
                  <w:pPr>
                    <w:pStyle w:val="20"/>
                    <w:spacing w:before="31"/>
                    <w:rPr>
                      <w:color w:val="auto"/>
                      <w:highlight w:val="none"/>
                    </w:rPr>
                  </w:pPr>
                  <w:r>
                    <w:rPr>
                      <w:rFonts w:hint="eastAsia"/>
                      <w:color w:val="auto"/>
                      <w:highlight w:val="none"/>
                    </w:rPr>
                    <w:t>符合</w:t>
                  </w:r>
                </w:p>
              </w:tc>
            </w:tr>
            <w:tr w14:paraId="7B2C5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449" w:type="pct"/>
                  <w:vMerge w:val="continue"/>
                  <w:tcMar>
                    <w:top w:w="0" w:type="dxa"/>
                    <w:bottom w:w="0" w:type="dxa"/>
                  </w:tcMar>
                  <w:vAlign w:val="center"/>
                </w:tcPr>
                <w:p w14:paraId="02FF32E9">
                  <w:pPr>
                    <w:pStyle w:val="20"/>
                    <w:spacing w:before="31"/>
                    <w:jc w:val="both"/>
                    <w:rPr>
                      <w:color w:val="auto"/>
                      <w:highlight w:val="none"/>
                    </w:rPr>
                  </w:pPr>
                </w:p>
              </w:tc>
              <w:tc>
                <w:tcPr>
                  <w:tcW w:w="2944" w:type="pct"/>
                  <w:tcMar>
                    <w:top w:w="0" w:type="dxa"/>
                    <w:bottom w:w="0" w:type="dxa"/>
                  </w:tcMar>
                  <w:vAlign w:val="center"/>
                </w:tcPr>
                <w:p w14:paraId="0BE442AA">
                  <w:pPr>
                    <w:pStyle w:val="20"/>
                    <w:spacing w:before="31"/>
                    <w:jc w:val="both"/>
                    <w:rPr>
                      <w:color w:val="auto"/>
                      <w:highlight w:val="none"/>
                    </w:rPr>
                  </w:pPr>
                  <w:r>
                    <w:rPr>
                      <w:rFonts w:hint="eastAsia"/>
                      <w:color w:val="auto"/>
                      <w:highlight w:val="none"/>
                    </w:rPr>
                    <w:t>西彭组团生活区污水收集进入西彭镇污水处理厂处理达《城镇污水处理厂污染物排放标准》（GB18918-2002）一级A标准后排入桥头河；工业区（除西南铝企业）废水经企业预处理达接管要求后进入西彭工业园区污水处理厂处理达《城镇污水处理厂污染物排放标准》（GB18918-2002）一级A标准后排入桥头河（其中COD、NH</w:t>
                  </w:r>
                  <w:r>
                    <w:rPr>
                      <w:rFonts w:hint="eastAsia"/>
                      <w:color w:val="auto"/>
                      <w:highlight w:val="none"/>
                      <w:vertAlign w:val="subscript"/>
                    </w:rPr>
                    <w:t>3</w:t>
                  </w:r>
                  <w:r>
                    <w:rPr>
                      <w:rFonts w:hint="eastAsia"/>
                      <w:color w:val="auto"/>
                      <w:highlight w:val="none"/>
                    </w:rPr>
                    <w:t>-N、TP达《地表水环境质量标准》（GB3838-2002）</w:t>
                  </w:r>
                  <w:r>
                    <w:rPr>
                      <w:rFonts w:hint="eastAsia"/>
                      <w:color w:val="auto"/>
                      <w:highlight w:val="none"/>
                      <w:lang w:eastAsia="zh-CN"/>
                    </w:rPr>
                    <w:t>Ⅳ类</w:t>
                  </w:r>
                  <w:r>
                    <w:rPr>
                      <w:rFonts w:hint="eastAsia"/>
                      <w:color w:val="auto"/>
                      <w:highlight w:val="none"/>
                    </w:rPr>
                    <w:t>标准）；西南铝企业污废水经自建污水处理站处理达《污水综合排放标准》（GB8978-1996）一级标准后排入桥头河。</w:t>
                  </w:r>
                </w:p>
              </w:tc>
              <w:tc>
                <w:tcPr>
                  <w:tcW w:w="1247" w:type="pct"/>
                  <w:vMerge w:val="continue"/>
                  <w:tcMar>
                    <w:top w:w="0" w:type="dxa"/>
                    <w:bottom w:w="0" w:type="dxa"/>
                  </w:tcMar>
                  <w:vAlign w:val="center"/>
                </w:tcPr>
                <w:p w14:paraId="3AFD7D02">
                  <w:pPr>
                    <w:pStyle w:val="20"/>
                    <w:spacing w:before="31"/>
                    <w:jc w:val="both"/>
                    <w:rPr>
                      <w:color w:val="auto"/>
                      <w:highlight w:val="none"/>
                    </w:rPr>
                  </w:pPr>
                </w:p>
              </w:tc>
              <w:tc>
                <w:tcPr>
                  <w:tcW w:w="358" w:type="pct"/>
                  <w:vMerge w:val="continue"/>
                  <w:tcMar>
                    <w:top w:w="0" w:type="dxa"/>
                    <w:bottom w:w="0" w:type="dxa"/>
                  </w:tcMar>
                  <w:vAlign w:val="center"/>
                </w:tcPr>
                <w:p w14:paraId="6E0C279A">
                  <w:pPr>
                    <w:pStyle w:val="20"/>
                    <w:spacing w:before="31"/>
                    <w:jc w:val="both"/>
                    <w:rPr>
                      <w:color w:val="auto"/>
                      <w:highlight w:val="none"/>
                    </w:rPr>
                  </w:pPr>
                </w:p>
              </w:tc>
            </w:tr>
            <w:tr w14:paraId="3402E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449" w:type="pct"/>
                  <w:vMerge w:val="continue"/>
                  <w:tcMar>
                    <w:top w:w="0" w:type="dxa"/>
                    <w:bottom w:w="0" w:type="dxa"/>
                  </w:tcMar>
                  <w:vAlign w:val="center"/>
                </w:tcPr>
                <w:p w14:paraId="52A53254">
                  <w:pPr>
                    <w:pStyle w:val="20"/>
                    <w:spacing w:before="31"/>
                    <w:jc w:val="both"/>
                    <w:rPr>
                      <w:color w:val="auto"/>
                      <w:highlight w:val="none"/>
                    </w:rPr>
                  </w:pPr>
                </w:p>
              </w:tc>
              <w:tc>
                <w:tcPr>
                  <w:tcW w:w="2944" w:type="pct"/>
                  <w:tcMar>
                    <w:top w:w="0" w:type="dxa"/>
                    <w:bottom w:w="0" w:type="dxa"/>
                  </w:tcMar>
                  <w:vAlign w:val="center"/>
                </w:tcPr>
                <w:p w14:paraId="092E4EC5">
                  <w:pPr>
                    <w:pStyle w:val="20"/>
                    <w:spacing w:before="31"/>
                    <w:jc w:val="both"/>
                    <w:rPr>
                      <w:color w:val="auto"/>
                      <w:highlight w:val="none"/>
                    </w:rPr>
                  </w:pPr>
                  <w:r>
                    <w:rPr>
                      <w:rFonts w:hint="eastAsia"/>
                      <w:color w:val="auto"/>
                      <w:highlight w:val="none"/>
                    </w:rPr>
                    <w:t>陶家组团生活区污水收集进入陶家镇生活污水处理厂处理达《城镇污水处理厂污染物排放标准》（GB18918-2002）一级A标后排入大溪河；工业区废水经企业预处理达接管要求后排入陶家工业污水处理厂处理达《城镇污水处理厂污染物排放标准》（GB18918-2002）一级A标准后排入杨柳曲河再汇入大溪河（其中COD、NH</w:t>
                  </w:r>
                  <w:r>
                    <w:rPr>
                      <w:rFonts w:hint="eastAsia"/>
                      <w:color w:val="auto"/>
                      <w:highlight w:val="none"/>
                      <w:vertAlign w:val="subscript"/>
                    </w:rPr>
                    <w:t>3</w:t>
                  </w:r>
                  <w:r>
                    <w:rPr>
                      <w:rFonts w:hint="eastAsia"/>
                      <w:color w:val="auto"/>
                      <w:highlight w:val="none"/>
                    </w:rPr>
                    <w:t>-N、TP达《地表水环境质量标准》（GB3838-2002）</w:t>
                  </w:r>
                  <w:r>
                    <w:rPr>
                      <w:rFonts w:hint="eastAsia"/>
                      <w:color w:val="auto"/>
                      <w:highlight w:val="none"/>
                      <w:lang w:eastAsia="zh-CN"/>
                    </w:rPr>
                    <w:t>Ⅳ类</w:t>
                  </w:r>
                  <w:r>
                    <w:rPr>
                      <w:rFonts w:hint="eastAsia"/>
                      <w:color w:val="auto"/>
                      <w:highlight w:val="none"/>
                    </w:rPr>
                    <w:t>标准）。</w:t>
                  </w:r>
                </w:p>
              </w:tc>
              <w:tc>
                <w:tcPr>
                  <w:tcW w:w="1247" w:type="pct"/>
                  <w:vMerge w:val="continue"/>
                  <w:tcMar>
                    <w:top w:w="0" w:type="dxa"/>
                    <w:bottom w:w="0" w:type="dxa"/>
                  </w:tcMar>
                  <w:vAlign w:val="center"/>
                </w:tcPr>
                <w:p w14:paraId="4975FF40">
                  <w:pPr>
                    <w:pStyle w:val="20"/>
                    <w:spacing w:before="31"/>
                    <w:jc w:val="both"/>
                    <w:rPr>
                      <w:color w:val="auto"/>
                      <w:highlight w:val="none"/>
                    </w:rPr>
                  </w:pPr>
                </w:p>
              </w:tc>
              <w:tc>
                <w:tcPr>
                  <w:tcW w:w="358" w:type="pct"/>
                  <w:tcMar>
                    <w:top w:w="0" w:type="dxa"/>
                    <w:bottom w:w="0" w:type="dxa"/>
                  </w:tcMar>
                  <w:vAlign w:val="center"/>
                </w:tcPr>
                <w:p w14:paraId="4D1C9357">
                  <w:pPr>
                    <w:pStyle w:val="20"/>
                    <w:spacing w:before="31"/>
                    <w:jc w:val="both"/>
                    <w:rPr>
                      <w:color w:val="auto"/>
                      <w:highlight w:val="none"/>
                    </w:rPr>
                  </w:pPr>
                  <w:r>
                    <w:rPr>
                      <w:rFonts w:hint="eastAsia"/>
                      <w:color w:val="auto"/>
                      <w:highlight w:val="none"/>
                    </w:rPr>
                    <w:t>符合</w:t>
                  </w:r>
                </w:p>
              </w:tc>
            </w:tr>
            <w:tr w14:paraId="6D2D9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449" w:type="pct"/>
                  <w:vMerge w:val="continue"/>
                  <w:tcMar>
                    <w:top w:w="0" w:type="dxa"/>
                    <w:bottom w:w="0" w:type="dxa"/>
                  </w:tcMar>
                  <w:vAlign w:val="center"/>
                </w:tcPr>
                <w:p w14:paraId="4580A165">
                  <w:pPr>
                    <w:pStyle w:val="20"/>
                    <w:spacing w:before="31"/>
                    <w:jc w:val="both"/>
                    <w:rPr>
                      <w:color w:val="auto"/>
                      <w:highlight w:val="none"/>
                    </w:rPr>
                  </w:pPr>
                </w:p>
              </w:tc>
              <w:tc>
                <w:tcPr>
                  <w:tcW w:w="2944" w:type="pct"/>
                  <w:tcMar>
                    <w:top w:w="0" w:type="dxa"/>
                    <w:bottom w:w="0" w:type="dxa"/>
                  </w:tcMar>
                  <w:vAlign w:val="center"/>
                </w:tcPr>
                <w:p w14:paraId="400995AA">
                  <w:pPr>
                    <w:pStyle w:val="20"/>
                    <w:spacing w:before="31"/>
                    <w:jc w:val="both"/>
                    <w:rPr>
                      <w:color w:val="auto"/>
                      <w:highlight w:val="none"/>
                    </w:rPr>
                  </w:pPr>
                  <w:r>
                    <w:rPr>
                      <w:rFonts w:hint="eastAsia"/>
                      <w:color w:val="auto"/>
                      <w:highlight w:val="none"/>
                    </w:rPr>
                    <w:t>铜罐驿组团污废水（除重庆和友实业股份有限公司）通过市政污水管网进入铜罐驿污水处理厂处理达《地表水环境质量标准》（GB3838-2002）</w:t>
                  </w:r>
                  <w:r>
                    <w:rPr>
                      <w:rFonts w:hint="eastAsia"/>
                      <w:color w:val="auto"/>
                      <w:highlight w:val="none"/>
                      <w:lang w:eastAsia="zh-CN"/>
                    </w:rPr>
                    <w:t>Ⅳ类</w:t>
                  </w:r>
                  <w:r>
                    <w:rPr>
                      <w:rFonts w:hint="eastAsia"/>
                      <w:color w:val="auto"/>
                      <w:highlight w:val="none"/>
                    </w:rPr>
                    <w:t>标准后排入金竹沟再汇入长江；重庆和友实业股份有限公司经自建污水处理站处理达到《合成氨工业水污染物排放标准》（GB13458-2013）后排入金竹沟再汇入长江。</w:t>
                  </w:r>
                </w:p>
              </w:tc>
              <w:tc>
                <w:tcPr>
                  <w:tcW w:w="1247" w:type="pct"/>
                  <w:vMerge w:val="continue"/>
                  <w:tcMar>
                    <w:top w:w="0" w:type="dxa"/>
                    <w:bottom w:w="0" w:type="dxa"/>
                  </w:tcMar>
                  <w:vAlign w:val="center"/>
                </w:tcPr>
                <w:p w14:paraId="4E67B6B9">
                  <w:pPr>
                    <w:pStyle w:val="20"/>
                    <w:spacing w:before="31"/>
                    <w:jc w:val="both"/>
                    <w:rPr>
                      <w:color w:val="auto"/>
                      <w:highlight w:val="none"/>
                    </w:rPr>
                  </w:pPr>
                </w:p>
              </w:tc>
              <w:tc>
                <w:tcPr>
                  <w:tcW w:w="358" w:type="pct"/>
                  <w:tcMar>
                    <w:top w:w="0" w:type="dxa"/>
                    <w:bottom w:w="0" w:type="dxa"/>
                  </w:tcMar>
                  <w:vAlign w:val="center"/>
                </w:tcPr>
                <w:p w14:paraId="6D4C71AE">
                  <w:pPr>
                    <w:pStyle w:val="20"/>
                    <w:spacing w:before="31"/>
                    <w:jc w:val="both"/>
                    <w:rPr>
                      <w:color w:val="auto"/>
                      <w:highlight w:val="none"/>
                    </w:rPr>
                  </w:pPr>
                  <w:r>
                    <w:rPr>
                      <w:rFonts w:hint="eastAsia"/>
                      <w:color w:val="auto"/>
                      <w:highlight w:val="none"/>
                    </w:rPr>
                    <w:t>符合</w:t>
                  </w:r>
                </w:p>
              </w:tc>
            </w:tr>
            <w:tr w14:paraId="28367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449" w:type="pct"/>
                  <w:tcMar>
                    <w:top w:w="0" w:type="dxa"/>
                    <w:bottom w:w="0" w:type="dxa"/>
                  </w:tcMar>
                  <w:vAlign w:val="center"/>
                </w:tcPr>
                <w:p w14:paraId="6DB073F6">
                  <w:pPr>
                    <w:pStyle w:val="20"/>
                    <w:spacing w:before="31"/>
                    <w:rPr>
                      <w:color w:val="auto"/>
                      <w:highlight w:val="none"/>
                    </w:rPr>
                  </w:pPr>
                  <w:r>
                    <w:rPr>
                      <w:rFonts w:hint="eastAsia"/>
                      <w:color w:val="auto"/>
                      <w:highlight w:val="none"/>
                    </w:rPr>
                    <w:t>2.大气污染物排放管控</w:t>
                  </w:r>
                </w:p>
              </w:tc>
              <w:tc>
                <w:tcPr>
                  <w:tcW w:w="2944" w:type="pct"/>
                  <w:tcMar>
                    <w:top w:w="0" w:type="dxa"/>
                    <w:bottom w:w="0" w:type="dxa"/>
                  </w:tcMar>
                  <w:vAlign w:val="center"/>
                </w:tcPr>
                <w:p w14:paraId="4CBB2091">
                  <w:pPr>
                    <w:pStyle w:val="20"/>
                    <w:spacing w:before="31"/>
                    <w:jc w:val="both"/>
                    <w:rPr>
                      <w:color w:val="auto"/>
                      <w:highlight w:val="none"/>
                    </w:rPr>
                  </w:pPr>
                  <w:r>
                    <w:rPr>
                      <w:rFonts w:hint="eastAsia"/>
                      <w:color w:val="auto"/>
                      <w:highlight w:val="none"/>
                    </w:rPr>
                    <w:t>优化能源结构，严格落实清洁能源计划，鼓励使用天然气、电等清洁能源。燃气锅炉应采用低氮燃烧工艺。加强工业企业大气污染综合治理，各入驻企业应采取有效的废气处理措施，确保工艺废气稳定达标排放并满足总量控制要求。涉及挥发性有机物排放的项目应从源头加强控制，优先使用低（无）VOC</w:t>
                  </w:r>
                  <w:r>
                    <w:rPr>
                      <w:rFonts w:hint="eastAsia"/>
                      <w:color w:val="auto"/>
                      <w:highlight w:val="none"/>
                      <w:vertAlign w:val="subscript"/>
                    </w:rPr>
                    <w:t>S</w:t>
                  </w:r>
                  <w:r>
                    <w:rPr>
                      <w:rFonts w:hint="eastAsia"/>
                      <w:color w:val="auto"/>
                      <w:highlight w:val="none"/>
                    </w:rPr>
                    <w:t>含量的原辅料，并按照相关要求采用先进生产技术、高效工艺，减少工艺过程无组织排放，严格按照国家及重庆市关于挥发性有机物治理的相关要求落实污染防治措施。严格控制工业企业粉尘无组织排放，加强工业企业臭气等异味气体的污染防治，确保厂界达标避免对周边环境敏感点造成影响。新、建扩建涉及喷漆、酸洗等异味气体排放的生产项目应远离居住、学校等人口密集区。</w:t>
                  </w:r>
                </w:p>
              </w:tc>
              <w:tc>
                <w:tcPr>
                  <w:tcW w:w="1247" w:type="pct"/>
                  <w:tcMar>
                    <w:top w:w="0" w:type="dxa"/>
                    <w:bottom w:w="0" w:type="dxa"/>
                  </w:tcMar>
                  <w:vAlign w:val="center"/>
                </w:tcPr>
                <w:p w14:paraId="3578D0CE">
                  <w:pPr>
                    <w:pStyle w:val="20"/>
                    <w:spacing w:before="31"/>
                    <w:jc w:val="both"/>
                    <w:rPr>
                      <w:color w:val="auto"/>
                      <w:highlight w:val="none"/>
                    </w:rPr>
                  </w:pPr>
                  <w:r>
                    <w:rPr>
                      <w:rFonts w:hint="eastAsia"/>
                      <w:color w:val="auto"/>
                      <w:highlight w:val="none"/>
                      <w:lang w:eastAsia="zh-CN"/>
                    </w:rPr>
                    <w:t>扩建项目</w:t>
                  </w:r>
                  <w:r>
                    <w:rPr>
                      <w:rFonts w:hint="eastAsia"/>
                      <w:color w:val="auto"/>
                      <w:highlight w:val="none"/>
                    </w:rPr>
                    <w:t>使用</w:t>
                  </w:r>
                  <w:r>
                    <w:rPr>
                      <w:rFonts w:hint="eastAsia"/>
                      <w:color w:val="auto"/>
                      <w:highlight w:val="none"/>
                      <w:lang w:val="en-US" w:eastAsia="zh-CN"/>
                    </w:rPr>
                    <w:t>电为能源，</w:t>
                  </w:r>
                  <w:r>
                    <w:rPr>
                      <w:rFonts w:hint="eastAsia"/>
                      <w:color w:val="auto"/>
                      <w:highlight w:val="none"/>
                    </w:rPr>
                    <w:t>项目</w:t>
                  </w:r>
                  <w:r>
                    <w:rPr>
                      <w:rFonts w:hint="eastAsia"/>
                      <w:color w:val="auto"/>
                      <w:highlight w:val="none"/>
                      <w:lang w:val="en-US" w:eastAsia="zh-CN"/>
                    </w:rPr>
                    <w:t>有机</w:t>
                  </w:r>
                  <w:r>
                    <w:rPr>
                      <w:rFonts w:hint="eastAsia"/>
                      <w:color w:val="auto"/>
                      <w:highlight w:val="none"/>
                    </w:rPr>
                    <w:t>废气</w:t>
                  </w:r>
                  <w:r>
                    <w:rPr>
                      <w:rFonts w:hint="eastAsia"/>
                      <w:color w:val="auto"/>
                      <w:highlight w:val="none"/>
                      <w:lang w:val="en-US" w:eastAsia="zh-CN"/>
                    </w:rPr>
                    <w:t>采用过滤棉+UV光氧化+二级活性炭吸附处置有组织排放</w:t>
                  </w:r>
                  <w:r>
                    <w:rPr>
                      <w:rFonts w:hint="eastAsia"/>
                      <w:color w:val="auto"/>
                      <w:highlight w:val="none"/>
                    </w:rPr>
                    <w:t>。</w:t>
                  </w:r>
                </w:p>
              </w:tc>
              <w:tc>
                <w:tcPr>
                  <w:tcW w:w="358" w:type="pct"/>
                  <w:tcMar>
                    <w:top w:w="0" w:type="dxa"/>
                    <w:bottom w:w="0" w:type="dxa"/>
                  </w:tcMar>
                  <w:vAlign w:val="center"/>
                </w:tcPr>
                <w:p w14:paraId="2A065634">
                  <w:pPr>
                    <w:pStyle w:val="20"/>
                    <w:spacing w:before="31"/>
                    <w:rPr>
                      <w:color w:val="auto"/>
                      <w:highlight w:val="none"/>
                    </w:rPr>
                  </w:pPr>
                  <w:r>
                    <w:rPr>
                      <w:rFonts w:hint="eastAsia"/>
                      <w:color w:val="auto"/>
                      <w:highlight w:val="none"/>
                    </w:rPr>
                    <w:t>符合</w:t>
                  </w:r>
                </w:p>
              </w:tc>
            </w:tr>
            <w:tr w14:paraId="4402F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449" w:type="pct"/>
                  <w:tcMar>
                    <w:top w:w="0" w:type="dxa"/>
                    <w:bottom w:w="0" w:type="dxa"/>
                  </w:tcMar>
                  <w:vAlign w:val="center"/>
                </w:tcPr>
                <w:p w14:paraId="39E49CAB">
                  <w:pPr>
                    <w:pStyle w:val="20"/>
                    <w:spacing w:before="31"/>
                    <w:rPr>
                      <w:color w:val="auto"/>
                      <w:highlight w:val="none"/>
                    </w:rPr>
                  </w:pPr>
                  <w:r>
                    <w:rPr>
                      <w:rFonts w:hint="eastAsia"/>
                      <w:color w:val="auto"/>
                      <w:highlight w:val="none"/>
                    </w:rPr>
                    <w:t>3.工业固废排放管控</w:t>
                  </w:r>
                </w:p>
              </w:tc>
              <w:tc>
                <w:tcPr>
                  <w:tcW w:w="2944" w:type="pct"/>
                  <w:tcMar>
                    <w:top w:w="0" w:type="dxa"/>
                    <w:bottom w:w="0" w:type="dxa"/>
                  </w:tcMar>
                  <w:vAlign w:val="center"/>
                </w:tcPr>
                <w:p w14:paraId="5710828C">
                  <w:pPr>
                    <w:pStyle w:val="20"/>
                    <w:spacing w:before="31"/>
                    <w:jc w:val="both"/>
                    <w:rPr>
                      <w:color w:val="auto"/>
                      <w:highlight w:val="none"/>
                    </w:rPr>
                  </w:pPr>
                  <w:r>
                    <w:rPr>
                      <w:rFonts w:hint="eastAsia"/>
                      <w:color w:val="auto"/>
                      <w:highlight w:val="none"/>
                    </w:rPr>
                    <w:t>加强一般工业固体废物综合利用和处置，鼓励企业自行回收利用一般工业固体废物，按资源化、减量化、无害化方式妥善收集、处置固体废物，加大包装材料的回收和循环使用。危险废物产生单位严格落实危险废物环境管理制度，做好危险废物管理计划和管理台账，对项目危险废物收集、贮存、运输、利用、处置各环节进行全过程环境监管。严格按照《危险废物贮存污染控制标准》（GB18597-2023）等有关规定，设置危险废物暂存场所，并按照规定设置危险废物识别标志。危险废物转移应严格执行《危险废物转移管理办法》（生态环境部 公安部 交通运输部 部令第23号）相关要求。</w:t>
                  </w:r>
                </w:p>
              </w:tc>
              <w:tc>
                <w:tcPr>
                  <w:tcW w:w="1247" w:type="pct"/>
                  <w:tcMar>
                    <w:top w:w="0" w:type="dxa"/>
                    <w:bottom w:w="0" w:type="dxa"/>
                  </w:tcMar>
                  <w:vAlign w:val="center"/>
                </w:tcPr>
                <w:p w14:paraId="727EE6C7">
                  <w:pPr>
                    <w:pStyle w:val="20"/>
                    <w:spacing w:before="31"/>
                    <w:jc w:val="both"/>
                    <w:rPr>
                      <w:color w:val="auto"/>
                      <w:highlight w:val="none"/>
                    </w:rPr>
                  </w:pPr>
                  <w:r>
                    <w:rPr>
                      <w:rFonts w:hint="eastAsia"/>
                      <w:color w:val="auto"/>
                      <w:highlight w:val="none"/>
                      <w:lang w:eastAsia="zh-CN"/>
                    </w:rPr>
                    <w:t>扩建项目</w:t>
                  </w:r>
                  <w:r>
                    <w:rPr>
                      <w:rFonts w:hint="eastAsia"/>
                      <w:color w:val="auto"/>
                      <w:highlight w:val="none"/>
                    </w:rPr>
                    <w:t>一般工业固体废物委托相关单位处置，企业应严格落实危险废物环境管理制度，危险废物贮存、管理、运输均按文件要求执行。</w:t>
                  </w:r>
                </w:p>
              </w:tc>
              <w:tc>
                <w:tcPr>
                  <w:tcW w:w="358" w:type="pct"/>
                  <w:tcMar>
                    <w:top w:w="0" w:type="dxa"/>
                    <w:bottom w:w="0" w:type="dxa"/>
                  </w:tcMar>
                  <w:vAlign w:val="center"/>
                </w:tcPr>
                <w:p w14:paraId="76EBB459">
                  <w:pPr>
                    <w:pStyle w:val="20"/>
                    <w:spacing w:before="31"/>
                    <w:rPr>
                      <w:color w:val="auto"/>
                      <w:highlight w:val="none"/>
                    </w:rPr>
                  </w:pPr>
                  <w:r>
                    <w:rPr>
                      <w:rFonts w:hint="eastAsia"/>
                      <w:color w:val="auto"/>
                      <w:highlight w:val="none"/>
                    </w:rPr>
                    <w:t>符合</w:t>
                  </w:r>
                </w:p>
              </w:tc>
            </w:tr>
            <w:tr w14:paraId="3F2D5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449" w:type="pct"/>
                  <w:tcMar>
                    <w:top w:w="0" w:type="dxa"/>
                    <w:bottom w:w="0" w:type="dxa"/>
                  </w:tcMar>
                  <w:vAlign w:val="center"/>
                </w:tcPr>
                <w:p w14:paraId="423164DB">
                  <w:pPr>
                    <w:pStyle w:val="20"/>
                    <w:spacing w:before="31"/>
                    <w:rPr>
                      <w:color w:val="auto"/>
                      <w:highlight w:val="none"/>
                    </w:rPr>
                  </w:pPr>
                  <w:r>
                    <w:rPr>
                      <w:rFonts w:hint="eastAsia"/>
                      <w:color w:val="auto"/>
                      <w:highlight w:val="none"/>
                    </w:rPr>
                    <w:t>4.噪声污染管控</w:t>
                  </w:r>
                </w:p>
              </w:tc>
              <w:tc>
                <w:tcPr>
                  <w:tcW w:w="2944" w:type="pct"/>
                  <w:tcMar>
                    <w:top w:w="0" w:type="dxa"/>
                    <w:bottom w:w="0" w:type="dxa"/>
                  </w:tcMar>
                  <w:vAlign w:val="center"/>
                </w:tcPr>
                <w:p w14:paraId="57D1E04D">
                  <w:pPr>
                    <w:pStyle w:val="20"/>
                    <w:spacing w:before="31"/>
                    <w:jc w:val="both"/>
                    <w:rPr>
                      <w:color w:val="auto"/>
                      <w:highlight w:val="none"/>
                    </w:rPr>
                  </w:pPr>
                  <w:r>
                    <w:rPr>
                      <w:rFonts w:hint="eastAsia"/>
                      <w:color w:val="auto"/>
                      <w:highlight w:val="none"/>
                    </w:rPr>
                    <w:t>合理布局企业噪声源，高噪声源企业选址和布局尽量远离居住、学校等声环境敏感区；工业企业选择低噪声设备，采取消声隔声、减振等措施，确保厂界噪声达标。加强运输车辆的管理合理规划区域运输线路和时间，减轻运输过程对沿线居民的影响。</w:t>
                  </w:r>
                </w:p>
              </w:tc>
              <w:tc>
                <w:tcPr>
                  <w:tcW w:w="1247" w:type="pct"/>
                  <w:tcMar>
                    <w:top w:w="0" w:type="dxa"/>
                    <w:bottom w:w="0" w:type="dxa"/>
                  </w:tcMar>
                  <w:vAlign w:val="center"/>
                </w:tcPr>
                <w:p w14:paraId="66062C9F">
                  <w:pPr>
                    <w:pStyle w:val="20"/>
                    <w:spacing w:before="31"/>
                    <w:jc w:val="both"/>
                    <w:rPr>
                      <w:color w:val="auto"/>
                      <w:highlight w:val="none"/>
                    </w:rPr>
                  </w:pPr>
                  <w:r>
                    <w:rPr>
                      <w:rFonts w:hint="eastAsia"/>
                      <w:color w:val="auto"/>
                      <w:highlight w:val="none"/>
                      <w:lang w:eastAsia="zh-CN"/>
                    </w:rPr>
                    <w:t>扩建项目</w:t>
                  </w:r>
                  <w:r>
                    <w:rPr>
                      <w:rFonts w:hint="eastAsia"/>
                      <w:color w:val="auto"/>
                      <w:highlight w:val="none"/>
                    </w:rPr>
                    <w:t>周边无声环境敏感区域。通过选择低噪声设备，采取消声、隔声、减振等措施，可确保厂界噪声达标。</w:t>
                  </w:r>
                </w:p>
              </w:tc>
              <w:tc>
                <w:tcPr>
                  <w:tcW w:w="358" w:type="pct"/>
                  <w:tcMar>
                    <w:top w:w="0" w:type="dxa"/>
                    <w:bottom w:w="0" w:type="dxa"/>
                  </w:tcMar>
                  <w:vAlign w:val="center"/>
                </w:tcPr>
                <w:p w14:paraId="49A300FF">
                  <w:pPr>
                    <w:pStyle w:val="20"/>
                    <w:spacing w:before="31"/>
                    <w:rPr>
                      <w:color w:val="auto"/>
                      <w:highlight w:val="none"/>
                    </w:rPr>
                  </w:pPr>
                  <w:r>
                    <w:rPr>
                      <w:rFonts w:hint="eastAsia"/>
                      <w:color w:val="auto"/>
                      <w:highlight w:val="none"/>
                    </w:rPr>
                    <w:t>符合</w:t>
                  </w:r>
                </w:p>
              </w:tc>
            </w:tr>
            <w:tr w14:paraId="334F8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449" w:type="pct"/>
                  <w:tcMar>
                    <w:top w:w="0" w:type="dxa"/>
                    <w:bottom w:w="0" w:type="dxa"/>
                  </w:tcMar>
                  <w:vAlign w:val="center"/>
                </w:tcPr>
                <w:p w14:paraId="68590936">
                  <w:pPr>
                    <w:pStyle w:val="20"/>
                    <w:spacing w:before="31"/>
                    <w:rPr>
                      <w:color w:val="auto"/>
                      <w:highlight w:val="none"/>
                    </w:rPr>
                  </w:pPr>
                  <w:r>
                    <w:rPr>
                      <w:rFonts w:hint="eastAsia"/>
                      <w:color w:val="auto"/>
                      <w:highlight w:val="none"/>
                    </w:rPr>
                    <w:t>5.土壤、地下水污染风险防控</w:t>
                  </w:r>
                </w:p>
              </w:tc>
              <w:tc>
                <w:tcPr>
                  <w:tcW w:w="2944" w:type="pct"/>
                  <w:tcMar>
                    <w:top w:w="0" w:type="dxa"/>
                    <w:bottom w:w="0" w:type="dxa"/>
                  </w:tcMar>
                  <w:vAlign w:val="center"/>
                </w:tcPr>
                <w:p w14:paraId="59465405">
                  <w:pPr>
                    <w:pStyle w:val="20"/>
                    <w:spacing w:before="31"/>
                    <w:jc w:val="both"/>
                    <w:rPr>
                      <w:color w:val="auto"/>
                      <w:highlight w:val="none"/>
                    </w:rPr>
                  </w:pPr>
                  <w:r>
                    <w:rPr>
                      <w:rFonts w:hint="eastAsia"/>
                      <w:color w:val="auto"/>
                      <w:highlight w:val="none"/>
                    </w:rPr>
                    <w:t>按源头防控的原则，可能产生地下水、土壤污染的企业，应严格落实分区、分级防渗措施，防范规划实施对土壤、地下水环境造成污染。定期开展土壤、地下水跟踪监测，根据监测结果完善污染防控措施，确保规划区土壤、地下水环境质量不恶化。</w:t>
                  </w:r>
                </w:p>
              </w:tc>
              <w:tc>
                <w:tcPr>
                  <w:tcW w:w="1247" w:type="pct"/>
                  <w:tcMar>
                    <w:top w:w="0" w:type="dxa"/>
                    <w:bottom w:w="0" w:type="dxa"/>
                  </w:tcMar>
                  <w:vAlign w:val="center"/>
                </w:tcPr>
                <w:p w14:paraId="3177873D">
                  <w:pPr>
                    <w:pStyle w:val="20"/>
                    <w:spacing w:before="31"/>
                    <w:jc w:val="both"/>
                    <w:rPr>
                      <w:rFonts w:hint="eastAsia" w:eastAsia="宋体"/>
                      <w:color w:val="auto"/>
                      <w:highlight w:val="none"/>
                      <w:lang w:val="en-US" w:eastAsia="zh-CN"/>
                    </w:rPr>
                  </w:pPr>
                  <w:r>
                    <w:rPr>
                      <w:rFonts w:hint="eastAsia"/>
                      <w:color w:val="auto"/>
                      <w:highlight w:val="none"/>
                    </w:rPr>
                    <w:t>项目油</w:t>
                  </w:r>
                  <w:r>
                    <w:rPr>
                      <w:rFonts w:hint="eastAsia"/>
                      <w:color w:val="auto"/>
                      <w:highlight w:val="none"/>
                      <w:lang w:val="en-US" w:eastAsia="zh-CN"/>
                    </w:rPr>
                    <w:t>料</w:t>
                  </w:r>
                  <w:r>
                    <w:rPr>
                      <w:rFonts w:hint="eastAsia"/>
                      <w:color w:val="auto"/>
                      <w:highlight w:val="none"/>
                    </w:rPr>
                    <w:t>区、</w:t>
                  </w:r>
                  <w:r>
                    <w:rPr>
                      <w:rFonts w:hint="eastAsia"/>
                      <w:color w:val="auto"/>
                      <w:highlight w:val="none"/>
                      <w:lang w:eastAsia="zh-CN"/>
                    </w:rPr>
                    <w:t>危险废物贮存点</w:t>
                  </w:r>
                  <w:r>
                    <w:rPr>
                      <w:rFonts w:hint="eastAsia"/>
                      <w:color w:val="auto"/>
                      <w:highlight w:val="none"/>
                    </w:rPr>
                    <w:t>重点防渗设置</w:t>
                  </w:r>
                  <w:r>
                    <w:rPr>
                      <w:rFonts w:hint="eastAsia"/>
                      <w:color w:val="auto"/>
                      <w:highlight w:val="none"/>
                      <w:lang w:eastAsia="zh-CN"/>
                    </w:rPr>
                    <w:t>，</w:t>
                  </w:r>
                  <w:r>
                    <w:rPr>
                      <w:rFonts w:hint="eastAsia"/>
                      <w:color w:val="auto"/>
                      <w:highlight w:val="none"/>
                      <w:lang w:val="en-US" w:eastAsia="zh-CN"/>
                    </w:rPr>
                    <w:t>严格落实</w:t>
                  </w:r>
                  <w:r>
                    <w:rPr>
                      <w:rFonts w:hint="eastAsia"/>
                      <w:color w:val="auto"/>
                      <w:highlight w:val="none"/>
                    </w:rPr>
                    <w:t>土壤、地下水污染风险防控</w:t>
                  </w:r>
                  <w:r>
                    <w:rPr>
                      <w:rFonts w:hint="eastAsia"/>
                      <w:color w:val="auto"/>
                      <w:highlight w:val="none"/>
                      <w:lang w:val="en-US" w:eastAsia="zh-CN"/>
                    </w:rPr>
                    <w:t>措施。</w:t>
                  </w:r>
                </w:p>
              </w:tc>
              <w:tc>
                <w:tcPr>
                  <w:tcW w:w="358" w:type="pct"/>
                  <w:tcMar>
                    <w:top w:w="0" w:type="dxa"/>
                    <w:bottom w:w="0" w:type="dxa"/>
                  </w:tcMar>
                  <w:vAlign w:val="center"/>
                </w:tcPr>
                <w:p w14:paraId="76E2479C">
                  <w:pPr>
                    <w:pStyle w:val="20"/>
                    <w:spacing w:before="31"/>
                    <w:rPr>
                      <w:color w:val="auto"/>
                      <w:highlight w:val="none"/>
                    </w:rPr>
                  </w:pPr>
                  <w:r>
                    <w:rPr>
                      <w:rFonts w:hint="eastAsia"/>
                      <w:color w:val="auto"/>
                      <w:highlight w:val="none"/>
                    </w:rPr>
                    <w:t>符合</w:t>
                  </w:r>
                </w:p>
              </w:tc>
            </w:tr>
            <w:tr w14:paraId="45C35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449" w:type="pct"/>
                  <w:tcMar>
                    <w:top w:w="0" w:type="dxa"/>
                    <w:bottom w:w="0" w:type="dxa"/>
                  </w:tcMar>
                  <w:vAlign w:val="center"/>
                </w:tcPr>
                <w:p w14:paraId="5C2A9D4D">
                  <w:pPr>
                    <w:pStyle w:val="20"/>
                    <w:spacing w:before="31"/>
                    <w:jc w:val="both"/>
                    <w:rPr>
                      <w:color w:val="auto"/>
                      <w:highlight w:val="none"/>
                    </w:rPr>
                  </w:pPr>
                  <w:r>
                    <w:rPr>
                      <w:rFonts w:hint="eastAsia"/>
                      <w:color w:val="auto"/>
                      <w:highlight w:val="none"/>
                    </w:rPr>
                    <w:t>6.碳排放管控</w:t>
                  </w:r>
                </w:p>
              </w:tc>
              <w:tc>
                <w:tcPr>
                  <w:tcW w:w="2944" w:type="pct"/>
                  <w:tcMar>
                    <w:top w:w="0" w:type="dxa"/>
                    <w:bottom w:w="0" w:type="dxa"/>
                  </w:tcMar>
                  <w:vAlign w:val="center"/>
                </w:tcPr>
                <w:p w14:paraId="7090D3F6">
                  <w:pPr>
                    <w:pStyle w:val="20"/>
                    <w:spacing w:before="31"/>
                    <w:jc w:val="both"/>
                    <w:rPr>
                      <w:color w:val="auto"/>
                      <w:highlight w:val="none"/>
                    </w:rPr>
                  </w:pPr>
                  <w:r>
                    <w:rPr>
                      <w:rFonts w:hint="eastAsia"/>
                      <w:color w:val="auto"/>
                      <w:highlight w:val="none"/>
                    </w:rPr>
                    <w:t>按照碳达峰、碳中和相关政策要求，统筹抓好碳排放控制管理和生态环境保护工作，推动实现减污降碳。督促规划区企业采用先进的生产工艺，提高能源综合利用效率，从源头减少和控制温室气体排放，推动减污降碳协同共治，促进规划区产业绿色低碳循环发展。</w:t>
                  </w:r>
                </w:p>
              </w:tc>
              <w:tc>
                <w:tcPr>
                  <w:tcW w:w="1247" w:type="pct"/>
                  <w:tcMar>
                    <w:top w:w="0" w:type="dxa"/>
                    <w:bottom w:w="0" w:type="dxa"/>
                  </w:tcMar>
                  <w:vAlign w:val="center"/>
                </w:tcPr>
                <w:p w14:paraId="7FD59506">
                  <w:pPr>
                    <w:pStyle w:val="20"/>
                    <w:spacing w:before="31"/>
                    <w:jc w:val="both"/>
                    <w:rPr>
                      <w:color w:val="auto"/>
                      <w:highlight w:val="none"/>
                    </w:rPr>
                  </w:pPr>
                  <w:r>
                    <w:rPr>
                      <w:rFonts w:hint="eastAsia"/>
                      <w:color w:val="auto"/>
                      <w:highlight w:val="none"/>
                      <w:lang w:eastAsia="zh-CN"/>
                    </w:rPr>
                    <w:t>扩建项目</w:t>
                  </w:r>
                  <w:r>
                    <w:rPr>
                      <w:rFonts w:hint="eastAsia"/>
                      <w:color w:val="auto"/>
                      <w:highlight w:val="none"/>
                    </w:rPr>
                    <w:t>使用电作为能源。</w:t>
                  </w:r>
                </w:p>
              </w:tc>
              <w:tc>
                <w:tcPr>
                  <w:tcW w:w="358" w:type="pct"/>
                  <w:tcMar>
                    <w:top w:w="0" w:type="dxa"/>
                    <w:bottom w:w="0" w:type="dxa"/>
                  </w:tcMar>
                  <w:vAlign w:val="center"/>
                </w:tcPr>
                <w:p w14:paraId="7609D1FE">
                  <w:pPr>
                    <w:pStyle w:val="20"/>
                    <w:spacing w:before="31"/>
                    <w:rPr>
                      <w:color w:val="auto"/>
                      <w:highlight w:val="none"/>
                    </w:rPr>
                  </w:pPr>
                  <w:r>
                    <w:rPr>
                      <w:rFonts w:hint="eastAsia"/>
                      <w:color w:val="auto"/>
                      <w:highlight w:val="none"/>
                    </w:rPr>
                    <w:t>符合</w:t>
                  </w:r>
                </w:p>
              </w:tc>
            </w:tr>
            <w:tr w14:paraId="643C0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449" w:type="pct"/>
                  <w:tcMar>
                    <w:top w:w="0" w:type="dxa"/>
                    <w:bottom w:w="0" w:type="dxa"/>
                  </w:tcMar>
                  <w:vAlign w:val="center"/>
                </w:tcPr>
                <w:p w14:paraId="307E8C9F">
                  <w:pPr>
                    <w:pStyle w:val="20"/>
                    <w:spacing w:before="31"/>
                    <w:rPr>
                      <w:color w:val="auto"/>
                      <w:highlight w:val="none"/>
                    </w:rPr>
                  </w:pPr>
                  <w:r>
                    <w:rPr>
                      <w:rFonts w:hint="eastAsia"/>
                      <w:color w:val="auto"/>
                      <w:highlight w:val="none"/>
                    </w:rPr>
                    <w:t>（四）环境风险防控</w:t>
                  </w:r>
                </w:p>
              </w:tc>
              <w:tc>
                <w:tcPr>
                  <w:tcW w:w="2944" w:type="pct"/>
                  <w:tcMar>
                    <w:top w:w="0" w:type="dxa"/>
                    <w:bottom w:w="0" w:type="dxa"/>
                  </w:tcMar>
                  <w:vAlign w:val="center"/>
                </w:tcPr>
                <w:p w14:paraId="2FFFD116">
                  <w:pPr>
                    <w:pStyle w:val="20"/>
                    <w:spacing w:before="31"/>
                    <w:jc w:val="both"/>
                    <w:rPr>
                      <w:color w:val="auto"/>
                      <w:highlight w:val="none"/>
                    </w:rPr>
                  </w:pPr>
                  <w:r>
                    <w:rPr>
                      <w:rFonts w:hint="eastAsia"/>
                      <w:color w:val="auto"/>
                      <w:highlight w:val="none"/>
                    </w:rPr>
                    <w:t>规划区应建立健全环境风险防范体系，强化园区层面环境风险防范措施，原则上2023年底前建成金竹沟闸坝，全面提升环境风险防范和事故应急处置能力，保障环境安全。园区管理部门应加强对企业环境风险的监督管理，相关企业应严格落实各项环境风险防范措施，防范突发性环境风险事故发生。沿长江岸线一公里范围内的规划仓储用地（A72-1/04、A90-1/04、A88/02、A87-1/03、A101/01、A99/01、A102/01、A104/01、A103/01、A105/01、F40-1/02、F41-1/01地块）后续应禁止新引入从事危险化学品存储的项目，危险化学品及危险废物的运输路线应避开紧临长江的道路。</w:t>
                  </w:r>
                </w:p>
              </w:tc>
              <w:tc>
                <w:tcPr>
                  <w:tcW w:w="1247" w:type="pct"/>
                  <w:tcMar>
                    <w:top w:w="0" w:type="dxa"/>
                    <w:bottom w:w="0" w:type="dxa"/>
                  </w:tcMar>
                  <w:vAlign w:val="center"/>
                </w:tcPr>
                <w:p w14:paraId="1D882589">
                  <w:pPr>
                    <w:pStyle w:val="20"/>
                    <w:spacing w:before="31"/>
                    <w:jc w:val="both"/>
                    <w:rPr>
                      <w:color w:val="auto"/>
                      <w:highlight w:val="none"/>
                    </w:rPr>
                  </w:pPr>
                  <w:r>
                    <w:rPr>
                      <w:rFonts w:hint="eastAsia"/>
                      <w:color w:val="auto"/>
                      <w:highlight w:val="none"/>
                      <w:lang w:eastAsia="zh-CN"/>
                    </w:rPr>
                    <w:t>扩建项目</w:t>
                  </w:r>
                  <w:r>
                    <w:rPr>
                      <w:rFonts w:hint="eastAsia"/>
                      <w:color w:val="auto"/>
                      <w:highlight w:val="none"/>
                    </w:rPr>
                    <w:t>不属于文件所列地块，项目</w:t>
                  </w:r>
                  <w:r>
                    <w:rPr>
                      <w:rFonts w:hint="eastAsia"/>
                      <w:color w:val="auto"/>
                      <w:highlight w:val="none"/>
                      <w:lang w:eastAsia="zh-CN"/>
                    </w:rPr>
                    <w:t>油料区</w:t>
                  </w:r>
                  <w:r>
                    <w:rPr>
                      <w:rFonts w:hint="eastAsia"/>
                      <w:color w:val="auto"/>
                      <w:highlight w:val="none"/>
                    </w:rPr>
                    <w:t>、</w:t>
                  </w:r>
                  <w:r>
                    <w:rPr>
                      <w:rFonts w:hint="eastAsia"/>
                      <w:color w:val="auto"/>
                      <w:highlight w:val="none"/>
                      <w:lang w:eastAsia="zh-CN"/>
                    </w:rPr>
                    <w:t>危险废物贮存点</w:t>
                  </w:r>
                  <w:r>
                    <w:rPr>
                      <w:rFonts w:hint="eastAsia"/>
                      <w:color w:val="auto"/>
                      <w:highlight w:val="none"/>
                    </w:rPr>
                    <w:t>重点防渗设置。严格落实各项环境风险防范措施，防范突发性环境风险事故发生。</w:t>
                  </w:r>
                </w:p>
              </w:tc>
              <w:tc>
                <w:tcPr>
                  <w:tcW w:w="358" w:type="pct"/>
                  <w:tcMar>
                    <w:top w:w="0" w:type="dxa"/>
                    <w:bottom w:w="0" w:type="dxa"/>
                  </w:tcMar>
                  <w:vAlign w:val="center"/>
                </w:tcPr>
                <w:p w14:paraId="38C4F81B">
                  <w:pPr>
                    <w:pStyle w:val="20"/>
                    <w:spacing w:before="31"/>
                    <w:rPr>
                      <w:color w:val="auto"/>
                      <w:highlight w:val="none"/>
                    </w:rPr>
                  </w:pPr>
                  <w:r>
                    <w:rPr>
                      <w:rFonts w:hint="eastAsia"/>
                      <w:color w:val="auto"/>
                      <w:highlight w:val="none"/>
                    </w:rPr>
                    <w:t>符合</w:t>
                  </w:r>
                </w:p>
              </w:tc>
            </w:tr>
            <w:tr w14:paraId="55CB9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449" w:type="pct"/>
                  <w:tcMar>
                    <w:top w:w="0" w:type="dxa"/>
                    <w:bottom w:w="0" w:type="dxa"/>
                  </w:tcMar>
                  <w:vAlign w:val="center"/>
                </w:tcPr>
                <w:p w14:paraId="1430B4F0">
                  <w:pPr>
                    <w:pStyle w:val="20"/>
                    <w:spacing w:before="31"/>
                    <w:rPr>
                      <w:color w:val="auto"/>
                      <w:highlight w:val="none"/>
                    </w:rPr>
                  </w:pPr>
                  <w:r>
                    <w:rPr>
                      <w:rFonts w:hint="eastAsia"/>
                      <w:color w:val="auto"/>
                      <w:highlight w:val="none"/>
                    </w:rPr>
                    <w:t>（五）规范环境管理</w:t>
                  </w:r>
                </w:p>
              </w:tc>
              <w:tc>
                <w:tcPr>
                  <w:tcW w:w="2944" w:type="pct"/>
                  <w:tcMar>
                    <w:top w:w="0" w:type="dxa"/>
                    <w:bottom w:w="0" w:type="dxa"/>
                  </w:tcMar>
                  <w:vAlign w:val="center"/>
                </w:tcPr>
                <w:p w14:paraId="74CEC0BD">
                  <w:pPr>
                    <w:pStyle w:val="20"/>
                    <w:spacing w:before="31"/>
                    <w:jc w:val="both"/>
                    <w:rPr>
                      <w:color w:val="auto"/>
                      <w:highlight w:val="none"/>
                    </w:rPr>
                  </w:pPr>
                  <w:r>
                    <w:rPr>
                      <w:rFonts w:hint="eastAsia"/>
                      <w:color w:val="auto"/>
                      <w:highlight w:val="none"/>
                    </w:rPr>
                    <w:t>加强日常环境监管，执行建设项目环境影响评价和固定污染源排污许可制度。规划区应建立环境空气、地表水、地下水、土壤等环境要素的监控体系，落实环境跟踪监测计划，适时开展环境影响跟踪评价。规划的实施范围、适用期限、规模、结构和布局等方面发生重大调整或修订的，应重新进行环境影响评价。</w:t>
                  </w:r>
                </w:p>
              </w:tc>
              <w:tc>
                <w:tcPr>
                  <w:tcW w:w="1247" w:type="pct"/>
                  <w:tcMar>
                    <w:top w:w="0" w:type="dxa"/>
                    <w:bottom w:w="0" w:type="dxa"/>
                  </w:tcMar>
                  <w:vAlign w:val="center"/>
                </w:tcPr>
                <w:p w14:paraId="64A56241">
                  <w:pPr>
                    <w:pStyle w:val="20"/>
                    <w:spacing w:before="31"/>
                    <w:jc w:val="both"/>
                    <w:rPr>
                      <w:color w:val="auto"/>
                      <w:highlight w:val="none"/>
                    </w:rPr>
                  </w:pPr>
                  <w:r>
                    <w:rPr>
                      <w:rFonts w:hint="eastAsia"/>
                      <w:color w:val="auto"/>
                      <w:highlight w:val="none"/>
                      <w:lang w:eastAsia="zh-CN"/>
                    </w:rPr>
                    <w:t>扩建项目</w:t>
                  </w:r>
                  <w:r>
                    <w:rPr>
                      <w:rFonts w:hint="eastAsia"/>
                      <w:color w:val="auto"/>
                      <w:highlight w:val="none"/>
                    </w:rPr>
                    <w:t>严格执行建设项目环境影响评价和固定污染源排污许可制度。</w:t>
                  </w:r>
                </w:p>
              </w:tc>
              <w:tc>
                <w:tcPr>
                  <w:tcW w:w="358" w:type="pct"/>
                  <w:tcMar>
                    <w:top w:w="0" w:type="dxa"/>
                    <w:bottom w:w="0" w:type="dxa"/>
                  </w:tcMar>
                  <w:vAlign w:val="center"/>
                </w:tcPr>
                <w:p w14:paraId="2183C56F">
                  <w:pPr>
                    <w:pStyle w:val="20"/>
                    <w:spacing w:before="31"/>
                    <w:rPr>
                      <w:color w:val="auto"/>
                      <w:highlight w:val="none"/>
                    </w:rPr>
                  </w:pPr>
                  <w:r>
                    <w:rPr>
                      <w:rFonts w:hint="eastAsia"/>
                      <w:color w:val="auto"/>
                      <w:highlight w:val="none"/>
                    </w:rPr>
                    <w:t>符合</w:t>
                  </w:r>
                </w:p>
              </w:tc>
            </w:tr>
          </w:tbl>
          <w:p w14:paraId="75B58DB5">
            <w:pPr>
              <w:pStyle w:val="18"/>
              <w:rPr>
                <w:color w:val="auto"/>
                <w:highlight w:val="none"/>
              </w:rPr>
            </w:pPr>
            <w:r>
              <w:rPr>
                <w:rFonts w:hint="eastAsia"/>
                <w:color w:val="auto"/>
                <w:highlight w:val="none"/>
                <w:lang w:val="en-US" w:eastAsia="zh-CN"/>
              </w:rPr>
              <w:t>综上，</w:t>
            </w:r>
            <w:r>
              <w:rPr>
                <w:rFonts w:hint="eastAsia"/>
                <w:color w:val="auto"/>
                <w:highlight w:val="none"/>
                <w:lang w:eastAsia="zh-CN"/>
              </w:rPr>
              <w:t>扩建项目</w:t>
            </w:r>
            <w:r>
              <w:rPr>
                <w:rFonts w:hint="eastAsia"/>
                <w:color w:val="auto"/>
                <w:highlight w:val="none"/>
              </w:rPr>
              <w:t>符合《</w:t>
            </w:r>
            <w:r>
              <w:rPr>
                <w:color w:val="auto"/>
                <w:highlight w:val="none"/>
              </w:rPr>
              <w:t>重庆西彭工业园区规划环境影响报告书</w:t>
            </w:r>
            <w:r>
              <w:rPr>
                <w:rFonts w:hint="eastAsia"/>
                <w:color w:val="auto"/>
                <w:highlight w:val="none"/>
              </w:rPr>
              <w:t>》及其审查意见“</w:t>
            </w:r>
            <w:r>
              <w:rPr>
                <w:color w:val="auto"/>
                <w:highlight w:val="none"/>
              </w:rPr>
              <w:t>渝环函〔202</w:t>
            </w:r>
            <w:r>
              <w:rPr>
                <w:rFonts w:hint="eastAsia"/>
                <w:color w:val="auto"/>
                <w:highlight w:val="none"/>
              </w:rPr>
              <w:t>3</w:t>
            </w:r>
            <w:r>
              <w:rPr>
                <w:color w:val="auto"/>
                <w:highlight w:val="none"/>
              </w:rPr>
              <w:t>〕</w:t>
            </w:r>
            <w:r>
              <w:rPr>
                <w:rFonts w:hint="eastAsia"/>
                <w:color w:val="auto"/>
                <w:highlight w:val="none"/>
              </w:rPr>
              <w:t>439</w:t>
            </w:r>
            <w:r>
              <w:rPr>
                <w:color w:val="auto"/>
                <w:highlight w:val="none"/>
              </w:rPr>
              <w:t>号</w:t>
            </w:r>
            <w:r>
              <w:rPr>
                <w:rFonts w:hint="eastAsia"/>
                <w:color w:val="auto"/>
                <w:highlight w:val="none"/>
              </w:rPr>
              <w:t>”相关要求。</w:t>
            </w:r>
          </w:p>
        </w:tc>
      </w:tr>
      <w:tr w14:paraId="33075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6B53B6D2">
            <w:pPr>
              <w:pStyle w:val="24"/>
              <w:spacing w:before="93" w:after="93"/>
              <w:rPr>
                <w:rFonts w:cs="宋体"/>
                <w:b/>
                <w:bCs/>
                <w:color w:val="auto"/>
                <w:highlight w:val="none"/>
              </w:rPr>
            </w:pPr>
            <w:r>
              <w:rPr>
                <w:rFonts w:hint="eastAsia"/>
                <w:b/>
                <w:bCs/>
                <w:color w:val="auto"/>
                <w:highlight w:val="none"/>
              </w:rPr>
              <w:t>其他符合性分析</w:t>
            </w:r>
          </w:p>
        </w:tc>
        <w:tc>
          <w:tcPr>
            <w:tcW w:w="4617"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7C700766">
            <w:pPr>
              <w:pStyle w:val="18"/>
              <w:rPr>
                <w:color w:val="auto"/>
                <w:highlight w:val="none"/>
              </w:rPr>
            </w:pPr>
            <w:r>
              <w:rPr>
                <w:rFonts w:hint="eastAsia"/>
                <w:color w:val="auto"/>
                <w:highlight w:val="none"/>
              </w:rPr>
              <w:t>根据《重庆市产业园区规划环境影响评价与建设项目环境影响评价联动实施方案（试行）》（渝环规〔2022〕2号），</w:t>
            </w:r>
            <w:r>
              <w:rPr>
                <w:rFonts w:hint="eastAsia"/>
                <w:color w:val="auto"/>
                <w:highlight w:val="none"/>
                <w:lang w:eastAsia="zh-CN"/>
              </w:rPr>
              <w:t>扩建项目</w:t>
            </w:r>
            <w:r>
              <w:rPr>
                <w:rFonts w:hint="eastAsia"/>
                <w:color w:val="auto"/>
                <w:highlight w:val="none"/>
              </w:rPr>
              <w:t>符合</w:t>
            </w:r>
            <w:r>
              <w:rPr>
                <w:color w:val="auto"/>
                <w:highlight w:val="none"/>
              </w:rPr>
              <w:t>《重庆西彭工业园区规划环境影响报告书》</w:t>
            </w:r>
            <w:r>
              <w:rPr>
                <w:rFonts w:hint="eastAsia"/>
                <w:color w:val="auto"/>
                <w:highlight w:val="none"/>
              </w:rPr>
              <w:t>及其审查意见“</w:t>
            </w:r>
            <w:r>
              <w:rPr>
                <w:color w:val="auto"/>
                <w:highlight w:val="none"/>
              </w:rPr>
              <w:t>渝环函〔202</w:t>
            </w:r>
            <w:r>
              <w:rPr>
                <w:rFonts w:hint="eastAsia"/>
                <w:color w:val="auto"/>
                <w:highlight w:val="none"/>
              </w:rPr>
              <w:t>3</w:t>
            </w:r>
            <w:r>
              <w:rPr>
                <w:color w:val="auto"/>
                <w:highlight w:val="none"/>
              </w:rPr>
              <w:t>〕</w:t>
            </w:r>
            <w:r>
              <w:rPr>
                <w:rFonts w:hint="eastAsia"/>
                <w:color w:val="auto"/>
                <w:highlight w:val="none"/>
              </w:rPr>
              <w:t>439</w:t>
            </w:r>
            <w:r>
              <w:rPr>
                <w:color w:val="auto"/>
                <w:highlight w:val="none"/>
              </w:rPr>
              <w:t>号</w:t>
            </w:r>
            <w:r>
              <w:rPr>
                <w:rFonts w:hint="eastAsia"/>
                <w:color w:val="auto"/>
                <w:highlight w:val="none"/>
              </w:rPr>
              <w:t>”相关要求，着重分析与新颁布实施的法律、法规及环保政策的符合性。</w:t>
            </w:r>
          </w:p>
          <w:p w14:paraId="3A81E024">
            <w:pPr>
              <w:pStyle w:val="2"/>
              <w:numPr>
                <w:ilvl w:val="0"/>
                <w:numId w:val="2"/>
              </w:numPr>
              <w:bidi w:val="0"/>
              <w:rPr>
                <w:color w:val="auto"/>
                <w:highlight w:val="none"/>
              </w:rPr>
            </w:pPr>
            <w:r>
              <w:rPr>
                <w:rFonts w:hint="eastAsia"/>
                <w:color w:val="auto"/>
                <w:highlight w:val="none"/>
              </w:rPr>
              <w:t>与“三线一单”符合性分析</w:t>
            </w:r>
          </w:p>
          <w:p w14:paraId="02FB51CF">
            <w:pPr>
              <w:pStyle w:val="18"/>
              <w:bidi w:val="0"/>
              <w:rPr>
                <w:color w:val="auto"/>
                <w:highlight w:val="none"/>
              </w:rPr>
            </w:pPr>
            <w:r>
              <w:rPr>
                <w:rFonts w:hint="eastAsia"/>
                <w:color w:val="auto"/>
                <w:highlight w:val="none"/>
                <w:lang w:val="en-US" w:eastAsia="zh-CN"/>
              </w:rPr>
              <w:t>扩建项目</w:t>
            </w:r>
            <w:r>
              <w:rPr>
                <w:rFonts w:hint="eastAsia"/>
                <w:color w:val="auto"/>
                <w:highlight w:val="none"/>
              </w:rPr>
              <w:t>位于</w:t>
            </w:r>
            <w:r>
              <w:rPr>
                <w:rFonts w:hint="eastAsia"/>
                <w:color w:val="auto"/>
                <w:highlight w:val="none"/>
                <w:lang w:eastAsia="zh-CN"/>
              </w:rPr>
              <w:t>西彭工业园区西彭组团</w:t>
            </w:r>
            <w:r>
              <w:rPr>
                <w:rFonts w:hint="eastAsia"/>
                <w:color w:val="auto"/>
                <w:highlight w:val="none"/>
              </w:rPr>
              <w:t>，根据重庆市生态环境局关于印发《重庆市“三线一单”生态环境分区管控调整方案（2023年）》的通知（渝环规〔2024〕2号）以及“重庆市生态环境分区管控智检服务”检测结果，项目位于重点管控单元“</w:t>
            </w:r>
            <w:r>
              <w:rPr>
                <w:rFonts w:hint="eastAsia"/>
                <w:color w:val="auto"/>
                <w:highlight w:val="none"/>
                <w:lang w:eastAsia="zh-CN"/>
              </w:rPr>
              <w:t>九龙坡区工业城镇重点管控单元-九龙西城片区</w:t>
            </w:r>
            <w:r>
              <w:rPr>
                <w:rFonts w:hint="eastAsia"/>
                <w:color w:val="auto"/>
                <w:highlight w:val="none"/>
              </w:rPr>
              <w:t>”（环境管控单元编码：</w:t>
            </w:r>
            <w:r>
              <w:rPr>
                <w:rFonts w:hint="eastAsia"/>
                <w:color w:val="auto"/>
                <w:highlight w:val="none"/>
                <w:lang w:eastAsia="zh-CN"/>
              </w:rPr>
              <w:t>ZH50010720002</w:t>
            </w:r>
            <w:r>
              <w:rPr>
                <w:rFonts w:hint="eastAsia"/>
                <w:color w:val="auto"/>
                <w:highlight w:val="none"/>
              </w:rPr>
              <w:t>，检测分析报告详见附件</w:t>
            </w:r>
            <w:r>
              <w:rPr>
                <w:rFonts w:hint="eastAsia"/>
                <w:color w:val="auto"/>
                <w:highlight w:val="none"/>
                <w:lang w:val="en-US" w:eastAsia="zh-CN"/>
              </w:rPr>
              <w:t>5</w:t>
            </w:r>
            <w:r>
              <w:rPr>
                <w:rFonts w:hint="eastAsia"/>
                <w:color w:val="auto"/>
                <w:highlight w:val="none"/>
              </w:rPr>
              <w:t>）。</w:t>
            </w:r>
          </w:p>
          <w:p w14:paraId="3C5E6AD2">
            <w:pPr>
              <w:pStyle w:val="18"/>
              <w:bidi w:val="0"/>
              <w:rPr>
                <w:color w:val="auto"/>
                <w:highlight w:val="none"/>
              </w:rPr>
            </w:pPr>
            <w:r>
              <w:rPr>
                <w:rFonts w:hint="eastAsia"/>
                <w:color w:val="auto"/>
                <w:highlight w:val="none"/>
              </w:rPr>
              <w:t>其具体管控要求见</w:t>
            </w:r>
            <w:r>
              <w:rPr>
                <w:rFonts w:hint="eastAsia"/>
                <w:color w:val="auto"/>
                <w:highlight w:val="none"/>
              </w:rPr>
              <w:fldChar w:fldCharType="begin"/>
            </w:r>
            <w:r>
              <w:rPr>
                <w:rFonts w:hint="eastAsia"/>
                <w:color w:val="auto"/>
                <w:highlight w:val="none"/>
              </w:rPr>
              <w:instrText xml:space="preserve"> REF _Ref17309 \h </w:instrText>
            </w:r>
            <w:r>
              <w:rPr>
                <w:rFonts w:hint="eastAsia"/>
                <w:color w:val="auto"/>
                <w:highlight w:val="none"/>
              </w:rPr>
              <w:fldChar w:fldCharType="separate"/>
            </w:r>
            <w:r>
              <w:rPr>
                <w:color w:val="auto"/>
                <w:highlight w:val="none"/>
              </w:rPr>
              <w:t>表1-4</w:t>
            </w:r>
            <w:r>
              <w:rPr>
                <w:rFonts w:hint="eastAsia"/>
                <w:color w:val="auto"/>
                <w:highlight w:val="none"/>
              </w:rPr>
              <w:fldChar w:fldCharType="end"/>
            </w:r>
            <w:r>
              <w:rPr>
                <w:rFonts w:hint="eastAsia"/>
                <w:color w:val="auto"/>
                <w:highlight w:val="none"/>
              </w:rPr>
              <w:t>。</w:t>
            </w:r>
          </w:p>
          <w:p w14:paraId="469C4CDB">
            <w:pPr>
              <w:pStyle w:val="19"/>
              <w:spacing w:before="156"/>
              <w:rPr>
                <w:rFonts w:hint="eastAsia"/>
                <w:color w:val="auto"/>
                <w:highlight w:val="none"/>
              </w:rPr>
            </w:pPr>
            <w:bookmarkStart w:id="3" w:name="_Ref17309"/>
            <w:r>
              <w:rPr>
                <w:color w:val="auto"/>
                <w:highlight w:val="none"/>
              </w:rPr>
              <w:t>表1-</w:t>
            </w:r>
            <w:r>
              <w:rPr>
                <w:color w:val="auto"/>
                <w:highlight w:val="none"/>
              </w:rPr>
              <w:fldChar w:fldCharType="begin"/>
            </w:r>
            <w:r>
              <w:rPr>
                <w:color w:val="auto"/>
                <w:highlight w:val="none"/>
              </w:rPr>
              <w:instrText xml:space="preserve"> SEQ 表1- \* ARABIC </w:instrText>
            </w:r>
            <w:r>
              <w:rPr>
                <w:color w:val="auto"/>
                <w:highlight w:val="none"/>
              </w:rPr>
              <w:fldChar w:fldCharType="separate"/>
            </w:r>
            <w:r>
              <w:rPr>
                <w:color w:val="auto"/>
                <w:highlight w:val="none"/>
              </w:rPr>
              <w:t>4</w:t>
            </w:r>
            <w:r>
              <w:rPr>
                <w:color w:val="auto"/>
                <w:highlight w:val="none"/>
              </w:rPr>
              <w:fldChar w:fldCharType="end"/>
            </w:r>
            <w:bookmarkEnd w:id="3"/>
            <w:r>
              <w:rPr>
                <w:rFonts w:hint="eastAsia"/>
                <w:color w:val="auto"/>
                <w:highlight w:val="none"/>
              </w:rPr>
              <w:t xml:space="preserve"> 建设项目与“三线一单”管控要求的符合性分析表</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842"/>
              <w:gridCol w:w="693"/>
              <w:gridCol w:w="4811"/>
              <w:gridCol w:w="1408"/>
              <w:gridCol w:w="516"/>
            </w:tblGrid>
            <w:tr w14:paraId="4010C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928" w:type="pct"/>
                  <w:gridSpan w:val="2"/>
                  <w:tcMar>
                    <w:top w:w="0" w:type="dxa"/>
                    <w:left w:w="28" w:type="dxa"/>
                    <w:bottom w:w="0" w:type="dxa"/>
                    <w:right w:w="28" w:type="dxa"/>
                  </w:tcMar>
                  <w:vAlign w:val="center"/>
                </w:tcPr>
                <w:p w14:paraId="3F066C83">
                  <w:pPr>
                    <w:pStyle w:val="20"/>
                    <w:spacing w:before="31"/>
                    <w:rPr>
                      <w:b/>
                      <w:bCs/>
                      <w:color w:val="auto"/>
                      <w:highlight w:val="none"/>
                    </w:rPr>
                  </w:pPr>
                  <w:r>
                    <w:rPr>
                      <w:rFonts w:hint="eastAsia"/>
                      <w:b/>
                      <w:bCs/>
                      <w:color w:val="auto"/>
                      <w:highlight w:val="none"/>
                    </w:rPr>
                    <w:t>环境管控单元编码</w:t>
                  </w:r>
                </w:p>
              </w:tc>
              <w:tc>
                <w:tcPr>
                  <w:tcW w:w="2908" w:type="pct"/>
                  <w:tcMar>
                    <w:top w:w="0" w:type="dxa"/>
                    <w:left w:w="28" w:type="dxa"/>
                    <w:bottom w:w="0" w:type="dxa"/>
                    <w:right w:w="28" w:type="dxa"/>
                  </w:tcMar>
                  <w:vAlign w:val="center"/>
                </w:tcPr>
                <w:p w14:paraId="126D3C06">
                  <w:pPr>
                    <w:pStyle w:val="20"/>
                    <w:spacing w:before="31"/>
                    <w:rPr>
                      <w:b/>
                      <w:bCs/>
                      <w:color w:val="auto"/>
                      <w:highlight w:val="none"/>
                    </w:rPr>
                  </w:pPr>
                  <w:r>
                    <w:rPr>
                      <w:rFonts w:hint="eastAsia"/>
                      <w:b/>
                      <w:bCs/>
                      <w:color w:val="auto"/>
                      <w:highlight w:val="none"/>
                    </w:rPr>
                    <w:t>环境管控单元名称</w:t>
                  </w:r>
                </w:p>
              </w:tc>
              <w:tc>
                <w:tcPr>
                  <w:tcW w:w="1163" w:type="pct"/>
                  <w:gridSpan w:val="2"/>
                  <w:tcMar>
                    <w:top w:w="0" w:type="dxa"/>
                    <w:left w:w="28" w:type="dxa"/>
                    <w:bottom w:w="0" w:type="dxa"/>
                    <w:right w:w="28" w:type="dxa"/>
                  </w:tcMar>
                  <w:vAlign w:val="center"/>
                </w:tcPr>
                <w:p w14:paraId="53CFCDA0">
                  <w:pPr>
                    <w:pStyle w:val="20"/>
                    <w:spacing w:before="31"/>
                    <w:rPr>
                      <w:b/>
                      <w:bCs/>
                      <w:color w:val="auto"/>
                      <w:highlight w:val="none"/>
                    </w:rPr>
                  </w:pPr>
                  <w:r>
                    <w:rPr>
                      <w:rFonts w:hint="eastAsia"/>
                      <w:b/>
                      <w:bCs/>
                      <w:color w:val="auto"/>
                      <w:highlight w:val="none"/>
                    </w:rPr>
                    <w:t>环境管控单元类型</w:t>
                  </w:r>
                </w:p>
              </w:tc>
            </w:tr>
            <w:tr w14:paraId="58E2C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928" w:type="pct"/>
                  <w:gridSpan w:val="2"/>
                  <w:tcMar>
                    <w:top w:w="57" w:type="dxa"/>
                    <w:left w:w="28" w:type="dxa"/>
                    <w:bottom w:w="57" w:type="dxa"/>
                    <w:right w:w="28" w:type="dxa"/>
                  </w:tcMar>
                  <w:vAlign w:val="center"/>
                </w:tcPr>
                <w:p w14:paraId="43099871">
                  <w:pPr>
                    <w:pStyle w:val="20"/>
                    <w:spacing w:before="31"/>
                    <w:rPr>
                      <w:rFonts w:hint="eastAsia" w:eastAsia="宋体"/>
                      <w:color w:val="auto"/>
                      <w:highlight w:val="none"/>
                      <w:lang w:eastAsia="zh-CN"/>
                    </w:rPr>
                  </w:pPr>
                  <w:r>
                    <w:rPr>
                      <w:rFonts w:hint="eastAsia"/>
                      <w:color w:val="auto"/>
                      <w:highlight w:val="none"/>
                      <w:lang w:eastAsia="zh-CN"/>
                    </w:rPr>
                    <w:t>ZH50010720002</w:t>
                  </w:r>
                </w:p>
              </w:tc>
              <w:tc>
                <w:tcPr>
                  <w:tcW w:w="2908" w:type="pct"/>
                  <w:tcMar>
                    <w:top w:w="57" w:type="dxa"/>
                    <w:left w:w="28" w:type="dxa"/>
                    <w:bottom w:w="57" w:type="dxa"/>
                    <w:right w:w="28" w:type="dxa"/>
                  </w:tcMar>
                  <w:vAlign w:val="center"/>
                </w:tcPr>
                <w:p w14:paraId="04D8DA8B">
                  <w:pPr>
                    <w:pStyle w:val="20"/>
                    <w:spacing w:before="31"/>
                    <w:rPr>
                      <w:rFonts w:hint="eastAsia" w:eastAsia="宋体"/>
                      <w:color w:val="auto"/>
                      <w:highlight w:val="none"/>
                      <w:lang w:eastAsia="zh-CN"/>
                    </w:rPr>
                  </w:pPr>
                  <w:r>
                    <w:rPr>
                      <w:rFonts w:hint="eastAsia"/>
                      <w:color w:val="auto"/>
                      <w:highlight w:val="none"/>
                      <w:lang w:eastAsia="zh-CN"/>
                    </w:rPr>
                    <w:t>九龙坡区工业城镇重点管控单元-九龙西城片区</w:t>
                  </w:r>
                </w:p>
              </w:tc>
              <w:tc>
                <w:tcPr>
                  <w:tcW w:w="1163" w:type="pct"/>
                  <w:gridSpan w:val="2"/>
                  <w:tcMar>
                    <w:top w:w="57" w:type="dxa"/>
                    <w:left w:w="28" w:type="dxa"/>
                    <w:bottom w:w="57" w:type="dxa"/>
                    <w:right w:w="28" w:type="dxa"/>
                  </w:tcMar>
                  <w:vAlign w:val="center"/>
                </w:tcPr>
                <w:p w14:paraId="27F32674">
                  <w:pPr>
                    <w:pStyle w:val="20"/>
                    <w:spacing w:before="31"/>
                    <w:rPr>
                      <w:rFonts w:hint="eastAsia" w:eastAsia="宋体"/>
                      <w:color w:val="auto"/>
                      <w:highlight w:val="none"/>
                      <w:lang w:eastAsia="zh-CN"/>
                    </w:rPr>
                  </w:pPr>
                  <w:r>
                    <w:rPr>
                      <w:rFonts w:hint="eastAsia"/>
                      <w:color w:val="auto"/>
                      <w:highlight w:val="none"/>
                    </w:rPr>
                    <w:t>重点管控单元</w:t>
                  </w:r>
                  <w:r>
                    <w:rPr>
                      <w:rFonts w:hint="eastAsia"/>
                      <w:color w:val="auto"/>
                      <w:highlight w:val="none"/>
                      <w:lang w:val="en-US" w:eastAsia="zh-CN"/>
                    </w:rPr>
                    <w:t>2</w:t>
                  </w:r>
                </w:p>
              </w:tc>
            </w:tr>
            <w:tr w14:paraId="46B0F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24" w:hRule="atLeast"/>
                <w:jc w:val="center"/>
              </w:trPr>
              <w:tc>
                <w:tcPr>
                  <w:tcW w:w="509" w:type="pct"/>
                  <w:tcMar>
                    <w:top w:w="0" w:type="dxa"/>
                    <w:left w:w="28" w:type="dxa"/>
                    <w:bottom w:w="0" w:type="dxa"/>
                    <w:right w:w="28" w:type="dxa"/>
                  </w:tcMar>
                  <w:vAlign w:val="center"/>
                </w:tcPr>
                <w:p w14:paraId="3A8F7492">
                  <w:pPr>
                    <w:pStyle w:val="20"/>
                    <w:keepNext w:val="0"/>
                    <w:keepLines w:val="0"/>
                    <w:suppressLineNumbers w:val="0"/>
                    <w:spacing w:before="31" w:beforeAutospacing="0" w:after="0" w:afterAutospacing="0"/>
                    <w:ind w:left="0" w:right="0"/>
                    <w:rPr>
                      <w:rFonts w:hint="default"/>
                      <w:b/>
                      <w:bCs/>
                      <w:color w:val="auto"/>
                      <w:highlight w:val="none"/>
                    </w:rPr>
                  </w:pPr>
                  <w:r>
                    <w:rPr>
                      <w:rFonts w:hint="eastAsia"/>
                      <w:b/>
                      <w:bCs/>
                      <w:color w:val="auto"/>
                      <w:highlight w:val="none"/>
                    </w:rPr>
                    <w:t>执行管控要求</w:t>
                  </w:r>
                </w:p>
              </w:tc>
              <w:tc>
                <w:tcPr>
                  <w:tcW w:w="418" w:type="pct"/>
                  <w:tcMar>
                    <w:top w:w="0" w:type="dxa"/>
                    <w:left w:w="28" w:type="dxa"/>
                    <w:bottom w:w="0" w:type="dxa"/>
                    <w:right w:w="28" w:type="dxa"/>
                  </w:tcMar>
                  <w:vAlign w:val="center"/>
                </w:tcPr>
                <w:p w14:paraId="5521497E">
                  <w:pPr>
                    <w:pStyle w:val="20"/>
                    <w:keepNext w:val="0"/>
                    <w:keepLines w:val="0"/>
                    <w:suppressLineNumbers w:val="0"/>
                    <w:spacing w:before="31" w:beforeAutospacing="0" w:after="0" w:afterAutospacing="0"/>
                    <w:ind w:left="0" w:right="0"/>
                    <w:rPr>
                      <w:rFonts w:hint="default"/>
                      <w:b/>
                      <w:bCs/>
                      <w:color w:val="auto"/>
                      <w:highlight w:val="none"/>
                    </w:rPr>
                  </w:pPr>
                  <w:r>
                    <w:rPr>
                      <w:rFonts w:hint="eastAsia"/>
                      <w:b/>
                      <w:bCs/>
                      <w:color w:val="auto"/>
                      <w:highlight w:val="none"/>
                    </w:rPr>
                    <w:t>管控类型</w:t>
                  </w:r>
                </w:p>
              </w:tc>
              <w:tc>
                <w:tcPr>
                  <w:tcW w:w="2908" w:type="pct"/>
                  <w:tcMar>
                    <w:top w:w="0" w:type="dxa"/>
                    <w:left w:w="28" w:type="dxa"/>
                    <w:bottom w:w="0" w:type="dxa"/>
                    <w:right w:w="28" w:type="dxa"/>
                  </w:tcMar>
                  <w:vAlign w:val="center"/>
                </w:tcPr>
                <w:p w14:paraId="7F433E01">
                  <w:pPr>
                    <w:pStyle w:val="20"/>
                    <w:keepNext w:val="0"/>
                    <w:keepLines w:val="0"/>
                    <w:suppressLineNumbers w:val="0"/>
                    <w:spacing w:before="31" w:beforeAutospacing="0" w:after="0" w:afterAutospacing="0"/>
                    <w:ind w:left="0" w:right="0"/>
                    <w:rPr>
                      <w:rFonts w:hint="default"/>
                      <w:b/>
                      <w:bCs/>
                      <w:color w:val="auto"/>
                      <w:highlight w:val="none"/>
                    </w:rPr>
                  </w:pPr>
                  <w:r>
                    <w:rPr>
                      <w:rFonts w:hint="eastAsia"/>
                      <w:b/>
                      <w:bCs/>
                      <w:color w:val="auto"/>
                      <w:highlight w:val="none"/>
                    </w:rPr>
                    <w:t>管控要求</w:t>
                  </w:r>
                </w:p>
              </w:tc>
              <w:tc>
                <w:tcPr>
                  <w:tcW w:w="851" w:type="pct"/>
                  <w:tcMar>
                    <w:top w:w="0" w:type="dxa"/>
                    <w:left w:w="28" w:type="dxa"/>
                    <w:bottom w:w="0" w:type="dxa"/>
                    <w:right w:w="28" w:type="dxa"/>
                  </w:tcMar>
                  <w:vAlign w:val="center"/>
                </w:tcPr>
                <w:p w14:paraId="71E9205B">
                  <w:pPr>
                    <w:pStyle w:val="20"/>
                    <w:keepNext w:val="0"/>
                    <w:keepLines w:val="0"/>
                    <w:suppressLineNumbers w:val="0"/>
                    <w:spacing w:before="31" w:beforeAutospacing="0" w:after="0" w:afterAutospacing="0"/>
                    <w:ind w:left="0" w:right="0"/>
                    <w:rPr>
                      <w:rFonts w:hint="default"/>
                      <w:b/>
                      <w:bCs/>
                      <w:color w:val="auto"/>
                      <w:highlight w:val="none"/>
                    </w:rPr>
                  </w:pPr>
                  <w:r>
                    <w:rPr>
                      <w:rFonts w:hint="eastAsia"/>
                      <w:b/>
                      <w:bCs/>
                      <w:color w:val="auto"/>
                      <w:highlight w:val="none"/>
                    </w:rPr>
                    <w:t>建设项目相关情况</w:t>
                  </w:r>
                </w:p>
              </w:tc>
              <w:tc>
                <w:tcPr>
                  <w:tcW w:w="311" w:type="pct"/>
                  <w:tcMar>
                    <w:top w:w="0" w:type="dxa"/>
                    <w:left w:w="28" w:type="dxa"/>
                    <w:bottom w:w="0" w:type="dxa"/>
                    <w:right w:w="28" w:type="dxa"/>
                  </w:tcMar>
                  <w:vAlign w:val="center"/>
                </w:tcPr>
                <w:p w14:paraId="6E374D85">
                  <w:pPr>
                    <w:pStyle w:val="20"/>
                    <w:keepNext w:val="0"/>
                    <w:keepLines w:val="0"/>
                    <w:suppressLineNumbers w:val="0"/>
                    <w:spacing w:before="31" w:beforeAutospacing="0" w:after="0" w:afterAutospacing="0"/>
                    <w:ind w:left="0" w:right="0"/>
                    <w:rPr>
                      <w:rFonts w:hint="default"/>
                      <w:b/>
                      <w:bCs/>
                      <w:color w:val="auto"/>
                      <w:highlight w:val="none"/>
                    </w:rPr>
                  </w:pPr>
                  <w:r>
                    <w:rPr>
                      <w:rFonts w:hint="eastAsia"/>
                      <w:b/>
                      <w:bCs/>
                      <w:color w:val="auto"/>
                      <w:highlight w:val="none"/>
                    </w:rPr>
                    <w:t>符合性</w:t>
                  </w:r>
                </w:p>
              </w:tc>
            </w:tr>
            <w:tr w14:paraId="2043E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restart"/>
                  <w:tcMar>
                    <w:top w:w="0" w:type="dxa"/>
                    <w:left w:w="28" w:type="dxa"/>
                    <w:bottom w:w="0" w:type="dxa"/>
                    <w:right w:w="28" w:type="dxa"/>
                  </w:tcMar>
                  <w:vAlign w:val="center"/>
                </w:tcPr>
                <w:p w14:paraId="04F80694">
                  <w:pPr>
                    <w:pStyle w:val="20"/>
                    <w:bidi w:val="0"/>
                    <w:rPr>
                      <w:rFonts w:hint="default"/>
                      <w:color w:val="auto"/>
                      <w:highlight w:val="none"/>
                    </w:rPr>
                  </w:pPr>
                  <w:r>
                    <w:rPr>
                      <w:rFonts w:hint="eastAsia"/>
                      <w:color w:val="auto"/>
                      <w:highlight w:val="none"/>
                    </w:rPr>
                    <w:t>全市总体要求</w:t>
                  </w:r>
                </w:p>
              </w:tc>
              <w:tc>
                <w:tcPr>
                  <w:tcW w:w="418" w:type="pct"/>
                  <w:vMerge w:val="restart"/>
                  <w:tcMar>
                    <w:top w:w="0" w:type="dxa"/>
                    <w:left w:w="28" w:type="dxa"/>
                    <w:bottom w:w="0" w:type="dxa"/>
                    <w:right w:w="28" w:type="dxa"/>
                  </w:tcMar>
                  <w:vAlign w:val="center"/>
                </w:tcPr>
                <w:p w14:paraId="261E314C">
                  <w:pPr>
                    <w:pStyle w:val="20"/>
                    <w:bidi w:val="0"/>
                    <w:rPr>
                      <w:rFonts w:hint="default"/>
                      <w:color w:val="auto"/>
                      <w:highlight w:val="none"/>
                    </w:rPr>
                  </w:pPr>
                  <w:r>
                    <w:rPr>
                      <w:rFonts w:hint="eastAsia"/>
                      <w:color w:val="auto"/>
                      <w:highlight w:val="none"/>
                    </w:rPr>
                    <w:t>空间布局约束</w:t>
                  </w:r>
                </w:p>
              </w:tc>
              <w:tc>
                <w:tcPr>
                  <w:tcW w:w="2908" w:type="pct"/>
                  <w:tcMar>
                    <w:top w:w="0" w:type="dxa"/>
                    <w:left w:w="28" w:type="dxa"/>
                    <w:bottom w:w="0" w:type="dxa"/>
                    <w:right w:w="28" w:type="dxa"/>
                  </w:tcMar>
                  <w:vAlign w:val="center"/>
                </w:tcPr>
                <w:p w14:paraId="6C8D5271">
                  <w:pPr>
                    <w:pStyle w:val="20"/>
                    <w:spacing w:before="31"/>
                    <w:jc w:val="both"/>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 xml:space="preserve">第一条 </w:t>
                  </w:r>
                  <w:r>
                    <w:rPr>
                      <w:rFonts w:hint="eastAsia"/>
                      <w:color w:val="auto"/>
                      <w:highlight w:val="none"/>
                    </w:rPr>
                    <w:t>深入贯彻习近平生态文明思想，筑牢长江上游重要生态屏障，推动优势区域重点发展、生态功能区重点保护、城乡融合发展，优化重点区域、流域、产业的空间布局。</w:t>
                  </w:r>
                </w:p>
              </w:tc>
              <w:tc>
                <w:tcPr>
                  <w:tcW w:w="851" w:type="pct"/>
                  <w:tcMar>
                    <w:top w:w="0" w:type="dxa"/>
                    <w:left w:w="28" w:type="dxa"/>
                    <w:bottom w:w="0" w:type="dxa"/>
                    <w:right w:w="28" w:type="dxa"/>
                  </w:tcMar>
                  <w:vAlign w:val="center"/>
                </w:tcPr>
                <w:p w14:paraId="51530150">
                  <w:pPr>
                    <w:pStyle w:val="20"/>
                    <w:bidi w:val="0"/>
                    <w:jc w:val="both"/>
                    <w:rPr>
                      <w:rFonts w:hint="default"/>
                      <w:color w:val="auto"/>
                      <w:highlight w:val="none"/>
                    </w:rPr>
                  </w:pPr>
                  <w:r>
                    <w:rPr>
                      <w:rFonts w:hint="eastAsia"/>
                      <w:color w:val="auto"/>
                      <w:highlight w:val="none"/>
                      <w:lang w:val="en-US" w:eastAsia="zh-CN"/>
                    </w:rPr>
                    <w:t>扩建项目符合空间布局要求。</w:t>
                  </w:r>
                </w:p>
              </w:tc>
              <w:tc>
                <w:tcPr>
                  <w:tcW w:w="311" w:type="pct"/>
                  <w:tcMar>
                    <w:top w:w="0" w:type="dxa"/>
                    <w:left w:w="28" w:type="dxa"/>
                    <w:bottom w:w="0" w:type="dxa"/>
                    <w:right w:w="28" w:type="dxa"/>
                  </w:tcMar>
                  <w:vAlign w:val="center"/>
                </w:tcPr>
                <w:p w14:paraId="7FF01F4B">
                  <w:pPr>
                    <w:pStyle w:val="20"/>
                    <w:bidi w:val="0"/>
                    <w:rPr>
                      <w:rFonts w:hint="default"/>
                      <w:color w:val="auto"/>
                      <w:highlight w:val="none"/>
                    </w:rPr>
                  </w:pPr>
                  <w:r>
                    <w:rPr>
                      <w:rFonts w:hint="eastAsia"/>
                      <w:color w:val="auto"/>
                      <w:highlight w:val="none"/>
                    </w:rPr>
                    <w:t>符合</w:t>
                  </w:r>
                </w:p>
              </w:tc>
            </w:tr>
            <w:tr w14:paraId="5A6E9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0" w:type="dxa"/>
                    <w:left w:w="28" w:type="dxa"/>
                    <w:bottom w:w="0" w:type="dxa"/>
                    <w:right w:w="28" w:type="dxa"/>
                  </w:tcMar>
                  <w:vAlign w:val="center"/>
                </w:tcPr>
                <w:p w14:paraId="5458BB9F">
                  <w:pPr>
                    <w:pStyle w:val="20"/>
                    <w:bidi w:val="0"/>
                    <w:rPr>
                      <w:rFonts w:hint="default"/>
                      <w:color w:val="auto"/>
                      <w:highlight w:val="none"/>
                    </w:rPr>
                  </w:pPr>
                </w:p>
              </w:tc>
              <w:tc>
                <w:tcPr>
                  <w:tcW w:w="418" w:type="pct"/>
                  <w:vMerge w:val="continue"/>
                  <w:tcMar>
                    <w:top w:w="0" w:type="dxa"/>
                    <w:left w:w="28" w:type="dxa"/>
                    <w:bottom w:w="0" w:type="dxa"/>
                    <w:right w:w="28" w:type="dxa"/>
                  </w:tcMar>
                  <w:vAlign w:val="center"/>
                </w:tcPr>
                <w:p w14:paraId="4CDED776">
                  <w:pPr>
                    <w:pStyle w:val="20"/>
                    <w:bidi w:val="0"/>
                    <w:rPr>
                      <w:rFonts w:hint="default"/>
                      <w:color w:val="auto"/>
                      <w:highlight w:val="none"/>
                    </w:rPr>
                  </w:pPr>
                </w:p>
              </w:tc>
              <w:tc>
                <w:tcPr>
                  <w:tcW w:w="2908" w:type="pct"/>
                  <w:tcMar>
                    <w:top w:w="0" w:type="dxa"/>
                    <w:left w:w="28" w:type="dxa"/>
                    <w:bottom w:w="0" w:type="dxa"/>
                    <w:right w:w="28" w:type="dxa"/>
                  </w:tcMar>
                  <w:vAlign w:val="center"/>
                </w:tcPr>
                <w:p w14:paraId="57126A8F">
                  <w:pPr>
                    <w:pStyle w:val="20"/>
                    <w:spacing w:before="31"/>
                    <w:jc w:val="both"/>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 xml:space="preserve">第二条 </w:t>
                  </w:r>
                  <w:r>
                    <w:rPr>
                      <w:rFonts w:hint="eastAsia"/>
                      <w:color w:val="auto"/>
                      <w:highlight w:val="none"/>
                    </w:rPr>
                    <w:t>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禁止在长江、嘉陵江、乌江岸线一公里范围内布局新建重化工、纸浆制造、印染等存在环境风险的项目。</w:t>
                  </w:r>
                </w:p>
              </w:tc>
              <w:tc>
                <w:tcPr>
                  <w:tcW w:w="851" w:type="pct"/>
                  <w:tcMar>
                    <w:top w:w="0" w:type="dxa"/>
                    <w:left w:w="28" w:type="dxa"/>
                    <w:bottom w:w="0" w:type="dxa"/>
                    <w:right w:w="28" w:type="dxa"/>
                  </w:tcMar>
                  <w:vAlign w:val="center"/>
                </w:tcPr>
                <w:p w14:paraId="2C278105">
                  <w:pPr>
                    <w:pStyle w:val="20"/>
                    <w:bidi w:val="0"/>
                    <w:jc w:val="both"/>
                    <w:rPr>
                      <w:rFonts w:hint="default"/>
                      <w:color w:val="auto"/>
                      <w:highlight w:val="none"/>
                    </w:rPr>
                  </w:pPr>
                  <w:r>
                    <w:rPr>
                      <w:rFonts w:hint="eastAsia"/>
                      <w:color w:val="auto"/>
                      <w:highlight w:val="none"/>
                    </w:rPr>
                    <w:t>本项目</w:t>
                  </w:r>
                  <w:r>
                    <w:rPr>
                      <w:rFonts w:hint="eastAsia"/>
                      <w:color w:val="auto"/>
                      <w:highlight w:val="none"/>
                      <w:lang w:val="en-US" w:eastAsia="zh-CN"/>
                    </w:rPr>
                    <w:t>不属于文件所列</w:t>
                  </w:r>
                  <w:r>
                    <w:rPr>
                      <w:rFonts w:hint="eastAsia"/>
                      <w:color w:val="auto"/>
                      <w:highlight w:val="none"/>
                    </w:rPr>
                    <w:t>化工项目</w:t>
                  </w:r>
                  <w:r>
                    <w:rPr>
                      <w:rFonts w:hint="eastAsia"/>
                      <w:color w:val="auto"/>
                      <w:highlight w:val="none"/>
                      <w:lang w:eastAsia="zh-CN"/>
                    </w:rPr>
                    <w:t>，</w:t>
                  </w:r>
                  <w:r>
                    <w:rPr>
                      <w:rFonts w:hint="eastAsia"/>
                      <w:color w:val="auto"/>
                      <w:highlight w:val="none"/>
                      <w:lang w:val="en-US" w:eastAsia="zh-CN"/>
                    </w:rPr>
                    <w:t>不属于</w:t>
                  </w:r>
                  <w:r>
                    <w:rPr>
                      <w:rFonts w:hint="eastAsia"/>
                      <w:color w:val="auto"/>
                      <w:highlight w:val="none"/>
                    </w:rPr>
                    <w:t>尾矿库、冶炼渣库、磷石膏库</w:t>
                  </w:r>
                  <w:r>
                    <w:rPr>
                      <w:rFonts w:hint="eastAsia"/>
                      <w:color w:val="auto"/>
                      <w:highlight w:val="none"/>
                      <w:lang w:eastAsia="zh-CN"/>
                    </w:rPr>
                    <w:t>，</w:t>
                  </w:r>
                  <w:r>
                    <w:rPr>
                      <w:rFonts w:hint="eastAsia"/>
                      <w:color w:val="auto"/>
                      <w:highlight w:val="none"/>
                      <w:lang w:val="en-US" w:eastAsia="zh-CN"/>
                    </w:rPr>
                    <w:t>不属于</w:t>
                  </w:r>
                  <w:r>
                    <w:rPr>
                      <w:rFonts w:hint="eastAsia"/>
                      <w:color w:val="auto"/>
                      <w:highlight w:val="none"/>
                    </w:rPr>
                    <w:t>重化工、纸浆制造、印染等</w:t>
                  </w:r>
                  <w:r>
                    <w:rPr>
                      <w:rFonts w:hint="eastAsia"/>
                      <w:color w:val="auto"/>
                      <w:highlight w:val="none"/>
                      <w:lang w:val="en-US" w:eastAsia="zh-CN"/>
                    </w:rPr>
                    <w:t>项目。</w:t>
                  </w:r>
                </w:p>
              </w:tc>
              <w:tc>
                <w:tcPr>
                  <w:tcW w:w="311" w:type="pct"/>
                  <w:tcMar>
                    <w:top w:w="0" w:type="dxa"/>
                    <w:left w:w="28" w:type="dxa"/>
                    <w:bottom w:w="0" w:type="dxa"/>
                    <w:right w:w="28" w:type="dxa"/>
                  </w:tcMar>
                  <w:vAlign w:val="center"/>
                </w:tcPr>
                <w:p w14:paraId="43E3C38F">
                  <w:pPr>
                    <w:pStyle w:val="20"/>
                    <w:bidi w:val="0"/>
                    <w:rPr>
                      <w:rFonts w:hint="default"/>
                      <w:color w:val="auto"/>
                      <w:highlight w:val="none"/>
                    </w:rPr>
                  </w:pPr>
                  <w:r>
                    <w:rPr>
                      <w:rFonts w:hint="eastAsia"/>
                      <w:color w:val="auto"/>
                      <w:highlight w:val="none"/>
                    </w:rPr>
                    <w:t>符合</w:t>
                  </w:r>
                </w:p>
              </w:tc>
            </w:tr>
            <w:tr w14:paraId="4B638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0" w:type="dxa"/>
                    <w:left w:w="28" w:type="dxa"/>
                    <w:bottom w:w="0" w:type="dxa"/>
                    <w:right w:w="28" w:type="dxa"/>
                  </w:tcMar>
                  <w:vAlign w:val="center"/>
                </w:tcPr>
                <w:p w14:paraId="69E096D6">
                  <w:pPr>
                    <w:pStyle w:val="20"/>
                    <w:bidi w:val="0"/>
                    <w:rPr>
                      <w:rFonts w:hint="default"/>
                      <w:color w:val="auto"/>
                      <w:highlight w:val="none"/>
                    </w:rPr>
                  </w:pPr>
                </w:p>
              </w:tc>
              <w:tc>
                <w:tcPr>
                  <w:tcW w:w="418" w:type="pct"/>
                  <w:vMerge w:val="continue"/>
                  <w:tcMar>
                    <w:top w:w="0" w:type="dxa"/>
                    <w:left w:w="28" w:type="dxa"/>
                    <w:bottom w:w="0" w:type="dxa"/>
                    <w:right w:w="28" w:type="dxa"/>
                  </w:tcMar>
                  <w:vAlign w:val="center"/>
                </w:tcPr>
                <w:p w14:paraId="3CE46E8C">
                  <w:pPr>
                    <w:pStyle w:val="20"/>
                    <w:bidi w:val="0"/>
                    <w:rPr>
                      <w:rFonts w:hint="default"/>
                      <w:color w:val="auto"/>
                      <w:highlight w:val="none"/>
                    </w:rPr>
                  </w:pPr>
                </w:p>
              </w:tc>
              <w:tc>
                <w:tcPr>
                  <w:tcW w:w="2908" w:type="pct"/>
                  <w:tcMar>
                    <w:top w:w="0" w:type="dxa"/>
                    <w:left w:w="28" w:type="dxa"/>
                    <w:bottom w:w="0" w:type="dxa"/>
                    <w:right w:w="28" w:type="dxa"/>
                  </w:tcMar>
                  <w:vAlign w:val="center"/>
                </w:tcPr>
                <w:p w14:paraId="00509B23">
                  <w:pPr>
                    <w:pStyle w:val="20"/>
                    <w:spacing w:before="31"/>
                    <w:jc w:val="both"/>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 xml:space="preserve">第三条 </w:t>
                  </w:r>
                  <w:r>
                    <w:rPr>
                      <w:rFonts w:hint="eastAsia"/>
                      <w:color w:val="auto"/>
                      <w:highlight w:val="none"/>
                    </w:rPr>
                    <w:t>禁止在合规园区外新建、扩建钢铁、石化、化工、焦化、建材、有色、制浆造纸等高污染项目（高污染项目严格按照《环境保护综合名录》“高污染”产品名录执行）。禁止新建、扩建不符合国家石化、现代煤化工等产业布局规划的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851" w:type="pct"/>
                  <w:tcMar>
                    <w:top w:w="0" w:type="dxa"/>
                    <w:left w:w="28" w:type="dxa"/>
                    <w:bottom w:w="0" w:type="dxa"/>
                    <w:right w:w="28" w:type="dxa"/>
                  </w:tcMar>
                  <w:vAlign w:val="center"/>
                </w:tcPr>
                <w:p w14:paraId="467721EC">
                  <w:pPr>
                    <w:pStyle w:val="20"/>
                    <w:bidi w:val="0"/>
                    <w:jc w:val="both"/>
                    <w:rPr>
                      <w:rFonts w:hint="default"/>
                      <w:color w:val="auto"/>
                      <w:highlight w:val="none"/>
                    </w:rPr>
                  </w:pPr>
                  <w:r>
                    <w:rPr>
                      <w:rFonts w:hint="eastAsia"/>
                      <w:color w:val="auto"/>
                      <w:highlight w:val="none"/>
                      <w:lang w:eastAsia="zh-CN"/>
                    </w:rPr>
                    <w:t>扩建项目</w:t>
                  </w:r>
                  <w:r>
                    <w:rPr>
                      <w:rFonts w:hint="eastAsia"/>
                      <w:color w:val="auto"/>
                      <w:highlight w:val="none"/>
                    </w:rPr>
                    <w:t>不属于高污染项目，不属于“两高项目”。</w:t>
                  </w:r>
                </w:p>
              </w:tc>
              <w:tc>
                <w:tcPr>
                  <w:tcW w:w="311" w:type="pct"/>
                  <w:tcMar>
                    <w:top w:w="0" w:type="dxa"/>
                    <w:left w:w="28" w:type="dxa"/>
                    <w:bottom w:w="0" w:type="dxa"/>
                    <w:right w:w="28" w:type="dxa"/>
                  </w:tcMar>
                  <w:vAlign w:val="center"/>
                </w:tcPr>
                <w:p w14:paraId="752AF858">
                  <w:pPr>
                    <w:pStyle w:val="20"/>
                    <w:bidi w:val="0"/>
                    <w:rPr>
                      <w:rFonts w:hint="default"/>
                      <w:color w:val="auto"/>
                      <w:highlight w:val="none"/>
                    </w:rPr>
                  </w:pPr>
                  <w:r>
                    <w:rPr>
                      <w:rFonts w:hint="eastAsia"/>
                      <w:color w:val="auto"/>
                      <w:highlight w:val="none"/>
                    </w:rPr>
                    <w:t>符合</w:t>
                  </w:r>
                </w:p>
              </w:tc>
            </w:tr>
            <w:tr w14:paraId="501A6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0" w:type="dxa"/>
                    <w:left w:w="28" w:type="dxa"/>
                    <w:bottom w:w="0" w:type="dxa"/>
                    <w:right w:w="28" w:type="dxa"/>
                  </w:tcMar>
                  <w:vAlign w:val="center"/>
                </w:tcPr>
                <w:p w14:paraId="0CE498C9">
                  <w:pPr>
                    <w:pStyle w:val="20"/>
                    <w:bidi w:val="0"/>
                    <w:rPr>
                      <w:rFonts w:hint="default"/>
                      <w:color w:val="auto"/>
                      <w:highlight w:val="none"/>
                    </w:rPr>
                  </w:pPr>
                </w:p>
              </w:tc>
              <w:tc>
                <w:tcPr>
                  <w:tcW w:w="418" w:type="pct"/>
                  <w:vMerge w:val="continue"/>
                  <w:tcMar>
                    <w:top w:w="0" w:type="dxa"/>
                    <w:left w:w="28" w:type="dxa"/>
                    <w:bottom w:w="0" w:type="dxa"/>
                    <w:right w:w="28" w:type="dxa"/>
                  </w:tcMar>
                  <w:vAlign w:val="center"/>
                </w:tcPr>
                <w:p w14:paraId="0443F085">
                  <w:pPr>
                    <w:pStyle w:val="20"/>
                    <w:bidi w:val="0"/>
                    <w:rPr>
                      <w:rFonts w:hint="default"/>
                      <w:color w:val="auto"/>
                      <w:highlight w:val="none"/>
                    </w:rPr>
                  </w:pPr>
                </w:p>
              </w:tc>
              <w:tc>
                <w:tcPr>
                  <w:tcW w:w="2908" w:type="pct"/>
                  <w:tcMar>
                    <w:top w:w="0" w:type="dxa"/>
                    <w:left w:w="28" w:type="dxa"/>
                    <w:bottom w:w="0" w:type="dxa"/>
                    <w:right w:w="28" w:type="dxa"/>
                  </w:tcMar>
                  <w:vAlign w:val="center"/>
                </w:tcPr>
                <w:p w14:paraId="43CE42DD">
                  <w:pPr>
                    <w:pStyle w:val="20"/>
                    <w:spacing w:before="31"/>
                    <w:jc w:val="both"/>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 xml:space="preserve">第四条 </w:t>
                  </w:r>
                  <w:r>
                    <w:rPr>
                      <w:rFonts w:hint="eastAsia"/>
                      <w:color w:val="auto"/>
                      <w:highlight w:val="none"/>
                    </w:rPr>
                    <w:t>严把项目准入关口，对不符合要求的高耗能、高排放、低水平项目坚决不予准入。除在安全或者产业布局等方面有特殊要求的项目外，新建有污染物排放的工业项目应当进入工业集聚区。新建化工项目应当进入全市统一布局的化工产业集聚区。鼓励现有工业项目、化工项目分别搬入工业集聚区、化工产业集聚区。</w:t>
                  </w:r>
                </w:p>
              </w:tc>
              <w:tc>
                <w:tcPr>
                  <w:tcW w:w="851" w:type="pct"/>
                  <w:tcMar>
                    <w:top w:w="0" w:type="dxa"/>
                    <w:left w:w="28" w:type="dxa"/>
                    <w:bottom w:w="0" w:type="dxa"/>
                    <w:right w:w="28" w:type="dxa"/>
                  </w:tcMar>
                  <w:vAlign w:val="center"/>
                </w:tcPr>
                <w:p w14:paraId="5E3CFA1E">
                  <w:pPr>
                    <w:pStyle w:val="20"/>
                    <w:bidi w:val="0"/>
                    <w:jc w:val="both"/>
                    <w:rPr>
                      <w:rFonts w:hint="default"/>
                      <w:color w:val="auto"/>
                      <w:highlight w:val="none"/>
                    </w:rPr>
                  </w:pPr>
                  <w:r>
                    <w:rPr>
                      <w:rFonts w:hint="eastAsia"/>
                      <w:color w:val="auto"/>
                      <w:highlight w:val="none"/>
                    </w:rPr>
                    <w:t>本项目</w:t>
                  </w:r>
                  <w:r>
                    <w:rPr>
                      <w:rFonts w:hint="eastAsia"/>
                      <w:color w:val="auto"/>
                      <w:highlight w:val="none"/>
                      <w:lang w:val="en-US" w:eastAsia="zh-CN"/>
                    </w:rPr>
                    <w:t>不属于高</w:t>
                  </w:r>
                  <w:r>
                    <w:rPr>
                      <w:rFonts w:hint="eastAsia"/>
                      <w:color w:val="auto"/>
                      <w:highlight w:val="none"/>
                    </w:rPr>
                    <w:t>耗能、高排放、低水平项目</w:t>
                  </w:r>
                  <w:r>
                    <w:rPr>
                      <w:rFonts w:hint="eastAsia"/>
                      <w:color w:val="auto"/>
                      <w:highlight w:val="none"/>
                      <w:lang w:eastAsia="zh-CN"/>
                    </w:rPr>
                    <w:t>，</w:t>
                  </w:r>
                  <w:r>
                    <w:rPr>
                      <w:rFonts w:hint="eastAsia"/>
                      <w:color w:val="auto"/>
                      <w:highlight w:val="none"/>
                    </w:rPr>
                    <w:t>位于</w:t>
                  </w:r>
                  <w:r>
                    <w:rPr>
                      <w:rFonts w:hint="eastAsia"/>
                      <w:color w:val="auto"/>
                      <w:highlight w:val="none"/>
                      <w:lang w:val="en-US" w:eastAsia="zh-CN"/>
                    </w:rPr>
                    <w:t>西彭工业园区西彭组团，属于</w:t>
                  </w:r>
                  <w:r>
                    <w:rPr>
                      <w:rFonts w:hint="eastAsia"/>
                      <w:color w:val="auto"/>
                      <w:highlight w:val="none"/>
                    </w:rPr>
                    <w:t>工业集聚区。</w:t>
                  </w:r>
                </w:p>
              </w:tc>
              <w:tc>
                <w:tcPr>
                  <w:tcW w:w="311" w:type="pct"/>
                  <w:tcMar>
                    <w:top w:w="0" w:type="dxa"/>
                    <w:left w:w="28" w:type="dxa"/>
                    <w:bottom w:w="0" w:type="dxa"/>
                    <w:right w:w="28" w:type="dxa"/>
                  </w:tcMar>
                  <w:vAlign w:val="center"/>
                </w:tcPr>
                <w:p w14:paraId="2C0359FE">
                  <w:pPr>
                    <w:pStyle w:val="20"/>
                    <w:bidi w:val="0"/>
                    <w:rPr>
                      <w:rFonts w:hint="default"/>
                      <w:color w:val="auto"/>
                      <w:highlight w:val="none"/>
                    </w:rPr>
                  </w:pPr>
                  <w:r>
                    <w:rPr>
                      <w:rFonts w:hint="eastAsia"/>
                      <w:color w:val="auto"/>
                      <w:highlight w:val="none"/>
                    </w:rPr>
                    <w:t>符合</w:t>
                  </w:r>
                </w:p>
              </w:tc>
            </w:tr>
            <w:tr w14:paraId="087DE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0" w:type="dxa"/>
                    <w:left w:w="28" w:type="dxa"/>
                    <w:bottom w:w="0" w:type="dxa"/>
                    <w:right w:w="28" w:type="dxa"/>
                  </w:tcMar>
                  <w:vAlign w:val="center"/>
                </w:tcPr>
                <w:p w14:paraId="7461FE0F">
                  <w:pPr>
                    <w:pStyle w:val="20"/>
                    <w:bidi w:val="0"/>
                    <w:rPr>
                      <w:rFonts w:hint="default"/>
                      <w:color w:val="auto"/>
                      <w:highlight w:val="none"/>
                    </w:rPr>
                  </w:pPr>
                </w:p>
              </w:tc>
              <w:tc>
                <w:tcPr>
                  <w:tcW w:w="418" w:type="pct"/>
                  <w:vMerge w:val="continue"/>
                  <w:tcMar>
                    <w:top w:w="0" w:type="dxa"/>
                    <w:left w:w="28" w:type="dxa"/>
                    <w:bottom w:w="0" w:type="dxa"/>
                    <w:right w:w="28" w:type="dxa"/>
                  </w:tcMar>
                  <w:vAlign w:val="center"/>
                </w:tcPr>
                <w:p w14:paraId="33D04C72">
                  <w:pPr>
                    <w:pStyle w:val="20"/>
                    <w:bidi w:val="0"/>
                    <w:rPr>
                      <w:rFonts w:hint="default"/>
                      <w:color w:val="auto"/>
                      <w:highlight w:val="none"/>
                    </w:rPr>
                  </w:pPr>
                </w:p>
              </w:tc>
              <w:tc>
                <w:tcPr>
                  <w:tcW w:w="2908" w:type="pct"/>
                  <w:tcMar>
                    <w:top w:w="0" w:type="dxa"/>
                    <w:left w:w="28" w:type="dxa"/>
                    <w:bottom w:w="0" w:type="dxa"/>
                    <w:right w:w="28" w:type="dxa"/>
                  </w:tcMar>
                  <w:vAlign w:val="center"/>
                </w:tcPr>
                <w:p w14:paraId="4DAC6DD3">
                  <w:pPr>
                    <w:pStyle w:val="20"/>
                    <w:spacing w:before="31"/>
                    <w:jc w:val="both"/>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第五条 新建、扩建有色金属冶炼、电镀、铅蓄电池等企业应布设在依法合规设立并经过规划环评的产业园区。</w:t>
                  </w:r>
                </w:p>
              </w:tc>
              <w:tc>
                <w:tcPr>
                  <w:tcW w:w="851" w:type="pct"/>
                  <w:tcMar>
                    <w:top w:w="0" w:type="dxa"/>
                    <w:left w:w="28" w:type="dxa"/>
                    <w:bottom w:w="0" w:type="dxa"/>
                    <w:right w:w="28" w:type="dxa"/>
                  </w:tcMar>
                  <w:vAlign w:val="center"/>
                </w:tcPr>
                <w:p w14:paraId="19CD154E">
                  <w:pPr>
                    <w:pStyle w:val="20"/>
                    <w:bidi w:val="0"/>
                    <w:jc w:val="both"/>
                    <w:rPr>
                      <w:rFonts w:hint="eastAsia" w:eastAsia="宋体"/>
                      <w:color w:val="auto"/>
                      <w:highlight w:val="none"/>
                      <w:lang w:eastAsia="zh-CN"/>
                    </w:rPr>
                  </w:pPr>
                  <w:r>
                    <w:rPr>
                      <w:rFonts w:hint="eastAsia"/>
                      <w:color w:val="auto"/>
                      <w:highlight w:val="none"/>
                      <w:lang w:val="en-US" w:eastAsia="zh-CN"/>
                    </w:rPr>
                    <w:t>不涉及。</w:t>
                  </w:r>
                </w:p>
              </w:tc>
              <w:tc>
                <w:tcPr>
                  <w:tcW w:w="311" w:type="pct"/>
                  <w:tcMar>
                    <w:top w:w="0" w:type="dxa"/>
                    <w:left w:w="28" w:type="dxa"/>
                    <w:bottom w:w="0" w:type="dxa"/>
                    <w:right w:w="28" w:type="dxa"/>
                  </w:tcMar>
                  <w:vAlign w:val="center"/>
                </w:tcPr>
                <w:p w14:paraId="58740BFE">
                  <w:pPr>
                    <w:pStyle w:val="20"/>
                    <w:bidi w:val="0"/>
                    <w:rPr>
                      <w:rFonts w:hint="default"/>
                      <w:color w:val="auto"/>
                      <w:highlight w:val="none"/>
                    </w:rPr>
                  </w:pPr>
                  <w:r>
                    <w:rPr>
                      <w:rFonts w:hint="eastAsia"/>
                      <w:color w:val="auto"/>
                      <w:highlight w:val="none"/>
                    </w:rPr>
                    <w:t>符合</w:t>
                  </w:r>
                </w:p>
              </w:tc>
            </w:tr>
            <w:tr w14:paraId="0ED1E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0" w:type="dxa"/>
                    <w:left w:w="28" w:type="dxa"/>
                    <w:bottom w:w="0" w:type="dxa"/>
                    <w:right w:w="28" w:type="dxa"/>
                  </w:tcMar>
                  <w:vAlign w:val="center"/>
                </w:tcPr>
                <w:p w14:paraId="273620BD">
                  <w:pPr>
                    <w:pStyle w:val="20"/>
                    <w:bidi w:val="0"/>
                    <w:rPr>
                      <w:rFonts w:hint="default"/>
                      <w:color w:val="auto"/>
                      <w:highlight w:val="none"/>
                    </w:rPr>
                  </w:pPr>
                </w:p>
              </w:tc>
              <w:tc>
                <w:tcPr>
                  <w:tcW w:w="418" w:type="pct"/>
                  <w:vMerge w:val="continue"/>
                  <w:tcMar>
                    <w:top w:w="0" w:type="dxa"/>
                    <w:left w:w="28" w:type="dxa"/>
                    <w:bottom w:w="0" w:type="dxa"/>
                    <w:right w:w="28" w:type="dxa"/>
                  </w:tcMar>
                  <w:vAlign w:val="center"/>
                </w:tcPr>
                <w:p w14:paraId="6A5FE4F0">
                  <w:pPr>
                    <w:pStyle w:val="20"/>
                    <w:bidi w:val="0"/>
                    <w:rPr>
                      <w:rFonts w:hint="default"/>
                      <w:color w:val="auto"/>
                      <w:highlight w:val="none"/>
                    </w:rPr>
                  </w:pPr>
                </w:p>
              </w:tc>
              <w:tc>
                <w:tcPr>
                  <w:tcW w:w="2908" w:type="pct"/>
                  <w:tcMar>
                    <w:top w:w="0" w:type="dxa"/>
                    <w:left w:w="28" w:type="dxa"/>
                    <w:bottom w:w="0" w:type="dxa"/>
                    <w:right w:w="28" w:type="dxa"/>
                  </w:tcMar>
                  <w:vAlign w:val="center"/>
                </w:tcPr>
                <w:p w14:paraId="79DD1275">
                  <w:pPr>
                    <w:pStyle w:val="20"/>
                    <w:spacing w:before="31"/>
                    <w:jc w:val="both"/>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第六条 涉及环境防护距离的工业企业或项目应通过选址或调整布局原则上将环境防护距离控制在园区边界或用地红线内，提前合理规划项目地块布置、预防环境风险。</w:t>
                  </w:r>
                </w:p>
              </w:tc>
              <w:tc>
                <w:tcPr>
                  <w:tcW w:w="851" w:type="pct"/>
                  <w:tcMar>
                    <w:top w:w="0" w:type="dxa"/>
                    <w:left w:w="28" w:type="dxa"/>
                    <w:bottom w:w="0" w:type="dxa"/>
                    <w:right w:w="28" w:type="dxa"/>
                  </w:tcMar>
                  <w:vAlign w:val="center"/>
                </w:tcPr>
                <w:p w14:paraId="0DC34DE8">
                  <w:pPr>
                    <w:pStyle w:val="20"/>
                    <w:bidi w:val="0"/>
                    <w:jc w:val="both"/>
                    <w:rPr>
                      <w:rFonts w:hint="default"/>
                      <w:color w:val="auto"/>
                      <w:highlight w:val="none"/>
                    </w:rPr>
                  </w:pPr>
                  <w:r>
                    <w:rPr>
                      <w:rFonts w:hint="eastAsia"/>
                      <w:color w:val="auto"/>
                      <w:highlight w:val="none"/>
                    </w:rPr>
                    <w:t>不涉及。</w:t>
                  </w:r>
                </w:p>
              </w:tc>
              <w:tc>
                <w:tcPr>
                  <w:tcW w:w="311" w:type="pct"/>
                  <w:tcMar>
                    <w:top w:w="0" w:type="dxa"/>
                    <w:left w:w="28" w:type="dxa"/>
                    <w:bottom w:w="0" w:type="dxa"/>
                    <w:right w:w="28" w:type="dxa"/>
                  </w:tcMar>
                  <w:vAlign w:val="center"/>
                </w:tcPr>
                <w:p w14:paraId="58C524FC">
                  <w:pPr>
                    <w:pStyle w:val="20"/>
                    <w:bidi w:val="0"/>
                    <w:rPr>
                      <w:rFonts w:hint="default"/>
                      <w:color w:val="auto"/>
                      <w:highlight w:val="none"/>
                    </w:rPr>
                  </w:pPr>
                  <w:r>
                    <w:rPr>
                      <w:rFonts w:hint="eastAsia"/>
                      <w:color w:val="auto"/>
                      <w:highlight w:val="none"/>
                    </w:rPr>
                    <w:t>符合</w:t>
                  </w:r>
                </w:p>
              </w:tc>
            </w:tr>
            <w:tr w14:paraId="32474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0" w:type="dxa"/>
                    <w:left w:w="28" w:type="dxa"/>
                    <w:bottom w:w="0" w:type="dxa"/>
                    <w:right w:w="28" w:type="dxa"/>
                  </w:tcMar>
                  <w:vAlign w:val="center"/>
                </w:tcPr>
                <w:p w14:paraId="059AAC34">
                  <w:pPr>
                    <w:pStyle w:val="20"/>
                    <w:bidi w:val="0"/>
                    <w:rPr>
                      <w:rFonts w:hint="default"/>
                      <w:color w:val="auto"/>
                      <w:highlight w:val="none"/>
                    </w:rPr>
                  </w:pPr>
                </w:p>
              </w:tc>
              <w:tc>
                <w:tcPr>
                  <w:tcW w:w="418" w:type="pct"/>
                  <w:vMerge w:val="continue"/>
                  <w:tcMar>
                    <w:top w:w="0" w:type="dxa"/>
                    <w:left w:w="28" w:type="dxa"/>
                    <w:bottom w:w="0" w:type="dxa"/>
                    <w:right w:w="28" w:type="dxa"/>
                  </w:tcMar>
                  <w:vAlign w:val="center"/>
                </w:tcPr>
                <w:p w14:paraId="1173B04D">
                  <w:pPr>
                    <w:pStyle w:val="20"/>
                    <w:bidi w:val="0"/>
                    <w:rPr>
                      <w:rFonts w:hint="default"/>
                      <w:color w:val="auto"/>
                      <w:highlight w:val="none"/>
                    </w:rPr>
                  </w:pPr>
                </w:p>
              </w:tc>
              <w:tc>
                <w:tcPr>
                  <w:tcW w:w="2908" w:type="pct"/>
                  <w:tcMar>
                    <w:top w:w="0" w:type="dxa"/>
                    <w:left w:w="28" w:type="dxa"/>
                    <w:bottom w:w="0" w:type="dxa"/>
                    <w:right w:w="28" w:type="dxa"/>
                  </w:tcMar>
                  <w:vAlign w:val="center"/>
                </w:tcPr>
                <w:p w14:paraId="695F300D">
                  <w:pPr>
                    <w:pStyle w:val="20"/>
                    <w:spacing w:before="31"/>
                    <w:jc w:val="both"/>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第七条 有效规范空间开发秩序，合理控制空间开发强度，切实将各类开发活动限制在资源环境承载能力之内，为构建高效协调可持续的国土空间开发格局奠定坚实基础。</w:t>
                  </w:r>
                </w:p>
              </w:tc>
              <w:tc>
                <w:tcPr>
                  <w:tcW w:w="851" w:type="pct"/>
                  <w:tcMar>
                    <w:top w:w="0" w:type="dxa"/>
                    <w:left w:w="28" w:type="dxa"/>
                    <w:bottom w:w="0" w:type="dxa"/>
                    <w:right w:w="28" w:type="dxa"/>
                  </w:tcMar>
                  <w:vAlign w:val="center"/>
                </w:tcPr>
                <w:p w14:paraId="7B65A116">
                  <w:pPr>
                    <w:pStyle w:val="20"/>
                    <w:bidi w:val="0"/>
                    <w:jc w:val="both"/>
                    <w:rPr>
                      <w:rFonts w:hint="eastAsia" w:eastAsia="宋体"/>
                      <w:color w:val="auto"/>
                      <w:highlight w:val="none"/>
                      <w:lang w:val="en-US" w:eastAsia="zh-CN"/>
                    </w:rPr>
                  </w:pPr>
                  <w:r>
                    <w:rPr>
                      <w:rFonts w:hint="eastAsia"/>
                      <w:color w:val="auto"/>
                      <w:highlight w:val="none"/>
                      <w:lang w:val="en-US" w:eastAsia="zh-CN"/>
                    </w:rPr>
                    <w:t>扩建项目位于</w:t>
                  </w:r>
                  <w:r>
                    <w:rPr>
                      <w:rFonts w:hint="eastAsia"/>
                      <w:color w:val="auto"/>
                      <w:highlight w:val="none"/>
                    </w:rPr>
                    <w:t>工业</w:t>
                  </w:r>
                  <w:r>
                    <w:rPr>
                      <w:rFonts w:hint="eastAsia"/>
                      <w:color w:val="auto"/>
                      <w:highlight w:val="none"/>
                      <w:lang w:val="en-US" w:eastAsia="zh-CN"/>
                    </w:rPr>
                    <w:t>园区</w:t>
                  </w:r>
                  <w:r>
                    <w:rPr>
                      <w:rFonts w:hint="eastAsia"/>
                      <w:color w:val="auto"/>
                      <w:highlight w:val="none"/>
                      <w:lang w:eastAsia="zh-CN"/>
                    </w:rPr>
                    <w:t>，</w:t>
                  </w:r>
                  <w:r>
                    <w:rPr>
                      <w:rFonts w:hint="eastAsia"/>
                      <w:color w:val="auto"/>
                      <w:highlight w:val="none"/>
                    </w:rPr>
                    <w:t>资源环境承载能力</w:t>
                  </w:r>
                  <w:r>
                    <w:rPr>
                      <w:rFonts w:hint="eastAsia"/>
                      <w:color w:val="auto"/>
                      <w:highlight w:val="none"/>
                      <w:lang w:val="en-US" w:eastAsia="zh-CN"/>
                    </w:rPr>
                    <w:t>较好。</w:t>
                  </w:r>
                </w:p>
              </w:tc>
              <w:tc>
                <w:tcPr>
                  <w:tcW w:w="311" w:type="pct"/>
                  <w:tcMar>
                    <w:top w:w="0" w:type="dxa"/>
                    <w:left w:w="28" w:type="dxa"/>
                    <w:bottom w:w="0" w:type="dxa"/>
                    <w:right w:w="28" w:type="dxa"/>
                  </w:tcMar>
                  <w:vAlign w:val="center"/>
                </w:tcPr>
                <w:p w14:paraId="45B4F635">
                  <w:pPr>
                    <w:pStyle w:val="20"/>
                    <w:bidi w:val="0"/>
                    <w:rPr>
                      <w:rFonts w:hint="eastAsia"/>
                      <w:color w:val="auto"/>
                      <w:highlight w:val="none"/>
                    </w:rPr>
                  </w:pPr>
                  <w:r>
                    <w:rPr>
                      <w:rFonts w:hint="eastAsia"/>
                      <w:color w:val="auto"/>
                      <w:highlight w:val="none"/>
                    </w:rPr>
                    <w:t>符合</w:t>
                  </w:r>
                </w:p>
              </w:tc>
            </w:tr>
            <w:tr w14:paraId="74786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0" w:type="dxa"/>
                    <w:left w:w="28" w:type="dxa"/>
                    <w:bottom w:w="0" w:type="dxa"/>
                    <w:right w:w="28" w:type="dxa"/>
                  </w:tcMar>
                  <w:vAlign w:val="center"/>
                </w:tcPr>
                <w:p w14:paraId="465C61E6">
                  <w:pPr>
                    <w:pStyle w:val="20"/>
                    <w:bidi w:val="0"/>
                    <w:rPr>
                      <w:rFonts w:hint="default"/>
                      <w:color w:val="auto"/>
                      <w:highlight w:val="none"/>
                    </w:rPr>
                  </w:pPr>
                </w:p>
              </w:tc>
              <w:tc>
                <w:tcPr>
                  <w:tcW w:w="418" w:type="pct"/>
                  <w:vMerge w:val="restart"/>
                  <w:tcMar>
                    <w:top w:w="0" w:type="dxa"/>
                    <w:left w:w="28" w:type="dxa"/>
                    <w:bottom w:w="0" w:type="dxa"/>
                    <w:right w:w="28" w:type="dxa"/>
                  </w:tcMar>
                  <w:vAlign w:val="center"/>
                </w:tcPr>
                <w:p w14:paraId="52612426">
                  <w:pPr>
                    <w:pStyle w:val="20"/>
                    <w:bidi w:val="0"/>
                    <w:rPr>
                      <w:rFonts w:hint="default"/>
                      <w:color w:val="auto"/>
                      <w:highlight w:val="none"/>
                    </w:rPr>
                  </w:pPr>
                  <w:r>
                    <w:rPr>
                      <w:rFonts w:hint="eastAsia"/>
                      <w:color w:val="auto"/>
                      <w:highlight w:val="none"/>
                    </w:rPr>
                    <w:t>污染物排放管控</w:t>
                  </w:r>
                </w:p>
              </w:tc>
              <w:tc>
                <w:tcPr>
                  <w:tcW w:w="2908" w:type="pct"/>
                  <w:tcMar>
                    <w:top w:w="0" w:type="dxa"/>
                    <w:left w:w="28" w:type="dxa"/>
                    <w:bottom w:w="0" w:type="dxa"/>
                    <w:right w:w="28" w:type="dxa"/>
                  </w:tcMar>
                  <w:vAlign w:val="center"/>
                </w:tcPr>
                <w:p w14:paraId="2426EA81">
                  <w:pPr>
                    <w:pStyle w:val="20"/>
                    <w:spacing w:before="31"/>
                    <w:jc w:val="both"/>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第八条 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两高”行业建设项目应满足超低排放要求。加强水泥和平板玻璃行业差别化管理，新改扩建项目严格落实相关产业政策要求，满足能效标杆水平、环保绩效A级指标要求。</w:t>
                  </w:r>
                </w:p>
              </w:tc>
              <w:tc>
                <w:tcPr>
                  <w:tcW w:w="851" w:type="pct"/>
                  <w:tcMar>
                    <w:top w:w="0" w:type="dxa"/>
                    <w:left w:w="28" w:type="dxa"/>
                    <w:bottom w:w="0" w:type="dxa"/>
                    <w:right w:w="28" w:type="dxa"/>
                  </w:tcMar>
                  <w:vAlign w:val="center"/>
                </w:tcPr>
                <w:p w14:paraId="5240360D">
                  <w:pPr>
                    <w:pStyle w:val="20"/>
                    <w:bidi w:val="0"/>
                    <w:jc w:val="both"/>
                    <w:rPr>
                      <w:rFonts w:hint="default" w:eastAsia="宋体"/>
                      <w:color w:val="auto"/>
                      <w:highlight w:val="none"/>
                      <w:lang w:val="en-US" w:eastAsia="zh-CN"/>
                    </w:rPr>
                  </w:pPr>
                  <w:r>
                    <w:rPr>
                      <w:rFonts w:hint="eastAsia"/>
                      <w:color w:val="auto"/>
                      <w:highlight w:val="none"/>
                      <w:lang w:val="en-US" w:eastAsia="zh-CN"/>
                    </w:rPr>
                    <w:t>扩建项目不属于文件所列项目。</w:t>
                  </w:r>
                </w:p>
              </w:tc>
              <w:tc>
                <w:tcPr>
                  <w:tcW w:w="311" w:type="pct"/>
                  <w:tcMar>
                    <w:top w:w="0" w:type="dxa"/>
                    <w:left w:w="28" w:type="dxa"/>
                    <w:bottom w:w="0" w:type="dxa"/>
                    <w:right w:w="28" w:type="dxa"/>
                  </w:tcMar>
                  <w:vAlign w:val="center"/>
                </w:tcPr>
                <w:p w14:paraId="5134FF9C">
                  <w:pPr>
                    <w:pStyle w:val="20"/>
                    <w:bidi w:val="0"/>
                    <w:rPr>
                      <w:rFonts w:hint="default"/>
                      <w:color w:val="auto"/>
                      <w:highlight w:val="none"/>
                    </w:rPr>
                  </w:pPr>
                  <w:r>
                    <w:rPr>
                      <w:rFonts w:hint="eastAsia"/>
                      <w:color w:val="auto"/>
                      <w:highlight w:val="none"/>
                    </w:rPr>
                    <w:t>符合</w:t>
                  </w:r>
                </w:p>
              </w:tc>
            </w:tr>
            <w:tr w14:paraId="04C73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0" w:type="dxa"/>
                    <w:left w:w="28" w:type="dxa"/>
                    <w:bottom w:w="0" w:type="dxa"/>
                    <w:right w:w="28" w:type="dxa"/>
                  </w:tcMar>
                  <w:vAlign w:val="center"/>
                </w:tcPr>
                <w:p w14:paraId="7E33627A">
                  <w:pPr>
                    <w:pStyle w:val="20"/>
                    <w:bidi w:val="0"/>
                    <w:rPr>
                      <w:rFonts w:hint="default"/>
                      <w:color w:val="auto"/>
                      <w:highlight w:val="none"/>
                    </w:rPr>
                  </w:pPr>
                </w:p>
              </w:tc>
              <w:tc>
                <w:tcPr>
                  <w:tcW w:w="418" w:type="pct"/>
                  <w:vMerge w:val="continue"/>
                  <w:tcMar>
                    <w:top w:w="0" w:type="dxa"/>
                    <w:left w:w="28" w:type="dxa"/>
                    <w:bottom w:w="0" w:type="dxa"/>
                    <w:right w:w="28" w:type="dxa"/>
                  </w:tcMar>
                  <w:vAlign w:val="center"/>
                </w:tcPr>
                <w:p w14:paraId="49E6F181">
                  <w:pPr>
                    <w:pStyle w:val="20"/>
                    <w:bidi w:val="0"/>
                    <w:rPr>
                      <w:rFonts w:hint="default"/>
                      <w:color w:val="auto"/>
                      <w:highlight w:val="none"/>
                    </w:rPr>
                  </w:pPr>
                </w:p>
              </w:tc>
              <w:tc>
                <w:tcPr>
                  <w:tcW w:w="2908" w:type="pct"/>
                  <w:tcMar>
                    <w:top w:w="0" w:type="dxa"/>
                    <w:left w:w="28" w:type="dxa"/>
                    <w:bottom w:w="0" w:type="dxa"/>
                    <w:right w:w="28" w:type="dxa"/>
                  </w:tcMar>
                  <w:vAlign w:val="center"/>
                </w:tcPr>
                <w:p w14:paraId="57D8EE11">
                  <w:pPr>
                    <w:pStyle w:val="20"/>
                    <w:spacing w:before="31"/>
                    <w:jc w:val="both"/>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第九条 严格落实国家及我市大气污染防控相关要求，对大气环境质量未达标地区，新建、改扩建项目实施更严格的污染物排放总量控制要求。严格落实区域削减要求，所在区域、流域控制单元环境质量未达到国家或者地方环境质量标准的，建设项目需提出有效的区域削减方案，主要污染物实行区域倍量削减。</w:t>
                  </w:r>
                </w:p>
              </w:tc>
              <w:tc>
                <w:tcPr>
                  <w:tcW w:w="851" w:type="pct"/>
                  <w:tcMar>
                    <w:top w:w="0" w:type="dxa"/>
                    <w:left w:w="28" w:type="dxa"/>
                    <w:bottom w:w="0" w:type="dxa"/>
                    <w:right w:w="28" w:type="dxa"/>
                  </w:tcMar>
                  <w:vAlign w:val="center"/>
                </w:tcPr>
                <w:p w14:paraId="5D731000">
                  <w:pPr>
                    <w:pStyle w:val="20"/>
                    <w:bidi w:val="0"/>
                    <w:jc w:val="both"/>
                    <w:rPr>
                      <w:rFonts w:hint="default"/>
                      <w:color w:val="auto"/>
                      <w:highlight w:val="none"/>
                    </w:rPr>
                  </w:pPr>
                  <w:r>
                    <w:rPr>
                      <w:rFonts w:hint="eastAsia"/>
                      <w:color w:val="auto"/>
                      <w:highlight w:val="none"/>
                      <w:lang w:val="en-US" w:eastAsia="zh-CN"/>
                    </w:rPr>
                    <w:t>项目所在区域为大气环境质量达标区。</w:t>
                  </w:r>
                </w:p>
              </w:tc>
              <w:tc>
                <w:tcPr>
                  <w:tcW w:w="311" w:type="pct"/>
                  <w:tcMar>
                    <w:top w:w="0" w:type="dxa"/>
                    <w:left w:w="28" w:type="dxa"/>
                    <w:bottom w:w="0" w:type="dxa"/>
                    <w:right w:w="28" w:type="dxa"/>
                  </w:tcMar>
                  <w:vAlign w:val="center"/>
                </w:tcPr>
                <w:p w14:paraId="616D918F">
                  <w:pPr>
                    <w:pStyle w:val="20"/>
                    <w:bidi w:val="0"/>
                    <w:rPr>
                      <w:rFonts w:hint="default"/>
                      <w:color w:val="auto"/>
                      <w:highlight w:val="none"/>
                    </w:rPr>
                  </w:pPr>
                  <w:r>
                    <w:rPr>
                      <w:rFonts w:hint="eastAsia"/>
                      <w:color w:val="auto"/>
                      <w:highlight w:val="none"/>
                    </w:rPr>
                    <w:t>符合</w:t>
                  </w:r>
                </w:p>
              </w:tc>
            </w:tr>
            <w:tr w14:paraId="3A88B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0" w:type="dxa"/>
                    <w:left w:w="28" w:type="dxa"/>
                    <w:bottom w:w="0" w:type="dxa"/>
                    <w:right w:w="28" w:type="dxa"/>
                  </w:tcMar>
                  <w:vAlign w:val="center"/>
                </w:tcPr>
                <w:p w14:paraId="5C59E521">
                  <w:pPr>
                    <w:pStyle w:val="20"/>
                    <w:bidi w:val="0"/>
                    <w:rPr>
                      <w:rFonts w:hint="default"/>
                      <w:color w:val="auto"/>
                      <w:highlight w:val="none"/>
                    </w:rPr>
                  </w:pPr>
                </w:p>
              </w:tc>
              <w:tc>
                <w:tcPr>
                  <w:tcW w:w="418" w:type="pct"/>
                  <w:vMerge w:val="continue"/>
                  <w:tcMar>
                    <w:top w:w="0" w:type="dxa"/>
                    <w:left w:w="28" w:type="dxa"/>
                    <w:bottom w:w="0" w:type="dxa"/>
                    <w:right w:w="28" w:type="dxa"/>
                  </w:tcMar>
                  <w:vAlign w:val="center"/>
                </w:tcPr>
                <w:p w14:paraId="50801498">
                  <w:pPr>
                    <w:pStyle w:val="20"/>
                    <w:bidi w:val="0"/>
                    <w:rPr>
                      <w:rFonts w:hint="default"/>
                      <w:color w:val="auto"/>
                      <w:highlight w:val="none"/>
                    </w:rPr>
                  </w:pPr>
                </w:p>
              </w:tc>
              <w:tc>
                <w:tcPr>
                  <w:tcW w:w="2908" w:type="pct"/>
                  <w:tcMar>
                    <w:top w:w="0" w:type="dxa"/>
                    <w:left w:w="28" w:type="dxa"/>
                    <w:bottom w:w="0" w:type="dxa"/>
                    <w:right w:w="28" w:type="dxa"/>
                  </w:tcMar>
                  <w:vAlign w:val="center"/>
                </w:tcPr>
                <w:p w14:paraId="774832FB">
                  <w:pPr>
                    <w:pStyle w:val="20"/>
                    <w:spacing w:before="31"/>
                    <w:jc w:val="both"/>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第十条 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tc>
              <w:tc>
                <w:tcPr>
                  <w:tcW w:w="851" w:type="pct"/>
                  <w:tcMar>
                    <w:top w:w="0" w:type="dxa"/>
                    <w:left w:w="28" w:type="dxa"/>
                    <w:bottom w:w="0" w:type="dxa"/>
                    <w:right w:w="28" w:type="dxa"/>
                  </w:tcMar>
                  <w:vAlign w:val="center"/>
                </w:tcPr>
                <w:p w14:paraId="7AEC40B7">
                  <w:pPr>
                    <w:pStyle w:val="20"/>
                    <w:bidi w:val="0"/>
                    <w:jc w:val="both"/>
                    <w:rPr>
                      <w:rFonts w:hint="default"/>
                      <w:color w:val="auto"/>
                      <w:highlight w:val="none"/>
                    </w:rPr>
                  </w:pPr>
                  <w:r>
                    <w:rPr>
                      <w:rFonts w:hint="eastAsia"/>
                      <w:color w:val="auto"/>
                      <w:highlight w:val="none"/>
                      <w:lang w:val="en-US" w:eastAsia="zh-CN"/>
                    </w:rPr>
                    <w:t>扩建项目不属于文件所列</w:t>
                  </w:r>
                  <w:r>
                    <w:rPr>
                      <w:rFonts w:hint="eastAsia"/>
                      <w:color w:val="auto"/>
                      <w:highlight w:val="none"/>
                    </w:rPr>
                    <w:t>重点行业</w:t>
                  </w:r>
                  <w:r>
                    <w:rPr>
                      <w:rFonts w:hint="eastAsia"/>
                      <w:color w:val="auto"/>
                      <w:highlight w:val="none"/>
                      <w:lang w:val="en-US" w:eastAsia="zh-CN"/>
                    </w:rPr>
                    <w:t>，项目注塑有机废气经集气罩收集后进入二级活性炭吸附设施处置</w:t>
                  </w:r>
                  <w:r>
                    <w:rPr>
                      <w:rFonts w:hint="eastAsia"/>
                      <w:color w:val="auto"/>
                      <w:highlight w:val="none"/>
                    </w:rPr>
                    <w:t>。</w:t>
                  </w:r>
                </w:p>
              </w:tc>
              <w:tc>
                <w:tcPr>
                  <w:tcW w:w="311" w:type="pct"/>
                  <w:tcMar>
                    <w:top w:w="0" w:type="dxa"/>
                    <w:left w:w="28" w:type="dxa"/>
                    <w:bottom w:w="0" w:type="dxa"/>
                    <w:right w:w="28" w:type="dxa"/>
                  </w:tcMar>
                  <w:vAlign w:val="center"/>
                </w:tcPr>
                <w:p w14:paraId="21DDCF73">
                  <w:pPr>
                    <w:pStyle w:val="20"/>
                    <w:bidi w:val="0"/>
                    <w:rPr>
                      <w:rFonts w:hint="default"/>
                      <w:color w:val="auto"/>
                      <w:highlight w:val="none"/>
                    </w:rPr>
                  </w:pPr>
                  <w:r>
                    <w:rPr>
                      <w:rFonts w:hint="eastAsia"/>
                      <w:color w:val="auto"/>
                      <w:highlight w:val="none"/>
                    </w:rPr>
                    <w:t>符合</w:t>
                  </w:r>
                </w:p>
              </w:tc>
            </w:tr>
            <w:tr w14:paraId="71361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0" w:type="dxa"/>
                    <w:left w:w="28" w:type="dxa"/>
                    <w:bottom w:w="0" w:type="dxa"/>
                    <w:right w:w="28" w:type="dxa"/>
                  </w:tcMar>
                  <w:vAlign w:val="center"/>
                </w:tcPr>
                <w:p w14:paraId="418C3535">
                  <w:pPr>
                    <w:pStyle w:val="20"/>
                    <w:bidi w:val="0"/>
                    <w:rPr>
                      <w:rFonts w:hint="default"/>
                      <w:color w:val="auto"/>
                      <w:highlight w:val="none"/>
                    </w:rPr>
                  </w:pPr>
                </w:p>
              </w:tc>
              <w:tc>
                <w:tcPr>
                  <w:tcW w:w="418" w:type="pct"/>
                  <w:vMerge w:val="continue"/>
                  <w:tcMar>
                    <w:top w:w="0" w:type="dxa"/>
                    <w:left w:w="28" w:type="dxa"/>
                    <w:bottom w:w="0" w:type="dxa"/>
                    <w:right w:w="28" w:type="dxa"/>
                  </w:tcMar>
                  <w:vAlign w:val="center"/>
                </w:tcPr>
                <w:p w14:paraId="64466355">
                  <w:pPr>
                    <w:pStyle w:val="20"/>
                    <w:bidi w:val="0"/>
                    <w:rPr>
                      <w:rFonts w:hint="default"/>
                      <w:color w:val="auto"/>
                      <w:highlight w:val="none"/>
                    </w:rPr>
                  </w:pPr>
                </w:p>
              </w:tc>
              <w:tc>
                <w:tcPr>
                  <w:tcW w:w="2908" w:type="pct"/>
                  <w:tcMar>
                    <w:top w:w="0" w:type="dxa"/>
                    <w:left w:w="28" w:type="dxa"/>
                    <w:bottom w:w="0" w:type="dxa"/>
                    <w:right w:w="28" w:type="dxa"/>
                  </w:tcMar>
                  <w:vAlign w:val="center"/>
                </w:tcPr>
                <w:p w14:paraId="6FBDB202">
                  <w:pPr>
                    <w:pStyle w:val="20"/>
                    <w:spacing w:before="31"/>
                    <w:jc w:val="both"/>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第十一条 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tc>
              <w:tc>
                <w:tcPr>
                  <w:tcW w:w="851" w:type="pct"/>
                  <w:tcMar>
                    <w:top w:w="0" w:type="dxa"/>
                    <w:left w:w="28" w:type="dxa"/>
                    <w:bottom w:w="0" w:type="dxa"/>
                    <w:right w:w="28" w:type="dxa"/>
                  </w:tcMar>
                  <w:vAlign w:val="center"/>
                </w:tcPr>
                <w:p w14:paraId="31A33BD7">
                  <w:pPr>
                    <w:pStyle w:val="20"/>
                    <w:bidi w:val="0"/>
                    <w:jc w:val="both"/>
                    <w:rPr>
                      <w:rFonts w:hint="default" w:eastAsia="宋体"/>
                      <w:color w:val="auto"/>
                      <w:highlight w:val="none"/>
                      <w:lang w:val="en-US" w:eastAsia="zh-CN"/>
                    </w:rPr>
                  </w:pPr>
                  <w:r>
                    <w:rPr>
                      <w:rFonts w:hint="eastAsia"/>
                      <w:color w:val="auto"/>
                      <w:highlight w:val="none"/>
                      <w:lang w:eastAsia="zh-CN"/>
                    </w:rPr>
                    <w:t>扩建项目</w:t>
                  </w:r>
                  <w:r>
                    <w:rPr>
                      <w:rFonts w:hint="eastAsia"/>
                      <w:color w:val="auto"/>
                      <w:highlight w:val="none"/>
                      <w:lang w:val="en-US" w:eastAsia="zh-CN"/>
                    </w:rPr>
                    <w:t>外排废水进入西彭园区工业污水处理厂。</w:t>
                  </w:r>
                </w:p>
              </w:tc>
              <w:tc>
                <w:tcPr>
                  <w:tcW w:w="311" w:type="pct"/>
                  <w:tcMar>
                    <w:top w:w="0" w:type="dxa"/>
                    <w:left w:w="28" w:type="dxa"/>
                    <w:bottom w:w="0" w:type="dxa"/>
                    <w:right w:w="28" w:type="dxa"/>
                  </w:tcMar>
                  <w:vAlign w:val="center"/>
                </w:tcPr>
                <w:p w14:paraId="49776BC6">
                  <w:pPr>
                    <w:pStyle w:val="20"/>
                    <w:bidi w:val="0"/>
                    <w:rPr>
                      <w:rFonts w:hint="default"/>
                      <w:color w:val="auto"/>
                      <w:highlight w:val="none"/>
                    </w:rPr>
                  </w:pPr>
                  <w:r>
                    <w:rPr>
                      <w:rFonts w:hint="eastAsia"/>
                      <w:color w:val="auto"/>
                      <w:highlight w:val="none"/>
                    </w:rPr>
                    <w:t>符合</w:t>
                  </w:r>
                </w:p>
              </w:tc>
            </w:tr>
            <w:tr w14:paraId="02D50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0" w:type="dxa"/>
                    <w:left w:w="28" w:type="dxa"/>
                    <w:bottom w:w="0" w:type="dxa"/>
                    <w:right w:w="28" w:type="dxa"/>
                  </w:tcMar>
                  <w:vAlign w:val="center"/>
                </w:tcPr>
                <w:p w14:paraId="71C6B235">
                  <w:pPr>
                    <w:pStyle w:val="20"/>
                    <w:bidi w:val="0"/>
                    <w:rPr>
                      <w:rFonts w:hint="default"/>
                      <w:color w:val="auto"/>
                      <w:highlight w:val="none"/>
                    </w:rPr>
                  </w:pPr>
                </w:p>
              </w:tc>
              <w:tc>
                <w:tcPr>
                  <w:tcW w:w="418" w:type="pct"/>
                  <w:vMerge w:val="continue"/>
                  <w:tcMar>
                    <w:top w:w="0" w:type="dxa"/>
                    <w:left w:w="28" w:type="dxa"/>
                    <w:bottom w:w="0" w:type="dxa"/>
                    <w:right w:w="28" w:type="dxa"/>
                  </w:tcMar>
                  <w:vAlign w:val="center"/>
                </w:tcPr>
                <w:p w14:paraId="796950F5">
                  <w:pPr>
                    <w:pStyle w:val="20"/>
                    <w:bidi w:val="0"/>
                    <w:rPr>
                      <w:rFonts w:hint="default"/>
                      <w:color w:val="auto"/>
                      <w:highlight w:val="none"/>
                    </w:rPr>
                  </w:pPr>
                </w:p>
              </w:tc>
              <w:tc>
                <w:tcPr>
                  <w:tcW w:w="2908" w:type="pct"/>
                  <w:tcMar>
                    <w:top w:w="0" w:type="dxa"/>
                    <w:left w:w="28" w:type="dxa"/>
                    <w:bottom w:w="0" w:type="dxa"/>
                    <w:right w:w="28" w:type="dxa"/>
                  </w:tcMar>
                  <w:vAlign w:val="center"/>
                </w:tcPr>
                <w:p w14:paraId="106D12F7">
                  <w:pPr>
                    <w:pStyle w:val="20"/>
                    <w:spacing w:before="31"/>
                    <w:jc w:val="both"/>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第十二条 推进乡镇生活污水处理设施达标改造。新建城市生活污水处理厂全部按照一级A标及以上排放标准设计、施工、验收，建制乡镇生活污水处理设施出水水质不得低于一级B标排放标准；对现有截留制排水管网实施雨污分流改造，针对无法彻底雨污分流的老城区，尊重现实合理保留截留制区域，合理提高截留倍数；对新建的排水管网，全部按照雨污分流模式实施建设。</w:t>
                  </w:r>
                </w:p>
              </w:tc>
              <w:tc>
                <w:tcPr>
                  <w:tcW w:w="851" w:type="pct"/>
                  <w:tcMar>
                    <w:top w:w="0" w:type="dxa"/>
                    <w:left w:w="28" w:type="dxa"/>
                    <w:bottom w:w="0" w:type="dxa"/>
                    <w:right w:w="28" w:type="dxa"/>
                  </w:tcMar>
                  <w:vAlign w:val="center"/>
                </w:tcPr>
                <w:p w14:paraId="41A762BC">
                  <w:pPr>
                    <w:pStyle w:val="20"/>
                    <w:bidi w:val="0"/>
                    <w:jc w:val="both"/>
                    <w:rPr>
                      <w:rFonts w:hint="default" w:eastAsia="宋体"/>
                      <w:color w:val="auto"/>
                      <w:highlight w:val="none"/>
                      <w:lang w:val="en-US" w:eastAsia="zh-CN"/>
                    </w:rPr>
                  </w:pPr>
                  <w:r>
                    <w:rPr>
                      <w:rFonts w:hint="eastAsia"/>
                      <w:color w:val="auto"/>
                      <w:highlight w:val="none"/>
                      <w:lang w:val="en-US" w:eastAsia="zh-CN"/>
                    </w:rPr>
                    <w:t>项目雨污管网依托现有项目，管网完善。</w:t>
                  </w:r>
                </w:p>
              </w:tc>
              <w:tc>
                <w:tcPr>
                  <w:tcW w:w="311" w:type="pct"/>
                  <w:tcMar>
                    <w:top w:w="0" w:type="dxa"/>
                    <w:left w:w="28" w:type="dxa"/>
                    <w:bottom w:w="0" w:type="dxa"/>
                    <w:right w:w="28" w:type="dxa"/>
                  </w:tcMar>
                  <w:vAlign w:val="center"/>
                </w:tcPr>
                <w:p w14:paraId="1C8F33A8">
                  <w:pPr>
                    <w:pStyle w:val="20"/>
                    <w:bidi w:val="0"/>
                    <w:rPr>
                      <w:rFonts w:hint="default"/>
                      <w:color w:val="auto"/>
                      <w:highlight w:val="none"/>
                    </w:rPr>
                  </w:pPr>
                  <w:r>
                    <w:rPr>
                      <w:rFonts w:hint="eastAsia"/>
                      <w:color w:val="auto"/>
                      <w:highlight w:val="none"/>
                    </w:rPr>
                    <w:t>符合</w:t>
                  </w:r>
                </w:p>
              </w:tc>
            </w:tr>
            <w:tr w14:paraId="6CFD2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0" w:type="dxa"/>
                    <w:left w:w="28" w:type="dxa"/>
                    <w:bottom w:w="0" w:type="dxa"/>
                    <w:right w:w="28" w:type="dxa"/>
                  </w:tcMar>
                  <w:vAlign w:val="center"/>
                </w:tcPr>
                <w:p w14:paraId="6D9ACF87">
                  <w:pPr>
                    <w:pStyle w:val="20"/>
                    <w:bidi w:val="0"/>
                    <w:rPr>
                      <w:rFonts w:hint="default"/>
                      <w:color w:val="auto"/>
                      <w:highlight w:val="none"/>
                    </w:rPr>
                  </w:pPr>
                </w:p>
              </w:tc>
              <w:tc>
                <w:tcPr>
                  <w:tcW w:w="418" w:type="pct"/>
                  <w:vMerge w:val="continue"/>
                  <w:tcMar>
                    <w:top w:w="0" w:type="dxa"/>
                    <w:left w:w="28" w:type="dxa"/>
                    <w:bottom w:w="0" w:type="dxa"/>
                    <w:right w:w="28" w:type="dxa"/>
                  </w:tcMar>
                  <w:vAlign w:val="center"/>
                </w:tcPr>
                <w:p w14:paraId="14AFD92D">
                  <w:pPr>
                    <w:pStyle w:val="20"/>
                    <w:bidi w:val="0"/>
                    <w:rPr>
                      <w:rFonts w:hint="default"/>
                      <w:color w:val="auto"/>
                      <w:highlight w:val="none"/>
                    </w:rPr>
                  </w:pPr>
                </w:p>
              </w:tc>
              <w:tc>
                <w:tcPr>
                  <w:tcW w:w="2908" w:type="pct"/>
                  <w:tcMar>
                    <w:top w:w="0" w:type="dxa"/>
                    <w:left w:w="28" w:type="dxa"/>
                    <w:bottom w:w="0" w:type="dxa"/>
                    <w:right w:w="28" w:type="dxa"/>
                  </w:tcMar>
                  <w:vAlign w:val="center"/>
                </w:tcPr>
                <w:p w14:paraId="0D85CD09">
                  <w:pPr>
                    <w:pStyle w:val="20"/>
                    <w:spacing w:before="31"/>
                    <w:jc w:val="both"/>
                    <w:rPr>
                      <w:rFonts w:hint="eastAsia"/>
                      <w:color w:val="auto"/>
                      <w:highlight w:val="none"/>
                    </w:rPr>
                  </w:pPr>
                  <w:r>
                    <w:rPr>
                      <w:rFonts w:hint="eastAsia"/>
                      <w:color w:val="auto"/>
                      <w:highlight w:val="none"/>
                    </w:rPr>
                    <w:t>第十三条 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等量替代”原则。</w:t>
                  </w:r>
                </w:p>
              </w:tc>
              <w:tc>
                <w:tcPr>
                  <w:tcW w:w="851" w:type="pct"/>
                  <w:tcMar>
                    <w:top w:w="0" w:type="dxa"/>
                    <w:left w:w="28" w:type="dxa"/>
                    <w:bottom w:w="0" w:type="dxa"/>
                    <w:right w:w="28" w:type="dxa"/>
                  </w:tcMar>
                  <w:vAlign w:val="center"/>
                </w:tcPr>
                <w:p w14:paraId="5F638B10">
                  <w:pPr>
                    <w:pStyle w:val="20"/>
                    <w:bidi w:val="0"/>
                    <w:jc w:val="both"/>
                    <w:rPr>
                      <w:rFonts w:hint="eastAsia"/>
                      <w:color w:val="auto"/>
                      <w:highlight w:val="none"/>
                    </w:rPr>
                  </w:pPr>
                  <w:r>
                    <w:rPr>
                      <w:rFonts w:hint="eastAsia"/>
                      <w:color w:val="auto"/>
                      <w:highlight w:val="none"/>
                      <w:lang w:val="en-US" w:eastAsia="zh-CN"/>
                    </w:rPr>
                    <w:t>扩建项目不属于文件所列项目。</w:t>
                  </w:r>
                </w:p>
              </w:tc>
              <w:tc>
                <w:tcPr>
                  <w:tcW w:w="311" w:type="pct"/>
                  <w:tcMar>
                    <w:top w:w="0" w:type="dxa"/>
                    <w:left w:w="28" w:type="dxa"/>
                    <w:bottom w:w="0" w:type="dxa"/>
                    <w:right w:w="28" w:type="dxa"/>
                  </w:tcMar>
                  <w:vAlign w:val="center"/>
                </w:tcPr>
                <w:p w14:paraId="387F2841">
                  <w:pPr>
                    <w:pStyle w:val="20"/>
                    <w:bidi w:val="0"/>
                    <w:rPr>
                      <w:rFonts w:hint="eastAsia"/>
                      <w:color w:val="auto"/>
                      <w:highlight w:val="none"/>
                    </w:rPr>
                  </w:pPr>
                  <w:r>
                    <w:rPr>
                      <w:rFonts w:hint="eastAsia"/>
                      <w:color w:val="auto"/>
                      <w:highlight w:val="none"/>
                    </w:rPr>
                    <w:t>符合</w:t>
                  </w:r>
                </w:p>
              </w:tc>
            </w:tr>
            <w:tr w14:paraId="2D6A2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0" w:type="dxa"/>
                    <w:left w:w="28" w:type="dxa"/>
                    <w:bottom w:w="0" w:type="dxa"/>
                    <w:right w:w="28" w:type="dxa"/>
                  </w:tcMar>
                  <w:vAlign w:val="center"/>
                </w:tcPr>
                <w:p w14:paraId="79AC6BD8">
                  <w:pPr>
                    <w:pStyle w:val="20"/>
                    <w:bidi w:val="0"/>
                    <w:rPr>
                      <w:rFonts w:hint="default"/>
                      <w:color w:val="auto"/>
                      <w:highlight w:val="none"/>
                    </w:rPr>
                  </w:pPr>
                </w:p>
              </w:tc>
              <w:tc>
                <w:tcPr>
                  <w:tcW w:w="418" w:type="pct"/>
                  <w:vMerge w:val="continue"/>
                  <w:tcMar>
                    <w:top w:w="0" w:type="dxa"/>
                    <w:left w:w="28" w:type="dxa"/>
                    <w:bottom w:w="0" w:type="dxa"/>
                    <w:right w:w="28" w:type="dxa"/>
                  </w:tcMar>
                  <w:vAlign w:val="center"/>
                </w:tcPr>
                <w:p w14:paraId="55BC2058">
                  <w:pPr>
                    <w:pStyle w:val="20"/>
                    <w:bidi w:val="0"/>
                    <w:rPr>
                      <w:rFonts w:hint="default"/>
                      <w:color w:val="auto"/>
                      <w:highlight w:val="none"/>
                    </w:rPr>
                  </w:pPr>
                </w:p>
              </w:tc>
              <w:tc>
                <w:tcPr>
                  <w:tcW w:w="2908" w:type="pct"/>
                  <w:tcMar>
                    <w:top w:w="0" w:type="dxa"/>
                    <w:left w:w="28" w:type="dxa"/>
                    <w:bottom w:w="0" w:type="dxa"/>
                    <w:right w:w="28" w:type="dxa"/>
                  </w:tcMar>
                  <w:vAlign w:val="center"/>
                </w:tcPr>
                <w:p w14:paraId="4F0C6144">
                  <w:pPr>
                    <w:pStyle w:val="20"/>
                    <w:spacing w:before="31"/>
                    <w:jc w:val="both"/>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第十四条 固体废物污染环境防治坚持减量化、资源化和无害化的原则。产生工业固体废物的单位应当建立健全工业固体废物产生、收集、贮存、运输、利用、处置全过程的污染环境防治责任制度，建立工业固体废物管理台账。</w:t>
                  </w:r>
                </w:p>
              </w:tc>
              <w:tc>
                <w:tcPr>
                  <w:tcW w:w="851" w:type="pct"/>
                  <w:tcMar>
                    <w:top w:w="0" w:type="dxa"/>
                    <w:left w:w="28" w:type="dxa"/>
                    <w:bottom w:w="0" w:type="dxa"/>
                    <w:right w:w="28" w:type="dxa"/>
                  </w:tcMar>
                  <w:vAlign w:val="center"/>
                </w:tcPr>
                <w:p w14:paraId="757ED833">
                  <w:pPr>
                    <w:pStyle w:val="20"/>
                    <w:bidi w:val="0"/>
                    <w:jc w:val="both"/>
                    <w:rPr>
                      <w:rFonts w:hint="eastAsia"/>
                      <w:color w:val="auto"/>
                      <w:highlight w:val="none"/>
                    </w:rPr>
                  </w:pPr>
                  <w:r>
                    <w:rPr>
                      <w:rFonts w:hint="eastAsia"/>
                      <w:color w:val="auto"/>
                      <w:highlight w:val="none"/>
                      <w:lang w:val="en-US" w:eastAsia="zh-CN"/>
                    </w:rPr>
                    <w:t>项目严格执行固体废物管理要求</w:t>
                  </w:r>
                  <w:r>
                    <w:rPr>
                      <w:rFonts w:hint="eastAsia"/>
                      <w:color w:val="auto"/>
                      <w:highlight w:val="none"/>
                      <w:lang w:eastAsia="zh-CN"/>
                    </w:rPr>
                    <w:t>。</w:t>
                  </w:r>
                </w:p>
              </w:tc>
              <w:tc>
                <w:tcPr>
                  <w:tcW w:w="311" w:type="pct"/>
                  <w:tcMar>
                    <w:top w:w="0" w:type="dxa"/>
                    <w:left w:w="28" w:type="dxa"/>
                    <w:bottom w:w="0" w:type="dxa"/>
                    <w:right w:w="28" w:type="dxa"/>
                  </w:tcMar>
                  <w:vAlign w:val="center"/>
                </w:tcPr>
                <w:p w14:paraId="3506B39B">
                  <w:pPr>
                    <w:pStyle w:val="20"/>
                    <w:bidi w:val="0"/>
                    <w:rPr>
                      <w:rFonts w:hint="eastAsia"/>
                      <w:color w:val="auto"/>
                      <w:highlight w:val="none"/>
                    </w:rPr>
                  </w:pPr>
                  <w:r>
                    <w:rPr>
                      <w:rFonts w:hint="eastAsia"/>
                      <w:color w:val="auto"/>
                      <w:highlight w:val="none"/>
                    </w:rPr>
                    <w:t>符合</w:t>
                  </w:r>
                </w:p>
              </w:tc>
            </w:tr>
            <w:tr w14:paraId="4AE99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0" w:type="dxa"/>
                    <w:left w:w="28" w:type="dxa"/>
                    <w:bottom w:w="0" w:type="dxa"/>
                    <w:right w:w="28" w:type="dxa"/>
                  </w:tcMar>
                  <w:vAlign w:val="center"/>
                </w:tcPr>
                <w:p w14:paraId="5716A375">
                  <w:pPr>
                    <w:pStyle w:val="20"/>
                    <w:bidi w:val="0"/>
                    <w:rPr>
                      <w:rFonts w:hint="default"/>
                      <w:color w:val="auto"/>
                      <w:highlight w:val="none"/>
                    </w:rPr>
                  </w:pPr>
                </w:p>
              </w:tc>
              <w:tc>
                <w:tcPr>
                  <w:tcW w:w="418" w:type="pct"/>
                  <w:vMerge w:val="continue"/>
                  <w:tcMar>
                    <w:top w:w="0" w:type="dxa"/>
                    <w:left w:w="28" w:type="dxa"/>
                    <w:bottom w:w="0" w:type="dxa"/>
                    <w:right w:w="28" w:type="dxa"/>
                  </w:tcMar>
                  <w:vAlign w:val="center"/>
                </w:tcPr>
                <w:p w14:paraId="4CFBD311">
                  <w:pPr>
                    <w:pStyle w:val="20"/>
                    <w:bidi w:val="0"/>
                    <w:rPr>
                      <w:rFonts w:hint="default"/>
                      <w:color w:val="auto"/>
                      <w:highlight w:val="none"/>
                    </w:rPr>
                  </w:pPr>
                </w:p>
              </w:tc>
              <w:tc>
                <w:tcPr>
                  <w:tcW w:w="2908" w:type="pct"/>
                  <w:tcMar>
                    <w:top w:w="0" w:type="dxa"/>
                    <w:left w:w="28" w:type="dxa"/>
                    <w:bottom w:w="0" w:type="dxa"/>
                    <w:right w:w="28" w:type="dxa"/>
                  </w:tcMar>
                  <w:vAlign w:val="center"/>
                </w:tcPr>
                <w:p w14:paraId="0B27BE0B">
                  <w:pPr>
                    <w:pStyle w:val="20"/>
                    <w:spacing w:before="31"/>
                    <w:jc w:val="both"/>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第十五条 建设分类投放、分类收集、分类运输、分类处理的生活垃圾处理系统。合理布局生活垃圾分类收集站点，完善分类运输系统，加快补齐分类收集转运设施能力短板。强化“无废城市”制度、技术、市场、监管、全民行动“五大体系”建设，推进城市固体废物精细化管理。</w:t>
                  </w:r>
                </w:p>
              </w:tc>
              <w:tc>
                <w:tcPr>
                  <w:tcW w:w="851" w:type="pct"/>
                  <w:tcMar>
                    <w:top w:w="0" w:type="dxa"/>
                    <w:left w:w="28" w:type="dxa"/>
                    <w:bottom w:w="0" w:type="dxa"/>
                    <w:right w:w="28" w:type="dxa"/>
                  </w:tcMar>
                  <w:vAlign w:val="center"/>
                </w:tcPr>
                <w:p w14:paraId="33507B9B">
                  <w:pPr>
                    <w:pStyle w:val="20"/>
                    <w:bidi w:val="0"/>
                    <w:jc w:val="both"/>
                    <w:rPr>
                      <w:rFonts w:hint="eastAsia"/>
                      <w:color w:val="auto"/>
                      <w:highlight w:val="none"/>
                    </w:rPr>
                  </w:pPr>
                  <w:r>
                    <w:rPr>
                      <w:rFonts w:hint="eastAsia"/>
                      <w:color w:val="auto"/>
                      <w:highlight w:val="none"/>
                      <w:lang w:val="en-US" w:eastAsia="zh-CN"/>
                    </w:rPr>
                    <w:t>项目生活垃圾由垃圾箱收集，市政环卫处置。</w:t>
                  </w:r>
                </w:p>
              </w:tc>
              <w:tc>
                <w:tcPr>
                  <w:tcW w:w="311" w:type="pct"/>
                  <w:tcMar>
                    <w:top w:w="0" w:type="dxa"/>
                    <w:left w:w="28" w:type="dxa"/>
                    <w:bottom w:w="0" w:type="dxa"/>
                    <w:right w:w="28" w:type="dxa"/>
                  </w:tcMar>
                  <w:vAlign w:val="center"/>
                </w:tcPr>
                <w:p w14:paraId="6C890890">
                  <w:pPr>
                    <w:pStyle w:val="20"/>
                    <w:bidi w:val="0"/>
                    <w:rPr>
                      <w:rFonts w:hint="eastAsia"/>
                      <w:color w:val="auto"/>
                      <w:highlight w:val="none"/>
                    </w:rPr>
                  </w:pPr>
                  <w:r>
                    <w:rPr>
                      <w:rFonts w:hint="eastAsia"/>
                      <w:color w:val="auto"/>
                      <w:highlight w:val="none"/>
                    </w:rPr>
                    <w:t>符合</w:t>
                  </w:r>
                </w:p>
              </w:tc>
            </w:tr>
            <w:tr w14:paraId="6A073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0" w:type="dxa"/>
                    <w:left w:w="28" w:type="dxa"/>
                    <w:bottom w:w="0" w:type="dxa"/>
                    <w:right w:w="28" w:type="dxa"/>
                  </w:tcMar>
                  <w:vAlign w:val="center"/>
                </w:tcPr>
                <w:p w14:paraId="0233B710">
                  <w:pPr>
                    <w:pStyle w:val="20"/>
                    <w:bidi w:val="0"/>
                    <w:rPr>
                      <w:rFonts w:hint="default"/>
                      <w:color w:val="auto"/>
                      <w:highlight w:val="none"/>
                    </w:rPr>
                  </w:pPr>
                </w:p>
              </w:tc>
              <w:tc>
                <w:tcPr>
                  <w:tcW w:w="418" w:type="pct"/>
                  <w:vMerge w:val="restart"/>
                  <w:tcMar>
                    <w:top w:w="0" w:type="dxa"/>
                    <w:left w:w="28" w:type="dxa"/>
                    <w:bottom w:w="0" w:type="dxa"/>
                    <w:right w:w="28" w:type="dxa"/>
                  </w:tcMar>
                  <w:vAlign w:val="center"/>
                </w:tcPr>
                <w:p w14:paraId="364BA35E">
                  <w:pPr>
                    <w:pStyle w:val="20"/>
                    <w:bidi w:val="0"/>
                    <w:rPr>
                      <w:rFonts w:hint="default"/>
                      <w:color w:val="auto"/>
                      <w:highlight w:val="none"/>
                    </w:rPr>
                  </w:pPr>
                  <w:r>
                    <w:rPr>
                      <w:rFonts w:hint="eastAsia"/>
                      <w:color w:val="auto"/>
                      <w:highlight w:val="none"/>
                    </w:rPr>
                    <w:t>环境风险防控</w:t>
                  </w:r>
                </w:p>
              </w:tc>
              <w:tc>
                <w:tcPr>
                  <w:tcW w:w="2908" w:type="pct"/>
                  <w:tcMar>
                    <w:top w:w="0" w:type="dxa"/>
                    <w:left w:w="28" w:type="dxa"/>
                    <w:bottom w:w="0" w:type="dxa"/>
                    <w:right w:w="28" w:type="dxa"/>
                  </w:tcMar>
                  <w:vAlign w:val="center"/>
                </w:tcPr>
                <w:p w14:paraId="239283D5">
                  <w:pPr>
                    <w:pStyle w:val="20"/>
                    <w:spacing w:before="31"/>
                    <w:jc w:val="both"/>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第十六条 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w:t>
                  </w:r>
                </w:p>
              </w:tc>
              <w:tc>
                <w:tcPr>
                  <w:tcW w:w="851" w:type="pct"/>
                  <w:vMerge w:val="restart"/>
                  <w:tcMar>
                    <w:top w:w="0" w:type="dxa"/>
                    <w:left w:w="28" w:type="dxa"/>
                    <w:bottom w:w="0" w:type="dxa"/>
                    <w:right w:w="28" w:type="dxa"/>
                  </w:tcMar>
                  <w:vAlign w:val="center"/>
                </w:tcPr>
                <w:p w14:paraId="6E983CB1">
                  <w:pPr>
                    <w:pStyle w:val="20"/>
                    <w:bidi w:val="0"/>
                    <w:jc w:val="both"/>
                    <w:rPr>
                      <w:rFonts w:hint="default"/>
                      <w:color w:val="auto"/>
                      <w:highlight w:val="none"/>
                    </w:rPr>
                  </w:pPr>
                  <w:r>
                    <w:rPr>
                      <w:rFonts w:hint="eastAsia"/>
                      <w:color w:val="auto"/>
                      <w:highlight w:val="none"/>
                      <w:lang w:eastAsia="zh-CN"/>
                    </w:rPr>
                    <w:t>扩建项目</w:t>
                  </w:r>
                  <w:r>
                    <w:rPr>
                      <w:rFonts w:hint="eastAsia"/>
                      <w:color w:val="auto"/>
                      <w:highlight w:val="none"/>
                    </w:rPr>
                    <w:t>将按照要求落实各项风险防范措施。</w:t>
                  </w:r>
                </w:p>
              </w:tc>
              <w:tc>
                <w:tcPr>
                  <w:tcW w:w="311" w:type="pct"/>
                  <w:vMerge w:val="restart"/>
                  <w:tcMar>
                    <w:top w:w="0" w:type="dxa"/>
                    <w:left w:w="28" w:type="dxa"/>
                    <w:bottom w:w="0" w:type="dxa"/>
                    <w:right w:w="28" w:type="dxa"/>
                  </w:tcMar>
                  <w:vAlign w:val="center"/>
                </w:tcPr>
                <w:p w14:paraId="72FF935F">
                  <w:pPr>
                    <w:pStyle w:val="20"/>
                    <w:bidi w:val="0"/>
                    <w:rPr>
                      <w:rFonts w:hint="default"/>
                      <w:color w:val="auto"/>
                      <w:highlight w:val="none"/>
                    </w:rPr>
                  </w:pPr>
                  <w:r>
                    <w:rPr>
                      <w:rFonts w:hint="eastAsia"/>
                      <w:color w:val="auto"/>
                      <w:highlight w:val="none"/>
                    </w:rPr>
                    <w:t>符合</w:t>
                  </w:r>
                </w:p>
              </w:tc>
            </w:tr>
            <w:tr w14:paraId="43CBA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37" w:hRule="atLeast"/>
                <w:jc w:val="center"/>
              </w:trPr>
              <w:tc>
                <w:tcPr>
                  <w:tcW w:w="509" w:type="pct"/>
                  <w:vMerge w:val="continue"/>
                  <w:tcMar>
                    <w:top w:w="0" w:type="dxa"/>
                    <w:left w:w="28" w:type="dxa"/>
                    <w:bottom w:w="0" w:type="dxa"/>
                    <w:right w:w="28" w:type="dxa"/>
                  </w:tcMar>
                  <w:vAlign w:val="center"/>
                </w:tcPr>
                <w:p w14:paraId="401F3B09">
                  <w:pPr>
                    <w:pStyle w:val="20"/>
                    <w:bidi w:val="0"/>
                    <w:rPr>
                      <w:rFonts w:hint="default"/>
                      <w:color w:val="auto"/>
                      <w:highlight w:val="none"/>
                    </w:rPr>
                  </w:pPr>
                </w:p>
              </w:tc>
              <w:tc>
                <w:tcPr>
                  <w:tcW w:w="418" w:type="pct"/>
                  <w:vMerge w:val="continue"/>
                  <w:tcMar>
                    <w:top w:w="0" w:type="dxa"/>
                    <w:left w:w="28" w:type="dxa"/>
                    <w:bottom w:w="0" w:type="dxa"/>
                    <w:right w:w="28" w:type="dxa"/>
                  </w:tcMar>
                  <w:vAlign w:val="center"/>
                </w:tcPr>
                <w:p w14:paraId="3096D4C8">
                  <w:pPr>
                    <w:pStyle w:val="20"/>
                    <w:bidi w:val="0"/>
                    <w:rPr>
                      <w:rFonts w:hint="default"/>
                      <w:color w:val="auto"/>
                      <w:highlight w:val="none"/>
                    </w:rPr>
                  </w:pPr>
                </w:p>
              </w:tc>
              <w:tc>
                <w:tcPr>
                  <w:tcW w:w="2908" w:type="pct"/>
                  <w:tcMar>
                    <w:top w:w="0" w:type="dxa"/>
                    <w:left w:w="28" w:type="dxa"/>
                    <w:bottom w:w="0" w:type="dxa"/>
                    <w:right w:w="28" w:type="dxa"/>
                  </w:tcMar>
                  <w:vAlign w:val="center"/>
                </w:tcPr>
                <w:p w14:paraId="67B96439">
                  <w:pPr>
                    <w:pStyle w:val="20"/>
                    <w:spacing w:before="31"/>
                    <w:jc w:val="both"/>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第十七条 强化化工园区涉水突发环境事件四级环境风险防范体系建设。持续推进重点化工园区（化工集中区）建设有毒有害气体监测预警体系和水质生物毒性预警体系。</w:t>
                  </w:r>
                </w:p>
              </w:tc>
              <w:tc>
                <w:tcPr>
                  <w:tcW w:w="851" w:type="pct"/>
                  <w:vMerge w:val="continue"/>
                  <w:tcMar>
                    <w:top w:w="0" w:type="dxa"/>
                    <w:left w:w="28" w:type="dxa"/>
                    <w:bottom w:w="0" w:type="dxa"/>
                    <w:right w:w="28" w:type="dxa"/>
                  </w:tcMar>
                  <w:vAlign w:val="center"/>
                </w:tcPr>
                <w:p w14:paraId="022F932C">
                  <w:pPr>
                    <w:pStyle w:val="20"/>
                    <w:bidi w:val="0"/>
                    <w:jc w:val="both"/>
                    <w:rPr>
                      <w:rFonts w:hint="default"/>
                      <w:color w:val="auto"/>
                      <w:highlight w:val="none"/>
                    </w:rPr>
                  </w:pPr>
                </w:p>
              </w:tc>
              <w:tc>
                <w:tcPr>
                  <w:tcW w:w="311" w:type="pct"/>
                  <w:vMerge w:val="continue"/>
                  <w:tcMar>
                    <w:top w:w="0" w:type="dxa"/>
                    <w:left w:w="28" w:type="dxa"/>
                    <w:bottom w:w="0" w:type="dxa"/>
                    <w:right w:w="28" w:type="dxa"/>
                  </w:tcMar>
                  <w:vAlign w:val="center"/>
                </w:tcPr>
                <w:p w14:paraId="33291DF5">
                  <w:pPr>
                    <w:pStyle w:val="20"/>
                    <w:bidi w:val="0"/>
                    <w:rPr>
                      <w:rFonts w:hint="default"/>
                      <w:color w:val="auto"/>
                      <w:highlight w:val="none"/>
                    </w:rPr>
                  </w:pPr>
                </w:p>
              </w:tc>
            </w:tr>
            <w:tr w14:paraId="7EDF8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0" w:type="dxa"/>
                    <w:left w:w="28" w:type="dxa"/>
                    <w:bottom w:w="0" w:type="dxa"/>
                    <w:right w:w="28" w:type="dxa"/>
                  </w:tcMar>
                  <w:vAlign w:val="center"/>
                </w:tcPr>
                <w:p w14:paraId="40FE2D28">
                  <w:pPr>
                    <w:pStyle w:val="20"/>
                    <w:bidi w:val="0"/>
                    <w:rPr>
                      <w:rFonts w:hint="default"/>
                      <w:color w:val="auto"/>
                      <w:highlight w:val="none"/>
                    </w:rPr>
                  </w:pPr>
                </w:p>
              </w:tc>
              <w:tc>
                <w:tcPr>
                  <w:tcW w:w="418" w:type="pct"/>
                  <w:vMerge w:val="restart"/>
                  <w:tcMar>
                    <w:top w:w="0" w:type="dxa"/>
                    <w:left w:w="28" w:type="dxa"/>
                    <w:bottom w:w="0" w:type="dxa"/>
                    <w:right w:w="28" w:type="dxa"/>
                  </w:tcMar>
                  <w:vAlign w:val="center"/>
                </w:tcPr>
                <w:p w14:paraId="6F22124D">
                  <w:pPr>
                    <w:pStyle w:val="20"/>
                    <w:bidi w:val="0"/>
                    <w:rPr>
                      <w:rFonts w:hint="default"/>
                      <w:color w:val="auto"/>
                      <w:highlight w:val="none"/>
                    </w:rPr>
                  </w:pPr>
                  <w:r>
                    <w:rPr>
                      <w:rFonts w:hint="eastAsia"/>
                      <w:color w:val="auto"/>
                      <w:highlight w:val="none"/>
                    </w:rPr>
                    <w:t>资源开发利用效率</w:t>
                  </w:r>
                </w:p>
              </w:tc>
              <w:tc>
                <w:tcPr>
                  <w:tcW w:w="2908" w:type="pct"/>
                  <w:tcMar>
                    <w:top w:w="0" w:type="dxa"/>
                    <w:left w:w="28" w:type="dxa"/>
                    <w:bottom w:w="0" w:type="dxa"/>
                    <w:right w:w="28" w:type="dxa"/>
                  </w:tcMar>
                  <w:vAlign w:val="center"/>
                </w:tcPr>
                <w:p w14:paraId="4ABB788E">
                  <w:pPr>
                    <w:pStyle w:val="20"/>
                    <w:spacing w:before="31"/>
                    <w:jc w:val="both"/>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第十八条 实施能源领域碳达峰碳中和行动，科学有序推动能源生产消费方式绿色低碳变革。实施可再生能源替代，减少化石能源消费。加强产业布局和能耗“双控”政策衔接，促进重点用能领域用能结构优化和能效提升。</w:t>
                  </w:r>
                </w:p>
              </w:tc>
              <w:tc>
                <w:tcPr>
                  <w:tcW w:w="851" w:type="pct"/>
                  <w:tcMar>
                    <w:top w:w="0" w:type="dxa"/>
                    <w:left w:w="28" w:type="dxa"/>
                    <w:bottom w:w="0" w:type="dxa"/>
                    <w:right w:w="28" w:type="dxa"/>
                  </w:tcMar>
                  <w:vAlign w:val="center"/>
                </w:tcPr>
                <w:p w14:paraId="5EDBF744">
                  <w:pPr>
                    <w:pStyle w:val="20"/>
                    <w:bidi w:val="0"/>
                    <w:jc w:val="both"/>
                    <w:rPr>
                      <w:rFonts w:hint="default"/>
                      <w:color w:val="auto"/>
                      <w:highlight w:val="none"/>
                    </w:rPr>
                  </w:pPr>
                  <w:r>
                    <w:rPr>
                      <w:rFonts w:hint="eastAsia"/>
                      <w:color w:val="auto"/>
                      <w:highlight w:val="none"/>
                      <w:lang w:eastAsia="zh-CN"/>
                    </w:rPr>
                    <w:t>扩建项目</w:t>
                  </w:r>
                  <w:r>
                    <w:rPr>
                      <w:rFonts w:hint="eastAsia"/>
                      <w:color w:val="auto"/>
                      <w:highlight w:val="none"/>
                      <w:lang w:val="en-US" w:eastAsia="zh-CN"/>
                    </w:rPr>
                    <w:t>不</w:t>
                  </w:r>
                  <w:r>
                    <w:rPr>
                      <w:rFonts w:hint="eastAsia"/>
                      <w:color w:val="auto"/>
                      <w:highlight w:val="none"/>
                    </w:rPr>
                    <w:t>使用高污染燃料</w:t>
                  </w:r>
                  <w:r>
                    <w:rPr>
                      <w:rFonts w:hint="eastAsia"/>
                      <w:color w:val="auto"/>
                      <w:highlight w:val="none"/>
                      <w:lang w:eastAsia="zh-CN"/>
                    </w:rPr>
                    <w:t>，</w:t>
                  </w:r>
                  <w:r>
                    <w:rPr>
                      <w:rFonts w:hint="eastAsia"/>
                      <w:color w:val="auto"/>
                      <w:highlight w:val="none"/>
                      <w:lang w:val="en-US" w:eastAsia="zh-CN"/>
                    </w:rPr>
                    <w:t>使用电作为能源。</w:t>
                  </w:r>
                </w:p>
              </w:tc>
              <w:tc>
                <w:tcPr>
                  <w:tcW w:w="311" w:type="pct"/>
                  <w:tcMar>
                    <w:top w:w="0" w:type="dxa"/>
                    <w:left w:w="28" w:type="dxa"/>
                    <w:bottom w:w="0" w:type="dxa"/>
                    <w:right w:w="28" w:type="dxa"/>
                  </w:tcMar>
                  <w:vAlign w:val="center"/>
                </w:tcPr>
                <w:p w14:paraId="47339D3D">
                  <w:pPr>
                    <w:pStyle w:val="20"/>
                    <w:bidi w:val="0"/>
                    <w:rPr>
                      <w:rFonts w:hint="default"/>
                      <w:color w:val="auto"/>
                      <w:highlight w:val="none"/>
                    </w:rPr>
                  </w:pPr>
                  <w:r>
                    <w:rPr>
                      <w:rFonts w:hint="eastAsia"/>
                      <w:color w:val="auto"/>
                      <w:highlight w:val="none"/>
                    </w:rPr>
                    <w:t>符合</w:t>
                  </w:r>
                </w:p>
              </w:tc>
            </w:tr>
            <w:tr w14:paraId="15F00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0" w:type="dxa"/>
                    <w:left w:w="28" w:type="dxa"/>
                    <w:bottom w:w="0" w:type="dxa"/>
                    <w:right w:w="28" w:type="dxa"/>
                  </w:tcMar>
                  <w:vAlign w:val="center"/>
                </w:tcPr>
                <w:p w14:paraId="64B3AFFB">
                  <w:pPr>
                    <w:pStyle w:val="20"/>
                    <w:bidi w:val="0"/>
                    <w:rPr>
                      <w:rFonts w:hint="default"/>
                      <w:color w:val="auto"/>
                      <w:highlight w:val="none"/>
                    </w:rPr>
                  </w:pPr>
                </w:p>
              </w:tc>
              <w:tc>
                <w:tcPr>
                  <w:tcW w:w="418" w:type="pct"/>
                  <w:vMerge w:val="continue"/>
                  <w:tcMar>
                    <w:top w:w="0" w:type="dxa"/>
                    <w:left w:w="28" w:type="dxa"/>
                    <w:bottom w:w="0" w:type="dxa"/>
                    <w:right w:w="28" w:type="dxa"/>
                  </w:tcMar>
                  <w:vAlign w:val="center"/>
                </w:tcPr>
                <w:p w14:paraId="10A6A2A4">
                  <w:pPr>
                    <w:pStyle w:val="20"/>
                    <w:bidi w:val="0"/>
                    <w:rPr>
                      <w:rFonts w:hint="default"/>
                      <w:color w:val="auto"/>
                      <w:highlight w:val="none"/>
                    </w:rPr>
                  </w:pPr>
                </w:p>
              </w:tc>
              <w:tc>
                <w:tcPr>
                  <w:tcW w:w="2908" w:type="pct"/>
                  <w:tcMar>
                    <w:top w:w="0" w:type="dxa"/>
                    <w:left w:w="28" w:type="dxa"/>
                    <w:bottom w:w="0" w:type="dxa"/>
                    <w:right w:w="28" w:type="dxa"/>
                  </w:tcMar>
                  <w:vAlign w:val="center"/>
                </w:tcPr>
                <w:p w14:paraId="6F64467A">
                  <w:pPr>
                    <w:pStyle w:val="20"/>
                    <w:spacing w:before="31"/>
                    <w:jc w:val="both"/>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第十九条 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tc>
              <w:tc>
                <w:tcPr>
                  <w:tcW w:w="851" w:type="pct"/>
                  <w:tcMar>
                    <w:top w:w="0" w:type="dxa"/>
                    <w:left w:w="28" w:type="dxa"/>
                    <w:bottom w:w="0" w:type="dxa"/>
                    <w:right w:w="28" w:type="dxa"/>
                  </w:tcMar>
                  <w:vAlign w:val="center"/>
                </w:tcPr>
                <w:p w14:paraId="2E24B294">
                  <w:pPr>
                    <w:pStyle w:val="20"/>
                    <w:bidi w:val="0"/>
                    <w:jc w:val="both"/>
                    <w:rPr>
                      <w:rFonts w:hint="default"/>
                      <w:color w:val="auto"/>
                      <w:highlight w:val="none"/>
                    </w:rPr>
                  </w:pPr>
                  <w:r>
                    <w:rPr>
                      <w:rFonts w:hint="eastAsia"/>
                      <w:color w:val="auto"/>
                      <w:highlight w:val="none"/>
                      <w:lang w:eastAsia="zh-CN"/>
                    </w:rPr>
                    <w:t>扩建项目</w:t>
                  </w:r>
                  <w:r>
                    <w:rPr>
                      <w:rFonts w:hint="eastAsia"/>
                      <w:color w:val="auto"/>
                      <w:highlight w:val="none"/>
                      <w:lang w:val="en-US" w:eastAsia="zh-CN"/>
                    </w:rPr>
                    <w:t>不</w:t>
                  </w:r>
                  <w:r>
                    <w:rPr>
                      <w:rFonts w:hint="eastAsia"/>
                      <w:color w:val="auto"/>
                      <w:highlight w:val="none"/>
                    </w:rPr>
                    <w:t>使用高污染燃料</w:t>
                  </w:r>
                  <w:r>
                    <w:rPr>
                      <w:rFonts w:hint="eastAsia"/>
                      <w:color w:val="auto"/>
                      <w:highlight w:val="none"/>
                      <w:lang w:eastAsia="zh-CN"/>
                    </w:rPr>
                    <w:t>，</w:t>
                  </w:r>
                  <w:r>
                    <w:rPr>
                      <w:rFonts w:hint="eastAsia"/>
                      <w:color w:val="auto"/>
                      <w:highlight w:val="none"/>
                      <w:lang w:val="en-US" w:eastAsia="zh-CN"/>
                    </w:rPr>
                    <w:t>使用电作为能源</w:t>
                  </w:r>
                  <w:r>
                    <w:rPr>
                      <w:rFonts w:hint="eastAsia"/>
                      <w:color w:val="auto"/>
                      <w:highlight w:val="none"/>
                    </w:rPr>
                    <w:t>。</w:t>
                  </w:r>
                </w:p>
              </w:tc>
              <w:tc>
                <w:tcPr>
                  <w:tcW w:w="311" w:type="pct"/>
                  <w:tcMar>
                    <w:top w:w="0" w:type="dxa"/>
                    <w:left w:w="28" w:type="dxa"/>
                    <w:bottom w:w="0" w:type="dxa"/>
                    <w:right w:w="28" w:type="dxa"/>
                  </w:tcMar>
                  <w:vAlign w:val="center"/>
                </w:tcPr>
                <w:p w14:paraId="5CC81133">
                  <w:pPr>
                    <w:pStyle w:val="20"/>
                    <w:bidi w:val="0"/>
                    <w:rPr>
                      <w:rFonts w:hint="default"/>
                      <w:color w:val="auto"/>
                      <w:highlight w:val="none"/>
                    </w:rPr>
                  </w:pPr>
                  <w:r>
                    <w:rPr>
                      <w:rFonts w:hint="eastAsia"/>
                      <w:color w:val="auto"/>
                      <w:highlight w:val="none"/>
                    </w:rPr>
                    <w:t>符合</w:t>
                  </w:r>
                </w:p>
              </w:tc>
            </w:tr>
            <w:tr w14:paraId="0DFD4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0" w:type="dxa"/>
                    <w:left w:w="28" w:type="dxa"/>
                    <w:bottom w:w="0" w:type="dxa"/>
                    <w:right w:w="28" w:type="dxa"/>
                  </w:tcMar>
                  <w:vAlign w:val="center"/>
                </w:tcPr>
                <w:p w14:paraId="723CDF83">
                  <w:pPr>
                    <w:pStyle w:val="20"/>
                    <w:bidi w:val="0"/>
                    <w:rPr>
                      <w:rFonts w:hint="default"/>
                      <w:color w:val="auto"/>
                      <w:highlight w:val="none"/>
                    </w:rPr>
                  </w:pPr>
                </w:p>
              </w:tc>
              <w:tc>
                <w:tcPr>
                  <w:tcW w:w="418" w:type="pct"/>
                  <w:vMerge w:val="continue"/>
                  <w:tcMar>
                    <w:top w:w="0" w:type="dxa"/>
                    <w:left w:w="28" w:type="dxa"/>
                    <w:bottom w:w="0" w:type="dxa"/>
                    <w:right w:w="28" w:type="dxa"/>
                  </w:tcMar>
                  <w:vAlign w:val="center"/>
                </w:tcPr>
                <w:p w14:paraId="3D9C7C3B">
                  <w:pPr>
                    <w:pStyle w:val="20"/>
                    <w:bidi w:val="0"/>
                    <w:rPr>
                      <w:rFonts w:hint="default"/>
                      <w:color w:val="auto"/>
                      <w:highlight w:val="none"/>
                    </w:rPr>
                  </w:pPr>
                </w:p>
              </w:tc>
              <w:tc>
                <w:tcPr>
                  <w:tcW w:w="2908" w:type="pct"/>
                  <w:tcMar>
                    <w:top w:w="0" w:type="dxa"/>
                    <w:left w:w="28" w:type="dxa"/>
                    <w:bottom w:w="0" w:type="dxa"/>
                    <w:right w:w="28" w:type="dxa"/>
                  </w:tcMar>
                  <w:vAlign w:val="center"/>
                </w:tcPr>
                <w:p w14:paraId="1D0640CD">
                  <w:pPr>
                    <w:pStyle w:val="20"/>
                    <w:spacing w:before="31"/>
                    <w:jc w:val="both"/>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第二十条 新建、扩建“两高”项目应采用先进适用的工艺技术和装备，单位产品物耗、能耗、水耗等达到清洁生产先进水平。</w:t>
                  </w:r>
                </w:p>
              </w:tc>
              <w:tc>
                <w:tcPr>
                  <w:tcW w:w="851" w:type="pct"/>
                  <w:tcMar>
                    <w:top w:w="0" w:type="dxa"/>
                    <w:left w:w="28" w:type="dxa"/>
                    <w:bottom w:w="0" w:type="dxa"/>
                    <w:right w:w="28" w:type="dxa"/>
                  </w:tcMar>
                  <w:vAlign w:val="center"/>
                </w:tcPr>
                <w:p w14:paraId="5E65B0FD">
                  <w:pPr>
                    <w:pStyle w:val="20"/>
                    <w:bidi w:val="0"/>
                    <w:jc w:val="both"/>
                    <w:rPr>
                      <w:rFonts w:hint="default"/>
                      <w:color w:val="auto"/>
                      <w:highlight w:val="none"/>
                    </w:rPr>
                  </w:pPr>
                  <w:r>
                    <w:rPr>
                      <w:rFonts w:hint="eastAsia"/>
                      <w:color w:val="auto"/>
                      <w:highlight w:val="none"/>
                    </w:rPr>
                    <w:t>不涉及。</w:t>
                  </w:r>
                </w:p>
              </w:tc>
              <w:tc>
                <w:tcPr>
                  <w:tcW w:w="311" w:type="pct"/>
                  <w:tcMar>
                    <w:top w:w="0" w:type="dxa"/>
                    <w:left w:w="28" w:type="dxa"/>
                    <w:bottom w:w="0" w:type="dxa"/>
                    <w:right w:w="28" w:type="dxa"/>
                  </w:tcMar>
                  <w:vAlign w:val="center"/>
                </w:tcPr>
                <w:p w14:paraId="27A0733E">
                  <w:pPr>
                    <w:pStyle w:val="20"/>
                    <w:bidi w:val="0"/>
                    <w:rPr>
                      <w:rFonts w:hint="default"/>
                      <w:color w:val="auto"/>
                      <w:highlight w:val="none"/>
                    </w:rPr>
                  </w:pPr>
                  <w:r>
                    <w:rPr>
                      <w:rFonts w:hint="eastAsia"/>
                      <w:color w:val="auto"/>
                      <w:highlight w:val="none"/>
                    </w:rPr>
                    <w:t>符合</w:t>
                  </w:r>
                </w:p>
              </w:tc>
            </w:tr>
            <w:tr w14:paraId="634DC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0" w:type="dxa"/>
                    <w:left w:w="28" w:type="dxa"/>
                    <w:bottom w:w="0" w:type="dxa"/>
                    <w:right w:w="28" w:type="dxa"/>
                  </w:tcMar>
                  <w:vAlign w:val="center"/>
                </w:tcPr>
                <w:p w14:paraId="04A8EDD3">
                  <w:pPr>
                    <w:pStyle w:val="20"/>
                    <w:bidi w:val="0"/>
                    <w:rPr>
                      <w:rFonts w:hint="default"/>
                      <w:color w:val="auto"/>
                      <w:highlight w:val="none"/>
                    </w:rPr>
                  </w:pPr>
                </w:p>
              </w:tc>
              <w:tc>
                <w:tcPr>
                  <w:tcW w:w="418" w:type="pct"/>
                  <w:vMerge w:val="continue"/>
                  <w:tcMar>
                    <w:top w:w="0" w:type="dxa"/>
                    <w:left w:w="28" w:type="dxa"/>
                    <w:bottom w:w="0" w:type="dxa"/>
                    <w:right w:w="28" w:type="dxa"/>
                  </w:tcMar>
                  <w:vAlign w:val="center"/>
                </w:tcPr>
                <w:p w14:paraId="78A01951">
                  <w:pPr>
                    <w:pStyle w:val="20"/>
                    <w:bidi w:val="0"/>
                    <w:rPr>
                      <w:rFonts w:hint="default"/>
                      <w:color w:val="auto"/>
                      <w:highlight w:val="none"/>
                    </w:rPr>
                  </w:pPr>
                </w:p>
              </w:tc>
              <w:tc>
                <w:tcPr>
                  <w:tcW w:w="2908" w:type="pct"/>
                  <w:tcMar>
                    <w:top w:w="0" w:type="dxa"/>
                    <w:left w:w="28" w:type="dxa"/>
                    <w:bottom w:w="0" w:type="dxa"/>
                    <w:right w:w="28" w:type="dxa"/>
                  </w:tcMar>
                  <w:vAlign w:val="center"/>
                </w:tcPr>
                <w:p w14:paraId="2CADFF75">
                  <w:pPr>
                    <w:pStyle w:val="20"/>
                    <w:spacing w:before="31"/>
                    <w:jc w:val="both"/>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第二十一条 推进企业内部工业用水循环利用、园区内企业间用水系统集成优化。开展火电、石化、有色金属、造纸、印染等高耗水行业工业废水循环利用示范。根据区域水资源禀赋和行业特点，结合用水总量控制措施，引导区域工业布局和产业结构调整，大力推广工业水循环利用，加快淘汰落后用水工艺和技术。</w:t>
                  </w:r>
                </w:p>
              </w:tc>
              <w:tc>
                <w:tcPr>
                  <w:tcW w:w="851" w:type="pct"/>
                  <w:tcMar>
                    <w:top w:w="0" w:type="dxa"/>
                    <w:left w:w="28" w:type="dxa"/>
                    <w:bottom w:w="0" w:type="dxa"/>
                    <w:right w:w="28" w:type="dxa"/>
                  </w:tcMar>
                  <w:vAlign w:val="center"/>
                </w:tcPr>
                <w:p w14:paraId="6E82E224">
                  <w:pPr>
                    <w:pStyle w:val="20"/>
                    <w:bidi w:val="0"/>
                    <w:jc w:val="both"/>
                    <w:rPr>
                      <w:rFonts w:hint="default"/>
                      <w:color w:val="auto"/>
                      <w:highlight w:val="none"/>
                    </w:rPr>
                  </w:pPr>
                  <w:r>
                    <w:rPr>
                      <w:rFonts w:hint="eastAsia"/>
                      <w:color w:val="auto"/>
                      <w:highlight w:val="none"/>
                      <w:lang w:val="en-US" w:eastAsia="zh-CN"/>
                    </w:rPr>
                    <w:t>项目水资源消耗量较低。</w:t>
                  </w:r>
                </w:p>
              </w:tc>
              <w:tc>
                <w:tcPr>
                  <w:tcW w:w="311" w:type="pct"/>
                  <w:tcMar>
                    <w:top w:w="0" w:type="dxa"/>
                    <w:left w:w="28" w:type="dxa"/>
                    <w:bottom w:w="0" w:type="dxa"/>
                    <w:right w:w="28" w:type="dxa"/>
                  </w:tcMar>
                  <w:vAlign w:val="center"/>
                </w:tcPr>
                <w:p w14:paraId="0F400097">
                  <w:pPr>
                    <w:pStyle w:val="20"/>
                    <w:bidi w:val="0"/>
                    <w:rPr>
                      <w:rFonts w:hint="default"/>
                      <w:color w:val="auto"/>
                      <w:highlight w:val="none"/>
                    </w:rPr>
                  </w:pPr>
                  <w:r>
                    <w:rPr>
                      <w:rFonts w:hint="eastAsia"/>
                      <w:color w:val="auto"/>
                      <w:highlight w:val="none"/>
                    </w:rPr>
                    <w:t>符合</w:t>
                  </w:r>
                </w:p>
              </w:tc>
            </w:tr>
            <w:tr w14:paraId="5E27B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0" w:type="dxa"/>
                    <w:left w:w="28" w:type="dxa"/>
                    <w:bottom w:w="0" w:type="dxa"/>
                    <w:right w:w="28" w:type="dxa"/>
                  </w:tcMar>
                  <w:vAlign w:val="center"/>
                </w:tcPr>
                <w:p w14:paraId="2AF77845">
                  <w:pPr>
                    <w:pStyle w:val="20"/>
                    <w:bidi w:val="0"/>
                    <w:rPr>
                      <w:rFonts w:hint="default"/>
                      <w:color w:val="auto"/>
                      <w:highlight w:val="none"/>
                    </w:rPr>
                  </w:pPr>
                </w:p>
              </w:tc>
              <w:tc>
                <w:tcPr>
                  <w:tcW w:w="418" w:type="pct"/>
                  <w:vMerge w:val="continue"/>
                  <w:tcMar>
                    <w:top w:w="0" w:type="dxa"/>
                    <w:left w:w="28" w:type="dxa"/>
                    <w:bottom w:w="0" w:type="dxa"/>
                    <w:right w:w="28" w:type="dxa"/>
                  </w:tcMar>
                  <w:vAlign w:val="center"/>
                </w:tcPr>
                <w:p w14:paraId="3EB27D8A">
                  <w:pPr>
                    <w:pStyle w:val="20"/>
                    <w:bidi w:val="0"/>
                    <w:rPr>
                      <w:rFonts w:hint="default"/>
                      <w:color w:val="auto"/>
                      <w:highlight w:val="none"/>
                    </w:rPr>
                  </w:pPr>
                </w:p>
              </w:tc>
              <w:tc>
                <w:tcPr>
                  <w:tcW w:w="2908" w:type="pct"/>
                  <w:tcMar>
                    <w:top w:w="0" w:type="dxa"/>
                    <w:left w:w="28" w:type="dxa"/>
                    <w:bottom w:w="0" w:type="dxa"/>
                    <w:right w:w="28" w:type="dxa"/>
                  </w:tcMar>
                  <w:vAlign w:val="center"/>
                </w:tcPr>
                <w:p w14:paraId="348331F3">
                  <w:pPr>
                    <w:pStyle w:val="20"/>
                    <w:spacing w:before="31"/>
                    <w:jc w:val="both"/>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第二十二条 加快推进节水配套设施建设，加强再生水、雨水等非常规水多元、梯级和安全利用，逐年提高非常规水利用比例。结合现有污水处理设施提标升级扩能改造，系统规划城镇污水再生利用设施。</w:t>
                  </w:r>
                </w:p>
              </w:tc>
              <w:tc>
                <w:tcPr>
                  <w:tcW w:w="851" w:type="pct"/>
                  <w:tcMar>
                    <w:top w:w="0" w:type="dxa"/>
                    <w:left w:w="28" w:type="dxa"/>
                    <w:bottom w:w="0" w:type="dxa"/>
                    <w:right w:w="28" w:type="dxa"/>
                  </w:tcMar>
                  <w:vAlign w:val="center"/>
                </w:tcPr>
                <w:p w14:paraId="01E6713D">
                  <w:pPr>
                    <w:pStyle w:val="20"/>
                    <w:bidi w:val="0"/>
                    <w:jc w:val="both"/>
                    <w:rPr>
                      <w:rFonts w:hint="default"/>
                      <w:color w:val="auto"/>
                      <w:highlight w:val="none"/>
                    </w:rPr>
                  </w:pPr>
                  <w:r>
                    <w:rPr>
                      <w:rFonts w:hint="eastAsia"/>
                      <w:color w:val="auto"/>
                      <w:highlight w:val="none"/>
                    </w:rPr>
                    <w:t>不涉及。</w:t>
                  </w:r>
                </w:p>
              </w:tc>
              <w:tc>
                <w:tcPr>
                  <w:tcW w:w="311" w:type="pct"/>
                  <w:tcMar>
                    <w:top w:w="0" w:type="dxa"/>
                    <w:left w:w="28" w:type="dxa"/>
                    <w:bottom w:w="0" w:type="dxa"/>
                    <w:right w:w="28" w:type="dxa"/>
                  </w:tcMar>
                  <w:vAlign w:val="center"/>
                </w:tcPr>
                <w:p w14:paraId="2AAB4F75">
                  <w:pPr>
                    <w:pStyle w:val="20"/>
                    <w:bidi w:val="0"/>
                    <w:rPr>
                      <w:rFonts w:hint="default"/>
                      <w:color w:val="auto"/>
                      <w:highlight w:val="none"/>
                    </w:rPr>
                  </w:pPr>
                  <w:r>
                    <w:rPr>
                      <w:rFonts w:hint="eastAsia"/>
                      <w:color w:val="auto"/>
                      <w:highlight w:val="none"/>
                    </w:rPr>
                    <w:t>符合</w:t>
                  </w:r>
                </w:p>
              </w:tc>
            </w:tr>
            <w:tr w14:paraId="6A5B5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restart"/>
                  <w:tcMar>
                    <w:top w:w="57" w:type="dxa"/>
                    <w:left w:w="28" w:type="dxa"/>
                    <w:bottom w:w="57" w:type="dxa"/>
                    <w:right w:w="28" w:type="dxa"/>
                  </w:tcMar>
                  <w:vAlign w:val="center"/>
                </w:tcPr>
                <w:p w14:paraId="387529E3">
                  <w:pPr>
                    <w:pStyle w:val="20"/>
                    <w:bidi w:val="0"/>
                    <w:rPr>
                      <w:color w:val="auto"/>
                      <w:highlight w:val="none"/>
                    </w:rPr>
                  </w:pPr>
                  <w:r>
                    <w:rPr>
                      <w:rFonts w:hint="eastAsia"/>
                      <w:color w:val="auto"/>
                      <w:highlight w:val="none"/>
                    </w:rPr>
                    <w:t>九龙坡区总体管控要求</w:t>
                  </w:r>
                </w:p>
              </w:tc>
              <w:tc>
                <w:tcPr>
                  <w:tcW w:w="418" w:type="pct"/>
                  <w:vMerge w:val="restart"/>
                  <w:tcMar>
                    <w:top w:w="57" w:type="dxa"/>
                    <w:left w:w="28" w:type="dxa"/>
                    <w:bottom w:w="57" w:type="dxa"/>
                    <w:right w:w="28" w:type="dxa"/>
                  </w:tcMar>
                  <w:vAlign w:val="center"/>
                </w:tcPr>
                <w:p w14:paraId="45DE1C4E">
                  <w:pPr>
                    <w:pStyle w:val="20"/>
                    <w:bidi w:val="0"/>
                    <w:rPr>
                      <w:color w:val="auto"/>
                      <w:highlight w:val="none"/>
                    </w:rPr>
                  </w:pPr>
                  <w:r>
                    <w:rPr>
                      <w:rFonts w:hint="eastAsia"/>
                      <w:color w:val="auto"/>
                      <w:highlight w:val="none"/>
                    </w:rPr>
                    <w:t>空间布局约束</w:t>
                  </w:r>
                </w:p>
              </w:tc>
              <w:tc>
                <w:tcPr>
                  <w:tcW w:w="2908" w:type="pct"/>
                  <w:tcMar>
                    <w:top w:w="57" w:type="dxa"/>
                    <w:left w:w="28" w:type="dxa"/>
                    <w:bottom w:w="57" w:type="dxa"/>
                    <w:right w:w="28" w:type="dxa"/>
                  </w:tcMar>
                  <w:vAlign w:val="center"/>
                </w:tcPr>
                <w:p w14:paraId="07123677">
                  <w:pPr>
                    <w:pStyle w:val="20"/>
                    <w:bidi w:val="0"/>
                    <w:jc w:val="both"/>
                    <w:rPr>
                      <w:color w:val="auto"/>
                      <w:highlight w:val="none"/>
                    </w:rPr>
                  </w:pPr>
                  <w:r>
                    <w:rPr>
                      <w:rFonts w:hint="eastAsia"/>
                      <w:color w:val="auto"/>
                      <w:highlight w:val="none"/>
                    </w:rPr>
                    <w:t>确保饮用水源取水口水质安全，饮用水源地所在岸线不得建设与供水设施和保护水源无关的项目，禁止新增船舶码头，规范渔业船舶管理，不得停靠餐饮趸船，取缔现有餐饮趸船；饮用水源保护区内可实施有利于改善取水水质或取水口改造的项目。</w:t>
                  </w:r>
                </w:p>
              </w:tc>
              <w:tc>
                <w:tcPr>
                  <w:tcW w:w="851" w:type="pct"/>
                  <w:vMerge w:val="restart"/>
                  <w:tcMar>
                    <w:top w:w="57" w:type="dxa"/>
                    <w:left w:w="28" w:type="dxa"/>
                    <w:bottom w:w="57" w:type="dxa"/>
                    <w:right w:w="28" w:type="dxa"/>
                  </w:tcMar>
                  <w:vAlign w:val="center"/>
                </w:tcPr>
                <w:p w14:paraId="75CC0533">
                  <w:pPr>
                    <w:pStyle w:val="20"/>
                    <w:bidi w:val="0"/>
                    <w:jc w:val="both"/>
                    <w:rPr>
                      <w:color w:val="auto"/>
                      <w:highlight w:val="none"/>
                    </w:rPr>
                  </w:pPr>
                  <w:r>
                    <w:rPr>
                      <w:rFonts w:hint="eastAsia"/>
                      <w:color w:val="auto"/>
                      <w:highlight w:val="none"/>
                      <w:lang w:val="en-US" w:eastAsia="zh-CN"/>
                    </w:rPr>
                    <w:t>扩建</w:t>
                  </w:r>
                  <w:r>
                    <w:rPr>
                      <w:rFonts w:hint="eastAsia"/>
                      <w:color w:val="auto"/>
                      <w:highlight w:val="none"/>
                    </w:rPr>
                    <w:t>项目</w:t>
                  </w:r>
                  <w:r>
                    <w:rPr>
                      <w:rFonts w:hint="eastAsia"/>
                      <w:color w:val="auto"/>
                      <w:highlight w:val="none"/>
                      <w:lang w:eastAsia="zh-CN"/>
                    </w:rPr>
                    <w:t>位于西彭工业园区西彭组团</w:t>
                  </w:r>
                  <w:r>
                    <w:rPr>
                      <w:rFonts w:hint="eastAsia"/>
                      <w:color w:val="auto"/>
                      <w:highlight w:val="none"/>
                      <w:lang w:val="en-US" w:eastAsia="zh-CN"/>
                    </w:rPr>
                    <w:t>，为A9/03地块，距长江约2.65km，不在文件所列约束区域内。项目生产塑料制品，不属于文件所列项目。</w:t>
                  </w:r>
                </w:p>
              </w:tc>
              <w:tc>
                <w:tcPr>
                  <w:tcW w:w="311" w:type="pct"/>
                  <w:vMerge w:val="restart"/>
                  <w:tcMar>
                    <w:top w:w="57" w:type="dxa"/>
                    <w:left w:w="28" w:type="dxa"/>
                    <w:bottom w:w="57" w:type="dxa"/>
                    <w:right w:w="28" w:type="dxa"/>
                  </w:tcMar>
                  <w:vAlign w:val="center"/>
                </w:tcPr>
                <w:p w14:paraId="0F3BFA38">
                  <w:pPr>
                    <w:pStyle w:val="20"/>
                    <w:bidi w:val="0"/>
                    <w:rPr>
                      <w:color w:val="auto"/>
                      <w:highlight w:val="none"/>
                    </w:rPr>
                  </w:pPr>
                  <w:r>
                    <w:rPr>
                      <w:rFonts w:hint="eastAsia"/>
                      <w:color w:val="auto"/>
                      <w:highlight w:val="none"/>
                    </w:rPr>
                    <w:t>符合</w:t>
                  </w:r>
                </w:p>
              </w:tc>
            </w:tr>
            <w:tr w14:paraId="07283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1AE48649">
                  <w:pPr>
                    <w:pStyle w:val="20"/>
                    <w:bidi w:val="0"/>
                    <w:rPr>
                      <w:color w:val="auto"/>
                      <w:highlight w:val="none"/>
                    </w:rPr>
                  </w:pPr>
                </w:p>
              </w:tc>
              <w:tc>
                <w:tcPr>
                  <w:tcW w:w="418" w:type="pct"/>
                  <w:vMerge w:val="continue"/>
                  <w:tcMar>
                    <w:top w:w="57" w:type="dxa"/>
                    <w:left w:w="28" w:type="dxa"/>
                    <w:bottom w:w="57" w:type="dxa"/>
                    <w:right w:w="28" w:type="dxa"/>
                  </w:tcMar>
                  <w:vAlign w:val="center"/>
                </w:tcPr>
                <w:p w14:paraId="192C6D80">
                  <w:pPr>
                    <w:pStyle w:val="20"/>
                    <w:bidi w:val="0"/>
                    <w:rPr>
                      <w:color w:val="auto"/>
                      <w:highlight w:val="none"/>
                    </w:rPr>
                  </w:pPr>
                </w:p>
              </w:tc>
              <w:tc>
                <w:tcPr>
                  <w:tcW w:w="2908" w:type="pct"/>
                  <w:tcMar>
                    <w:top w:w="57" w:type="dxa"/>
                    <w:left w:w="28" w:type="dxa"/>
                    <w:bottom w:w="57" w:type="dxa"/>
                    <w:right w:w="28" w:type="dxa"/>
                  </w:tcMar>
                  <w:vAlign w:val="center"/>
                </w:tcPr>
                <w:p w14:paraId="4712B151">
                  <w:pPr>
                    <w:pStyle w:val="20"/>
                    <w:bidi w:val="0"/>
                    <w:jc w:val="both"/>
                    <w:rPr>
                      <w:color w:val="auto"/>
                      <w:highlight w:val="none"/>
                    </w:rPr>
                  </w:pPr>
                  <w:r>
                    <w:rPr>
                      <w:rFonts w:hint="eastAsia"/>
                      <w:color w:val="auto"/>
                      <w:highlight w:val="none"/>
                    </w:rPr>
                    <w:t>区内“四山”（缙云山山脉、中梁山山脉、）管制区按照生态红线和四山管制区相应的管控要求进行管理，对非法建构筑物分类制定退出方案，分批次拆除违法建筑，对破坏林地、耕地实施修复，编制修复计划，推进修复工作，至2020年“四山”地区现有天然林面积不减少，人工林面积逐年增加。</w:t>
                  </w:r>
                </w:p>
              </w:tc>
              <w:tc>
                <w:tcPr>
                  <w:tcW w:w="851" w:type="pct"/>
                  <w:vMerge w:val="continue"/>
                  <w:tcMar>
                    <w:top w:w="57" w:type="dxa"/>
                    <w:left w:w="28" w:type="dxa"/>
                    <w:bottom w:w="57" w:type="dxa"/>
                    <w:right w:w="28" w:type="dxa"/>
                  </w:tcMar>
                  <w:vAlign w:val="center"/>
                </w:tcPr>
                <w:p w14:paraId="7A9F2885">
                  <w:pPr>
                    <w:pStyle w:val="20"/>
                    <w:bidi w:val="0"/>
                    <w:jc w:val="both"/>
                    <w:rPr>
                      <w:color w:val="auto"/>
                      <w:highlight w:val="none"/>
                    </w:rPr>
                  </w:pPr>
                </w:p>
              </w:tc>
              <w:tc>
                <w:tcPr>
                  <w:tcW w:w="311" w:type="pct"/>
                  <w:vMerge w:val="continue"/>
                  <w:tcMar>
                    <w:top w:w="57" w:type="dxa"/>
                    <w:left w:w="28" w:type="dxa"/>
                    <w:bottom w:w="57" w:type="dxa"/>
                    <w:right w:w="28" w:type="dxa"/>
                  </w:tcMar>
                  <w:vAlign w:val="center"/>
                </w:tcPr>
                <w:p w14:paraId="7DCD40E6">
                  <w:pPr>
                    <w:pStyle w:val="20"/>
                    <w:bidi w:val="0"/>
                    <w:rPr>
                      <w:color w:val="auto"/>
                      <w:highlight w:val="none"/>
                    </w:rPr>
                  </w:pPr>
                </w:p>
              </w:tc>
            </w:tr>
            <w:tr w14:paraId="6B4E8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5447BAA5">
                  <w:pPr>
                    <w:pStyle w:val="20"/>
                    <w:bidi w:val="0"/>
                    <w:rPr>
                      <w:color w:val="auto"/>
                      <w:highlight w:val="none"/>
                    </w:rPr>
                  </w:pPr>
                </w:p>
              </w:tc>
              <w:tc>
                <w:tcPr>
                  <w:tcW w:w="418" w:type="pct"/>
                  <w:vMerge w:val="continue"/>
                  <w:tcMar>
                    <w:top w:w="57" w:type="dxa"/>
                    <w:left w:w="28" w:type="dxa"/>
                    <w:bottom w:w="57" w:type="dxa"/>
                    <w:right w:w="28" w:type="dxa"/>
                  </w:tcMar>
                  <w:vAlign w:val="center"/>
                </w:tcPr>
                <w:p w14:paraId="40ECF428">
                  <w:pPr>
                    <w:pStyle w:val="20"/>
                    <w:bidi w:val="0"/>
                    <w:rPr>
                      <w:color w:val="auto"/>
                      <w:highlight w:val="none"/>
                    </w:rPr>
                  </w:pPr>
                </w:p>
              </w:tc>
              <w:tc>
                <w:tcPr>
                  <w:tcW w:w="2908" w:type="pct"/>
                  <w:tcMar>
                    <w:top w:w="57" w:type="dxa"/>
                    <w:left w:w="28" w:type="dxa"/>
                    <w:bottom w:w="57" w:type="dxa"/>
                    <w:right w:w="28" w:type="dxa"/>
                  </w:tcMar>
                  <w:vAlign w:val="center"/>
                </w:tcPr>
                <w:p w14:paraId="40D8F9CE">
                  <w:pPr>
                    <w:pStyle w:val="20"/>
                    <w:bidi w:val="0"/>
                    <w:jc w:val="both"/>
                    <w:rPr>
                      <w:color w:val="auto"/>
                      <w:highlight w:val="none"/>
                    </w:rPr>
                  </w:pPr>
                  <w:r>
                    <w:rPr>
                      <w:rFonts w:hint="eastAsia"/>
                      <w:color w:val="auto"/>
                      <w:highlight w:val="none"/>
                    </w:rPr>
                    <w:t>长江上游珍稀特有鱼类国家级自然保护区、白市驿县级自然保护区、白市驿城市花卉市级森林公园、白塔坪市级森林公园、中梁云岭森林公园（原尖刀山市级森林公园）、重庆彩云湖国家湿地公园生态红线范围内严禁不符合主体功能定位的各类开发活动，严禁任意改变用途，严格禁止任何单位和个人擅自占用和改变用地性质，鼓励按照规划开展维护、修复和提升生态功能的活动。区内一般生态空间原则上按限制开发区域的要求进行管理，严格控制新增建设占用生态保护红线外的生态空间。</w:t>
                  </w:r>
                </w:p>
              </w:tc>
              <w:tc>
                <w:tcPr>
                  <w:tcW w:w="851" w:type="pct"/>
                  <w:vMerge w:val="continue"/>
                  <w:tcMar>
                    <w:top w:w="57" w:type="dxa"/>
                    <w:left w:w="28" w:type="dxa"/>
                    <w:bottom w:w="57" w:type="dxa"/>
                    <w:right w:w="28" w:type="dxa"/>
                  </w:tcMar>
                  <w:vAlign w:val="center"/>
                </w:tcPr>
                <w:p w14:paraId="6374BAF1">
                  <w:pPr>
                    <w:pStyle w:val="20"/>
                    <w:bidi w:val="0"/>
                    <w:jc w:val="both"/>
                    <w:rPr>
                      <w:color w:val="auto"/>
                      <w:highlight w:val="none"/>
                    </w:rPr>
                  </w:pPr>
                </w:p>
              </w:tc>
              <w:tc>
                <w:tcPr>
                  <w:tcW w:w="311" w:type="pct"/>
                  <w:vMerge w:val="continue"/>
                  <w:tcMar>
                    <w:top w:w="57" w:type="dxa"/>
                    <w:left w:w="28" w:type="dxa"/>
                    <w:bottom w:w="57" w:type="dxa"/>
                    <w:right w:w="28" w:type="dxa"/>
                  </w:tcMar>
                  <w:vAlign w:val="center"/>
                </w:tcPr>
                <w:p w14:paraId="4EE272ED">
                  <w:pPr>
                    <w:pStyle w:val="20"/>
                    <w:bidi w:val="0"/>
                    <w:rPr>
                      <w:color w:val="auto"/>
                      <w:highlight w:val="none"/>
                    </w:rPr>
                  </w:pPr>
                </w:p>
              </w:tc>
            </w:tr>
            <w:tr w14:paraId="6C691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253C1CE6">
                  <w:pPr>
                    <w:pStyle w:val="20"/>
                    <w:bidi w:val="0"/>
                    <w:rPr>
                      <w:color w:val="auto"/>
                      <w:highlight w:val="none"/>
                    </w:rPr>
                  </w:pPr>
                </w:p>
              </w:tc>
              <w:tc>
                <w:tcPr>
                  <w:tcW w:w="418" w:type="pct"/>
                  <w:vMerge w:val="continue"/>
                  <w:tcMar>
                    <w:top w:w="57" w:type="dxa"/>
                    <w:left w:w="28" w:type="dxa"/>
                    <w:bottom w:w="57" w:type="dxa"/>
                    <w:right w:w="28" w:type="dxa"/>
                  </w:tcMar>
                  <w:vAlign w:val="center"/>
                </w:tcPr>
                <w:p w14:paraId="6D1AD0BA">
                  <w:pPr>
                    <w:pStyle w:val="20"/>
                    <w:bidi w:val="0"/>
                    <w:rPr>
                      <w:color w:val="auto"/>
                      <w:highlight w:val="none"/>
                    </w:rPr>
                  </w:pPr>
                </w:p>
              </w:tc>
              <w:tc>
                <w:tcPr>
                  <w:tcW w:w="2908" w:type="pct"/>
                  <w:tcMar>
                    <w:top w:w="57" w:type="dxa"/>
                    <w:left w:w="28" w:type="dxa"/>
                    <w:bottom w:w="57" w:type="dxa"/>
                    <w:right w:w="28" w:type="dxa"/>
                  </w:tcMar>
                  <w:vAlign w:val="center"/>
                </w:tcPr>
                <w:p w14:paraId="2379B8A6">
                  <w:pPr>
                    <w:pStyle w:val="20"/>
                    <w:bidi w:val="0"/>
                    <w:jc w:val="both"/>
                    <w:rPr>
                      <w:rFonts w:hint="eastAsia" w:eastAsia="宋体"/>
                      <w:color w:val="auto"/>
                      <w:highlight w:val="none"/>
                      <w:lang w:eastAsia="zh-CN"/>
                    </w:rPr>
                  </w:pPr>
                  <w:r>
                    <w:rPr>
                      <w:rFonts w:hint="eastAsia"/>
                      <w:color w:val="auto"/>
                      <w:highlight w:val="none"/>
                    </w:rPr>
                    <w:t>长江50年一遇洪水位向陆域一侧1公里沿岸地区，禁止引入排放重金属（铬、镉、汞、砷、铅五类重金属）、剧毒物质和持久性有机污染物的工业项目、单纯电镀行业、危险废物处置设施项目、存在严重环境安全风险的产业项目和其它不符合国家产业政策的项目，以及超出环境资源承载力的项目</w:t>
                  </w:r>
                  <w:r>
                    <w:rPr>
                      <w:rFonts w:hint="eastAsia"/>
                      <w:color w:val="auto"/>
                      <w:highlight w:val="none"/>
                      <w:lang w:eastAsia="zh-CN"/>
                    </w:rPr>
                    <w:t>。</w:t>
                  </w:r>
                </w:p>
              </w:tc>
              <w:tc>
                <w:tcPr>
                  <w:tcW w:w="851" w:type="pct"/>
                  <w:vMerge w:val="continue"/>
                  <w:tcMar>
                    <w:top w:w="57" w:type="dxa"/>
                    <w:left w:w="28" w:type="dxa"/>
                    <w:bottom w:w="57" w:type="dxa"/>
                    <w:right w:w="28" w:type="dxa"/>
                  </w:tcMar>
                  <w:vAlign w:val="center"/>
                </w:tcPr>
                <w:p w14:paraId="25E3525C">
                  <w:pPr>
                    <w:pStyle w:val="20"/>
                    <w:bidi w:val="0"/>
                    <w:jc w:val="both"/>
                    <w:rPr>
                      <w:color w:val="auto"/>
                      <w:highlight w:val="none"/>
                    </w:rPr>
                  </w:pPr>
                </w:p>
              </w:tc>
              <w:tc>
                <w:tcPr>
                  <w:tcW w:w="311" w:type="pct"/>
                  <w:tcMar>
                    <w:top w:w="57" w:type="dxa"/>
                    <w:left w:w="28" w:type="dxa"/>
                    <w:bottom w:w="57" w:type="dxa"/>
                    <w:right w:w="28" w:type="dxa"/>
                  </w:tcMar>
                  <w:vAlign w:val="center"/>
                </w:tcPr>
                <w:p w14:paraId="441CBB09">
                  <w:pPr>
                    <w:pStyle w:val="20"/>
                    <w:bidi w:val="0"/>
                    <w:rPr>
                      <w:color w:val="auto"/>
                      <w:highlight w:val="none"/>
                    </w:rPr>
                  </w:pPr>
                  <w:r>
                    <w:rPr>
                      <w:rFonts w:hint="eastAsia"/>
                      <w:color w:val="auto"/>
                      <w:highlight w:val="none"/>
                    </w:rPr>
                    <w:t>符合</w:t>
                  </w:r>
                </w:p>
              </w:tc>
            </w:tr>
            <w:tr w14:paraId="5338B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4A1089D3">
                  <w:pPr>
                    <w:pStyle w:val="20"/>
                    <w:bidi w:val="0"/>
                    <w:rPr>
                      <w:color w:val="auto"/>
                      <w:highlight w:val="none"/>
                    </w:rPr>
                  </w:pPr>
                </w:p>
              </w:tc>
              <w:tc>
                <w:tcPr>
                  <w:tcW w:w="418" w:type="pct"/>
                  <w:vMerge w:val="continue"/>
                  <w:tcMar>
                    <w:top w:w="57" w:type="dxa"/>
                    <w:left w:w="28" w:type="dxa"/>
                    <w:bottom w:w="57" w:type="dxa"/>
                    <w:right w:w="28" w:type="dxa"/>
                  </w:tcMar>
                  <w:vAlign w:val="center"/>
                </w:tcPr>
                <w:p w14:paraId="77AD284B">
                  <w:pPr>
                    <w:pStyle w:val="20"/>
                    <w:bidi w:val="0"/>
                    <w:rPr>
                      <w:color w:val="auto"/>
                      <w:highlight w:val="none"/>
                    </w:rPr>
                  </w:pPr>
                </w:p>
              </w:tc>
              <w:tc>
                <w:tcPr>
                  <w:tcW w:w="2908" w:type="pct"/>
                  <w:tcMar>
                    <w:top w:w="57" w:type="dxa"/>
                    <w:left w:w="28" w:type="dxa"/>
                    <w:bottom w:w="57" w:type="dxa"/>
                    <w:right w:w="28" w:type="dxa"/>
                  </w:tcMar>
                  <w:vAlign w:val="center"/>
                </w:tcPr>
                <w:p w14:paraId="1A50AE3E">
                  <w:pPr>
                    <w:pStyle w:val="20"/>
                    <w:bidi w:val="0"/>
                    <w:jc w:val="both"/>
                    <w:rPr>
                      <w:color w:val="auto"/>
                      <w:highlight w:val="none"/>
                    </w:rPr>
                  </w:pPr>
                  <w:r>
                    <w:rPr>
                      <w:rFonts w:hint="eastAsia"/>
                      <w:color w:val="auto"/>
                      <w:highlight w:val="none"/>
                    </w:rPr>
                    <w:t>梁滩河河道保护线外侧城镇规划建设用地内尚未建设的区域控制不少于30米的绿化缓冲带，绿化缓冲带内禁止进行工业、畜禽养殖业等可能导致水环境恶化的经营性活动。</w:t>
                  </w:r>
                </w:p>
              </w:tc>
              <w:tc>
                <w:tcPr>
                  <w:tcW w:w="851" w:type="pct"/>
                  <w:vMerge w:val="continue"/>
                  <w:tcMar>
                    <w:top w:w="57" w:type="dxa"/>
                    <w:left w:w="28" w:type="dxa"/>
                    <w:bottom w:w="57" w:type="dxa"/>
                    <w:right w:w="28" w:type="dxa"/>
                  </w:tcMar>
                  <w:vAlign w:val="center"/>
                </w:tcPr>
                <w:p w14:paraId="1494719C">
                  <w:pPr>
                    <w:pStyle w:val="20"/>
                    <w:bidi w:val="0"/>
                    <w:jc w:val="both"/>
                    <w:rPr>
                      <w:color w:val="auto"/>
                      <w:highlight w:val="none"/>
                    </w:rPr>
                  </w:pPr>
                </w:p>
              </w:tc>
              <w:tc>
                <w:tcPr>
                  <w:tcW w:w="311" w:type="pct"/>
                  <w:tcMar>
                    <w:top w:w="57" w:type="dxa"/>
                    <w:left w:w="28" w:type="dxa"/>
                    <w:bottom w:w="57" w:type="dxa"/>
                    <w:right w:w="28" w:type="dxa"/>
                  </w:tcMar>
                  <w:vAlign w:val="center"/>
                </w:tcPr>
                <w:p w14:paraId="6A7C06A2">
                  <w:pPr>
                    <w:pStyle w:val="20"/>
                    <w:bidi w:val="0"/>
                    <w:rPr>
                      <w:color w:val="auto"/>
                      <w:highlight w:val="none"/>
                    </w:rPr>
                  </w:pPr>
                  <w:r>
                    <w:rPr>
                      <w:rFonts w:hint="eastAsia"/>
                      <w:color w:val="auto"/>
                      <w:highlight w:val="none"/>
                    </w:rPr>
                    <w:t>符合</w:t>
                  </w:r>
                </w:p>
              </w:tc>
            </w:tr>
            <w:tr w14:paraId="00D09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78253EE9">
                  <w:pPr>
                    <w:pStyle w:val="20"/>
                    <w:bidi w:val="0"/>
                    <w:rPr>
                      <w:color w:val="auto"/>
                      <w:highlight w:val="none"/>
                    </w:rPr>
                  </w:pPr>
                </w:p>
              </w:tc>
              <w:tc>
                <w:tcPr>
                  <w:tcW w:w="418" w:type="pct"/>
                  <w:vMerge w:val="continue"/>
                  <w:tcMar>
                    <w:top w:w="57" w:type="dxa"/>
                    <w:left w:w="28" w:type="dxa"/>
                    <w:bottom w:w="57" w:type="dxa"/>
                    <w:right w:w="28" w:type="dxa"/>
                  </w:tcMar>
                  <w:vAlign w:val="center"/>
                </w:tcPr>
                <w:p w14:paraId="0E38AEF6">
                  <w:pPr>
                    <w:pStyle w:val="20"/>
                    <w:bidi w:val="0"/>
                    <w:rPr>
                      <w:color w:val="auto"/>
                      <w:highlight w:val="none"/>
                    </w:rPr>
                  </w:pPr>
                </w:p>
              </w:tc>
              <w:tc>
                <w:tcPr>
                  <w:tcW w:w="2908" w:type="pct"/>
                  <w:tcMar>
                    <w:top w:w="57" w:type="dxa"/>
                    <w:left w:w="28" w:type="dxa"/>
                    <w:bottom w:w="57" w:type="dxa"/>
                    <w:right w:w="28" w:type="dxa"/>
                  </w:tcMar>
                  <w:vAlign w:val="center"/>
                </w:tcPr>
                <w:p w14:paraId="0EAD0AC8">
                  <w:pPr>
                    <w:pStyle w:val="20"/>
                    <w:bidi w:val="0"/>
                    <w:jc w:val="both"/>
                    <w:rPr>
                      <w:rFonts w:hint="eastAsia" w:eastAsia="宋体"/>
                      <w:color w:val="auto"/>
                      <w:highlight w:val="none"/>
                      <w:lang w:eastAsia="zh-CN"/>
                    </w:rPr>
                  </w:pPr>
                  <w:r>
                    <w:rPr>
                      <w:rFonts w:hint="eastAsia"/>
                      <w:color w:val="auto"/>
                      <w:highlight w:val="none"/>
                    </w:rPr>
                    <w:t>逐步弱化高新技术产业开发区东区生产制造功能，推动工业“退二进三”，不再发展传统工业（企业总部与研发中心列入高技术服务业）；有序推进批发市场和物流仓储（除快递物流外）向高新西区转移</w:t>
                  </w:r>
                  <w:r>
                    <w:rPr>
                      <w:rFonts w:hint="eastAsia"/>
                      <w:color w:val="auto"/>
                      <w:highlight w:val="none"/>
                      <w:lang w:eastAsia="zh-CN"/>
                    </w:rPr>
                    <w:t>。</w:t>
                  </w:r>
                </w:p>
              </w:tc>
              <w:tc>
                <w:tcPr>
                  <w:tcW w:w="851" w:type="pct"/>
                  <w:vMerge w:val="continue"/>
                  <w:tcMar>
                    <w:top w:w="57" w:type="dxa"/>
                    <w:left w:w="28" w:type="dxa"/>
                    <w:bottom w:w="57" w:type="dxa"/>
                    <w:right w:w="28" w:type="dxa"/>
                  </w:tcMar>
                  <w:vAlign w:val="center"/>
                </w:tcPr>
                <w:p w14:paraId="7E758CC4">
                  <w:pPr>
                    <w:pStyle w:val="20"/>
                    <w:bidi w:val="0"/>
                    <w:jc w:val="both"/>
                    <w:rPr>
                      <w:color w:val="auto"/>
                      <w:highlight w:val="none"/>
                    </w:rPr>
                  </w:pPr>
                </w:p>
              </w:tc>
              <w:tc>
                <w:tcPr>
                  <w:tcW w:w="311" w:type="pct"/>
                  <w:tcMar>
                    <w:top w:w="57" w:type="dxa"/>
                    <w:left w:w="28" w:type="dxa"/>
                    <w:bottom w:w="57" w:type="dxa"/>
                    <w:right w:w="28" w:type="dxa"/>
                  </w:tcMar>
                  <w:vAlign w:val="center"/>
                </w:tcPr>
                <w:p w14:paraId="48F48276">
                  <w:pPr>
                    <w:pStyle w:val="20"/>
                    <w:bidi w:val="0"/>
                    <w:rPr>
                      <w:color w:val="auto"/>
                      <w:highlight w:val="none"/>
                    </w:rPr>
                  </w:pPr>
                  <w:r>
                    <w:rPr>
                      <w:rFonts w:hint="eastAsia"/>
                      <w:color w:val="auto"/>
                      <w:highlight w:val="none"/>
                    </w:rPr>
                    <w:t>符合</w:t>
                  </w:r>
                </w:p>
              </w:tc>
            </w:tr>
            <w:tr w14:paraId="0BB25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3ACA2D50">
                  <w:pPr>
                    <w:pStyle w:val="20"/>
                    <w:bidi w:val="0"/>
                    <w:rPr>
                      <w:color w:val="auto"/>
                      <w:highlight w:val="none"/>
                    </w:rPr>
                  </w:pPr>
                </w:p>
              </w:tc>
              <w:tc>
                <w:tcPr>
                  <w:tcW w:w="418" w:type="pct"/>
                  <w:vMerge w:val="restart"/>
                  <w:tcMar>
                    <w:top w:w="57" w:type="dxa"/>
                    <w:left w:w="28" w:type="dxa"/>
                    <w:bottom w:w="57" w:type="dxa"/>
                    <w:right w:w="28" w:type="dxa"/>
                  </w:tcMar>
                  <w:vAlign w:val="center"/>
                </w:tcPr>
                <w:p w14:paraId="37F66B2A">
                  <w:pPr>
                    <w:pStyle w:val="20"/>
                    <w:bidi w:val="0"/>
                    <w:rPr>
                      <w:color w:val="auto"/>
                      <w:highlight w:val="none"/>
                    </w:rPr>
                  </w:pPr>
                  <w:r>
                    <w:rPr>
                      <w:rFonts w:hint="eastAsia"/>
                      <w:color w:val="auto"/>
                      <w:highlight w:val="none"/>
                    </w:rPr>
                    <w:t>污染物排放管控</w:t>
                  </w:r>
                </w:p>
              </w:tc>
              <w:tc>
                <w:tcPr>
                  <w:tcW w:w="2908" w:type="pct"/>
                  <w:tcMar>
                    <w:top w:w="57" w:type="dxa"/>
                    <w:left w:w="28" w:type="dxa"/>
                    <w:bottom w:w="57" w:type="dxa"/>
                    <w:right w:w="28" w:type="dxa"/>
                  </w:tcMar>
                  <w:vAlign w:val="center"/>
                </w:tcPr>
                <w:p w14:paraId="5660362F">
                  <w:pPr>
                    <w:pStyle w:val="20"/>
                    <w:bidi w:val="0"/>
                    <w:jc w:val="both"/>
                    <w:rPr>
                      <w:color w:val="auto"/>
                      <w:highlight w:val="none"/>
                    </w:rPr>
                  </w:pPr>
                  <w:r>
                    <w:rPr>
                      <w:rFonts w:hint="eastAsia"/>
                      <w:color w:val="auto"/>
                      <w:highlight w:val="none"/>
                    </w:rPr>
                    <w:t>通过改造提升、集约布局、关停并转等方式对“散乱污”企业分类治理。对布局不合理、装备水平低、环保设施差的小型污染企业进行全面排查，制订综合整治方案，集中整治镇村产业集聚区。</w:t>
                  </w:r>
                </w:p>
              </w:tc>
              <w:tc>
                <w:tcPr>
                  <w:tcW w:w="851" w:type="pct"/>
                  <w:vMerge w:val="restart"/>
                  <w:tcMar>
                    <w:top w:w="57" w:type="dxa"/>
                    <w:left w:w="28" w:type="dxa"/>
                    <w:bottom w:w="57" w:type="dxa"/>
                    <w:right w:w="28" w:type="dxa"/>
                  </w:tcMar>
                  <w:vAlign w:val="center"/>
                </w:tcPr>
                <w:p w14:paraId="20BEE3F7">
                  <w:pPr>
                    <w:pStyle w:val="20"/>
                    <w:bidi w:val="0"/>
                    <w:jc w:val="both"/>
                    <w:rPr>
                      <w:rFonts w:hint="default"/>
                      <w:color w:val="auto"/>
                      <w:highlight w:val="none"/>
                      <w:lang w:val="en-US"/>
                    </w:rPr>
                  </w:pPr>
                  <w:r>
                    <w:rPr>
                      <w:rFonts w:hint="eastAsia"/>
                      <w:color w:val="auto"/>
                      <w:highlight w:val="none"/>
                      <w:lang w:val="en-US" w:eastAsia="zh-CN"/>
                    </w:rPr>
                    <w:t>扩建项目不属于“散乱污”企业。有机废气采用过滤棉UV光氧化+二级活性炭吸附设施处置。</w:t>
                  </w:r>
                </w:p>
              </w:tc>
              <w:tc>
                <w:tcPr>
                  <w:tcW w:w="311" w:type="pct"/>
                  <w:tcMar>
                    <w:top w:w="57" w:type="dxa"/>
                    <w:left w:w="28" w:type="dxa"/>
                    <w:bottom w:w="57" w:type="dxa"/>
                    <w:right w:w="28" w:type="dxa"/>
                  </w:tcMar>
                  <w:vAlign w:val="center"/>
                </w:tcPr>
                <w:p w14:paraId="0B486CB7">
                  <w:pPr>
                    <w:pStyle w:val="20"/>
                    <w:bidi w:val="0"/>
                    <w:rPr>
                      <w:color w:val="auto"/>
                      <w:highlight w:val="none"/>
                    </w:rPr>
                  </w:pPr>
                  <w:r>
                    <w:rPr>
                      <w:rFonts w:hint="eastAsia"/>
                      <w:color w:val="auto"/>
                      <w:highlight w:val="none"/>
                    </w:rPr>
                    <w:t>符合</w:t>
                  </w:r>
                </w:p>
              </w:tc>
            </w:tr>
            <w:tr w14:paraId="4185A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0CFCD3F0">
                  <w:pPr>
                    <w:pStyle w:val="20"/>
                    <w:bidi w:val="0"/>
                    <w:rPr>
                      <w:color w:val="auto"/>
                      <w:highlight w:val="none"/>
                    </w:rPr>
                  </w:pPr>
                </w:p>
              </w:tc>
              <w:tc>
                <w:tcPr>
                  <w:tcW w:w="418" w:type="pct"/>
                  <w:vMerge w:val="continue"/>
                  <w:tcMar>
                    <w:top w:w="57" w:type="dxa"/>
                    <w:left w:w="28" w:type="dxa"/>
                    <w:bottom w:w="57" w:type="dxa"/>
                    <w:right w:w="28" w:type="dxa"/>
                  </w:tcMar>
                  <w:vAlign w:val="center"/>
                </w:tcPr>
                <w:p w14:paraId="5417D841">
                  <w:pPr>
                    <w:pStyle w:val="20"/>
                    <w:bidi w:val="0"/>
                    <w:rPr>
                      <w:color w:val="auto"/>
                      <w:highlight w:val="none"/>
                    </w:rPr>
                  </w:pPr>
                </w:p>
              </w:tc>
              <w:tc>
                <w:tcPr>
                  <w:tcW w:w="2908" w:type="pct"/>
                  <w:tcMar>
                    <w:top w:w="57" w:type="dxa"/>
                    <w:left w:w="28" w:type="dxa"/>
                    <w:bottom w:w="57" w:type="dxa"/>
                    <w:right w:w="28" w:type="dxa"/>
                  </w:tcMar>
                  <w:vAlign w:val="center"/>
                </w:tcPr>
                <w:p w14:paraId="36DA8CD7">
                  <w:pPr>
                    <w:pStyle w:val="20"/>
                    <w:bidi w:val="0"/>
                    <w:jc w:val="both"/>
                    <w:rPr>
                      <w:color w:val="auto"/>
                      <w:highlight w:val="none"/>
                    </w:rPr>
                  </w:pPr>
                  <w:r>
                    <w:rPr>
                      <w:rFonts w:hint="eastAsia"/>
                      <w:color w:val="auto"/>
                      <w:highlight w:val="none"/>
                    </w:rPr>
                    <w:t>区内二氧化硫、氮氧化物、颗粒物、挥发性有机物严格执行大气污染物特别排放限值，全面开展涉VOC</w:t>
                  </w:r>
                  <w:r>
                    <w:rPr>
                      <w:rFonts w:hint="eastAsia"/>
                      <w:color w:val="auto"/>
                      <w:highlight w:val="none"/>
                      <w:vertAlign w:val="subscript"/>
                      <w:lang w:val="en-US" w:eastAsia="zh-CN"/>
                    </w:rPr>
                    <w:t>S</w:t>
                  </w:r>
                  <w:r>
                    <w:rPr>
                      <w:rFonts w:hint="eastAsia"/>
                      <w:color w:val="auto"/>
                      <w:highlight w:val="none"/>
                    </w:rPr>
                    <w:t>排放的“散乱污”企业排查工作，建立管理台账，实施分类处置。列入淘汰类的，依法依规予以取缔，做到“两断三清”，即断水、断电、清除原料、清除产品、清除设备；列入搬迁改造、升级改造类的，按照发展规模化、现代化产业的原则，制定改造提升方案，落实时间表和责任人；对“散乱污”企业集群，要制定总体整改方案，统一标准要求，并向社会公开，同步推进区域环境综合整治和企业升级改造。</w:t>
                  </w:r>
                </w:p>
              </w:tc>
              <w:tc>
                <w:tcPr>
                  <w:tcW w:w="851" w:type="pct"/>
                  <w:vMerge w:val="continue"/>
                  <w:tcMar>
                    <w:top w:w="57" w:type="dxa"/>
                    <w:left w:w="28" w:type="dxa"/>
                    <w:bottom w:w="57" w:type="dxa"/>
                    <w:right w:w="28" w:type="dxa"/>
                  </w:tcMar>
                  <w:vAlign w:val="center"/>
                </w:tcPr>
                <w:p w14:paraId="061812CD">
                  <w:pPr>
                    <w:pStyle w:val="20"/>
                    <w:bidi w:val="0"/>
                    <w:jc w:val="both"/>
                    <w:rPr>
                      <w:color w:val="auto"/>
                      <w:highlight w:val="none"/>
                    </w:rPr>
                  </w:pPr>
                </w:p>
              </w:tc>
              <w:tc>
                <w:tcPr>
                  <w:tcW w:w="311" w:type="pct"/>
                  <w:tcMar>
                    <w:top w:w="57" w:type="dxa"/>
                    <w:left w:w="28" w:type="dxa"/>
                    <w:bottom w:w="57" w:type="dxa"/>
                    <w:right w:w="28" w:type="dxa"/>
                  </w:tcMar>
                  <w:vAlign w:val="center"/>
                </w:tcPr>
                <w:p w14:paraId="60409440">
                  <w:pPr>
                    <w:pStyle w:val="20"/>
                    <w:bidi w:val="0"/>
                    <w:rPr>
                      <w:color w:val="auto"/>
                      <w:highlight w:val="none"/>
                    </w:rPr>
                  </w:pPr>
                  <w:r>
                    <w:rPr>
                      <w:rFonts w:hint="eastAsia"/>
                      <w:color w:val="auto"/>
                      <w:highlight w:val="none"/>
                    </w:rPr>
                    <w:t>符合</w:t>
                  </w:r>
                </w:p>
              </w:tc>
            </w:tr>
            <w:tr w14:paraId="47919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5D9097AB">
                  <w:pPr>
                    <w:pStyle w:val="20"/>
                    <w:bidi w:val="0"/>
                    <w:rPr>
                      <w:color w:val="auto"/>
                      <w:highlight w:val="none"/>
                    </w:rPr>
                  </w:pPr>
                </w:p>
              </w:tc>
              <w:tc>
                <w:tcPr>
                  <w:tcW w:w="418" w:type="pct"/>
                  <w:vMerge w:val="continue"/>
                  <w:tcMar>
                    <w:top w:w="57" w:type="dxa"/>
                    <w:left w:w="28" w:type="dxa"/>
                    <w:bottom w:w="57" w:type="dxa"/>
                    <w:right w:w="28" w:type="dxa"/>
                  </w:tcMar>
                  <w:vAlign w:val="center"/>
                </w:tcPr>
                <w:p w14:paraId="2608730A">
                  <w:pPr>
                    <w:pStyle w:val="20"/>
                    <w:bidi w:val="0"/>
                    <w:rPr>
                      <w:color w:val="auto"/>
                      <w:highlight w:val="none"/>
                    </w:rPr>
                  </w:pPr>
                </w:p>
              </w:tc>
              <w:tc>
                <w:tcPr>
                  <w:tcW w:w="2908" w:type="pct"/>
                  <w:tcMar>
                    <w:top w:w="57" w:type="dxa"/>
                    <w:left w:w="28" w:type="dxa"/>
                    <w:bottom w:w="57" w:type="dxa"/>
                    <w:right w:w="28" w:type="dxa"/>
                  </w:tcMar>
                  <w:vAlign w:val="center"/>
                </w:tcPr>
                <w:p w14:paraId="6F10F912">
                  <w:pPr>
                    <w:pStyle w:val="20"/>
                    <w:bidi w:val="0"/>
                    <w:jc w:val="both"/>
                    <w:rPr>
                      <w:rFonts w:hint="eastAsia" w:eastAsia="宋体"/>
                      <w:color w:val="auto"/>
                      <w:highlight w:val="none"/>
                      <w:lang w:eastAsia="zh-CN"/>
                    </w:rPr>
                  </w:pPr>
                  <w:r>
                    <w:rPr>
                      <w:rFonts w:hint="eastAsia"/>
                      <w:color w:val="auto"/>
                      <w:highlight w:val="none"/>
                    </w:rPr>
                    <w:t>城市污水处理厂全面达到一级A排放标准，城市污水集中处理率达到95%左右，对所有执行二级及以下标准的城镇污水处理设施实施提标改造。完善区内排水管网建设和配套污水处理厂建设，强化污水处理设施运维管理，确保设施正常运行，出水达标排放</w:t>
                  </w:r>
                  <w:r>
                    <w:rPr>
                      <w:rFonts w:hint="eastAsia"/>
                      <w:color w:val="auto"/>
                      <w:highlight w:val="none"/>
                      <w:lang w:eastAsia="zh-CN"/>
                    </w:rPr>
                    <w:t>。</w:t>
                  </w:r>
                </w:p>
              </w:tc>
              <w:tc>
                <w:tcPr>
                  <w:tcW w:w="851" w:type="pct"/>
                  <w:tcMar>
                    <w:top w:w="57" w:type="dxa"/>
                    <w:left w:w="28" w:type="dxa"/>
                    <w:bottom w:w="57" w:type="dxa"/>
                    <w:right w:w="28" w:type="dxa"/>
                  </w:tcMar>
                  <w:vAlign w:val="center"/>
                </w:tcPr>
                <w:p w14:paraId="2A4F4FD4">
                  <w:pPr>
                    <w:pStyle w:val="20"/>
                    <w:bidi w:val="0"/>
                    <w:jc w:val="both"/>
                    <w:rPr>
                      <w:color w:val="auto"/>
                      <w:highlight w:val="none"/>
                    </w:rPr>
                  </w:pPr>
                  <w:r>
                    <w:rPr>
                      <w:rFonts w:hint="eastAsia"/>
                      <w:color w:val="auto"/>
                      <w:highlight w:val="none"/>
                      <w:lang w:eastAsia="zh-CN"/>
                    </w:rPr>
                    <w:t>扩建项目</w:t>
                  </w:r>
                  <w:r>
                    <w:rPr>
                      <w:rFonts w:hint="eastAsia"/>
                      <w:color w:val="auto"/>
                      <w:highlight w:val="none"/>
                      <w:lang w:val="en-US" w:eastAsia="zh-CN"/>
                    </w:rPr>
                    <w:t>外排废水进入西彭工业园区污水处理厂。</w:t>
                  </w:r>
                </w:p>
              </w:tc>
              <w:tc>
                <w:tcPr>
                  <w:tcW w:w="311" w:type="pct"/>
                  <w:tcMar>
                    <w:top w:w="57" w:type="dxa"/>
                    <w:left w:w="28" w:type="dxa"/>
                    <w:bottom w:w="57" w:type="dxa"/>
                    <w:right w:w="28" w:type="dxa"/>
                  </w:tcMar>
                  <w:vAlign w:val="center"/>
                </w:tcPr>
                <w:p w14:paraId="4E06D0B8">
                  <w:pPr>
                    <w:pStyle w:val="20"/>
                    <w:bidi w:val="0"/>
                    <w:rPr>
                      <w:color w:val="auto"/>
                      <w:highlight w:val="none"/>
                    </w:rPr>
                  </w:pPr>
                  <w:r>
                    <w:rPr>
                      <w:rFonts w:hint="eastAsia"/>
                      <w:color w:val="auto"/>
                      <w:highlight w:val="none"/>
                    </w:rPr>
                    <w:t>符合</w:t>
                  </w:r>
                </w:p>
              </w:tc>
            </w:tr>
            <w:tr w14:paraId="3D86A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5BB2A41A">
                  <w:pPr>
                    <w:pStyle w:val="20"/>
                    <w:bidi w:val="0"/>
                    <w:rPr>
                      <w:color w:val="auto"/>
                      <w:highlight w:val="none"/>
                    </w:rPr>
                  </w:pPr>
                </w:p>
              </w:tc>
              <w:tc>
                <w:tcPr>
                  <w:tcW w:w="418" w:type="pct"/>
                  <w:vMerge w:val="continue"/>
                  <w:tcMar>
                    <w:top w:w="57" w:type="dxa"/>
                    <w:left w:w="28" w:type="dxa"/>
                    <w:bottom w:w="57" w:type="dxa"/>
                    <w:right w:w="28" w:type="dxa"/>
                  </w:tcMar>
                  <w:vAlign w:val="center"/>
                </w:tcPr>
                <w:p w14:paraId="43E64C53">
                  <w:pPr>
                    <w:pStyle w:val="20"/>
                    <w:bidi w:val="0"/>
                    <w:rPr>
                      <w:color w:val="auto"/>
                      <w:highlight w:val="none"/>
                    </w:rPr>
                  </w:pPr>
                </w:p>
              </w:tc>
              <w:tc>
                <w:tcPr>
                  <w:tcW w:w="2908" w:type="pct"/>
                  <w:tcMar>
                    <w:top w:w="57" w:type="dxa"/>
                    <w:left w:w="28" w:type="dxa"/>
                    <w:bottom w:w="57" w:type="dxa"/>
                    <w:right w:w="28" w:type="dxa"/>
                  </w:tcMar>
                  <w:vAlign w:val="center"/>
                </w:tcPr>
                <w:p w14:paraId="03819F26">
                  <w:pPr>
                    <w:pStyle w:val="20"/>
                    <w:bidi w:val="0"/>
                    <w:jc w:val="both"/>
                    <w:rPr>
                      <w:color w:val="auto"/>
                      <w:highlight w:val="none"/>
                    </w:rPr>
                  </w:pPr>
                  <w:r>
                    <w:rPr>
                      <w:rFonts w:hint="eastAsia"/>
                      <w:color w:val="auto"/>
                      <w:highlight w:val="none"/>
                    </w:rPr>
                    <w:t>持续推进梁滩河综合整治，排入梁滩河的污水执行污水特别排放限值，完善限养区养殖场污染治理配套设施设备，推广、指导畜禽养殖废弃物综合利用，推进畜禽养殖废弃物减量化、资源化和无害化。发展生态循环农业，开展现代生态农业创新试点。</w:t>
                  </w:r>
                </w:p>
              </w:tc>
              <w:tc>
                <w:tcPr>
                  <w:tcW w:w="851" w:type="pct"/>
                  <w:tcMar>
                    <w:top w:w="57" w:type="dxa"/>
                    <w:left w:w="28" w:type="dxa"/>
                    <w:bottom w:w="57" w:type="dxa"/>
                    <w:right w:w="28" w:type="dxa"/>
                  </w:tcMar>
                  <w:vAlign w:val="center"/>
                </w:tcPr>
                <w:p w14:paraId="615CBD41">
                  <w:pPr>
                    <w:pStyle w:val="20"/>
                    <w:bidi w:val="0"/>
                    <w:jc w:val="both"/>
                    <w:rPr>
                      <w:rFonts w:hint="eastAsia"/>
                      <w:color w:val="auto"/>
                      <w:highlight w:val="none"/>
                      <w:lang w:eastAsia="zh-CN"/>
                    </w:rPr>
                  </w:pPr>
                  <w:r>
                    <w:rPr>
                      <w:rFonts w:hint="eastAsia"/>
                      <w:color w:val="auto"/>
                      <w:highlight w:val="none"/>
                    </w:rPr>
                    <w:t>不涉及。</w:t>
                  </w:r>
                </w:p>
              </w:tc>
              <w:tc>
                <w:tcPr>
                  <w:tcW w:w="311" w:type="pct"/>
                  <w:tcMar>
                    <w:top w:w="57" w:type="dxa"/>
                    <w:left w:w="28" w:type="dxa"/>
                    <w:bottom w:w="57" w:type="dxa"/>
                    <w:right w:w="28" w:type="dxa"/>
                  </w:tcMar>
                  <w:vAlign w:val="center"/>
                </w:tcPr>
                <w:p w14:paraId="0D860FEF">
                  <w:pPr>
                    <w:pStyle w:val="20"/>
                    <w:bidi w:val="0"/>
                    <w:rPr>
                      <w:color w:val="auto"/>
                      <w:highlight w:val="none"/>
                    </w:rPr>
                  </w:pPr>
                  <w:r>
                    <w:rPr>
                      <w:rFonts w:hint="eastAsia"/>
                      <w:color w:val="auto"/>
                      <w:highlight w:val="none"/>
                    </w:rPr>
                    <w:t>符合</w:t>
                  </w:r>
                </w:p>
              </w:tc>
            </w:tr>
            <w:tr w14:paraId="33CEA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204DF3AF">
                  <w:pPr>
                    <w:pStyle w:val="20"/>
                    <w:bidi w:val="0"/>
                    <w:rPr>
                      <w:color w:val="auto"/>
                      <w:highlight w:val="none"/>
                    </w:rPr>
                  </w:pPr>
                </w:p>
              </w:tc>
              <w:tc>
                <w:tcPr>
                  <w:tcW w:w="418" w:type="pct"/>
                  <w:vMerge w:val="continue"/>
                  <w:tcMar>
                    <w:top w:w="57" w:type="dxa"/>
                    <w:left w:w="28" w:type="dxa"/>
                    <w:bottom w:w="57" w:type="dxa"/>
                    <w:right w:w="28" w:type="dxa"/>
                  </w:tcMar>
                  <w:vAlign w:val="center"/>
                </w:tcPr>
                <w:p w14:paraId="615DE942">
                  <w:pPr>
                    <w:pStyle w:val="20"/>
                    <w:bidi w:val="0"/>
                    <w:rPr>
                      <w:color w:val="auto"/>
                      <w:highlight w:val="none"/>
                    </w:rPr>
                  </w:pPr>
                </w:p>
              </w:tc>
              <w:tc>
                <w:tcPr>
                  <w:tcW w:w="2908" w:type="pct"/>
                  <w:tcMar>
                    <w:top w:w="57" w:type="dxa"/>
                    <w:left w:w="28" w:type="dxa"/>
                    <w:bottom w:w="57" w:type="dxa"/>
                    <w:right w:w="28" w:type="dxa"/>
                  </w:tcMar>
                  <w:vAlign w:val="center"/>
                </w:tcPr>
                <w:p w14:paraId="7F365A1B">
                  <w:pPr>
                    <w:pStyle w:val="20"/>
                    <w:bidi w:val="0"/>
                    <w:jc w:val="both"/>
                    <w:rPr>
                      <w:rFonts w:hint="eastAsia" w:eastAsia="宋体"/>
                      <w:color w:val="auto"/>
                      <w:highlight w:val="none"/>
                      <w:lang w:eastAsia="zh-CN"/>
                    </w:rPr>
                  </w:pPr>
                  <w:r>
                    <w:rPr>
                      <w:rFonts w:hint="eastAsia"/>
                      <w:color w:val="auto"/>
                      <w:highlight w:val="none"/>
                    </w:rPr>
                    <w:t>严禁引入高水耗、高物耗、高能耗项目，水的重复利用率低的行业。严格执行高污染燃料禁燃区管理要求</w:t>
                  </w:r>
                  <w:r>
                    <w:rPr>
                      <w:rFonts w:hint="eastAsia"/>
                      <w:color w:val="auto"/>
                      <w:highlight w:val="none"/>
                      <w:lang w:eastAsia="zh-CN"/>
                    </w:rPr>
                    <w:t>。</w:t>
                  </w:r>
                </w:p>
              </w:tc>
              <w:tc>
                <w:tcPr>
                  <w:tcW w:w="851" w:type="pct"/>
                  <w:tcMar>
                    <w:top w:w="57" w:type="dxa"/>
                    <w:left w:w="28" w:type="dxa"/>
                    <w:bottom w:w="57" w:type="dxa"/>
                    <w:right w:w="28" w:type="dxa"/>
                  </w:tcMar>
                  <w:vAlign w:val="center"/>
                </w:tcPr>
                <w:p w14:paraId="2C0C3510">
                  <w:pPr>
                    <w:pStyle w:val="20"/>
                    <w:bidi w:val="0"/>
                    <w:jc w:val="both"/>
                    <w:rPr>
                      <w:rFonts w:hint="default" w:eastAsia="宋体"/>
                      <w:color w:val="auto"/>
                      <w:highlight w:val="none"/>
                      <w:lang w:val="en-US" w:eastAsia="zh-CN"/>
                    </w:rPr>
                  </w:pPr>
                  <w:r>
                    <w:rPr>
                      <w:rFonts w:hint="eastAsia"/>
                      <w:color w:val="auto"/>
                      <w:highlight w:val="none"/>
                      <w:lang w:val="en-US" w:eastAsia="zh-CN"/>
                    </w:rPr>
                    <w:t>扩建项目不属于</w:t>
                  </w:r>
                  <w:r>
                    <w:rPr>
                      <w:rFonts w:hint="eastAsia"/>
                      <w:color w:val="auto"/>
                      <w:highlight w:val="none"/>
                    </w:rPr>
                    <w:t>高水耗、高物耗、高能耗项目</w:t>
                  </w:r>
                  <w:r>
                    <w:rPr>
                      <w:rFonts w:hint="eastAsia"/>
                      <w:color w:val="auto"/>
                      <w:highlight w:val="none"/>
                      <w:lang w:eastAsia="zh-CN"/>
                    </w:rPr>
                    <w:t>，</w:t>
                  </w:r>
                  <w:r>
                    <w:rPr>
                      <w:rFonts w:hint="eastAsia"/>
                      <w:color w:val="auto"/>
                      <w:highlight w:val="none"/>
                      <w:lang w:val="en-US" w:eastAsia="zh-CN"/>
                    </w:rPr>
                    <w:t>不使用高污染燃料。</w:t>
                  </w:r>
                </w:p>
              </w:tc>
              <w:tc>
                <w:tcPr>
                  <w:tcW w:w="311" w:type="pct"/>
                  <w:tcMar>
                    <w:top w:w="57" w:type="dxa"/>
                    <w:left w:w="28" w:type="dxa"/>
                    <w:bottom w:w="57" w:type="dxa"/>
                    <w:right w:w="28" w:type="dxa"/>
                  </w:tcMar>
                  <w:vAlign w:val="center"/>
                </w:tcPr>
                <w:p w14:paraId="6FD74D1E">
                  <w:pPr>
                    <w:pStyle w:val="20"/>
                    <w:bidi w:val="0"/>
                    <w:rPr>
                      <w:color w:val="auto"/>
                      <w:highlight w:val="none"/>
                    </w:rPr>
                  </w:pPr>
                  <w:r>
                    <w:rPr>
                      <w:rFonts w:hint="eastAsia"/>
                      <w:color w:val="auto"/>
                      <w:highlight w:val="none"/>
                    </w:rPr>
                    <w:t>符合</w:t>
                  </w:r>
                </w:p>
              </w:tc>
            </w:tr>
            <w:tr w14:paraId="4FB52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434B8892">
                  <w:pPr>
                    <w:pStyle w:val="20"/>
                    <w:bidi w:val="0"/>
                    <w:rPr>
                      <w:color w:val="auto"/>
                      <w:highlight w:val="none"/>
                    </w:rPr>
                  </w:pPr>
                </w:p>
              </w:tc>
              <w:tc>
                <w:tcPr>
                  <w:tcW w:w="418" w:type="pct"/>
                  <w:vMerge w:val="continue"/>
                  <w:tcMar>
                    <w:top w:w="57" w:type="dxa"/>
                    <w:left w:w="28" w:type="dxa"/>
                    <w:bottom w:w="57" w:type="dxa"/>
                    <w:right w:w="28" w:type="dxa"/>
                  </w:tcMar>
                  <w:vAlign w:val="center"/>
                </w:tcPr>
                <w:p w14:paraId="5B47FBE8">
                  <w:pPr>
                    <w:pStyle w:val="20"/>
                    <w:bidi w:val="0"/>
                    <w:rPr>
                      <w:color w:val="auto"/>
                      <w:highlight w:val="none"/>
                    </w:rPr>
                  </w:pPr>
                </w:p>
              </w:tc>
              <w:tc>
                <w:tcPr>
                  <w:tcW w:w="2908" w:type="pct"/>
                  <w:tcMar>
                    <w:top w:w="57" w:type="dxa"/>
                    <w:left w:w="28" w:type="dxa"/>
                    <w:bottom w:w="57" w:type="dxa"/>
                    <w:right w:w="28" w:type="dxa"/>
                  </w:tcMar>
                  <w:vAlign w:val="center"/>
                </w:tcPr>
                <w:p w14:paraId="0C0D1682">
                  <w:pPr>
                    <w:pStyle w:val="20"/>
                    <w:bidi w:val="0"/>
                    <w:jc w:val="both"/>
                    <w:rPr>
                      <w:rFonts w:hint="eastAsia"/>
                      <w:color w:val="auto"/>
                      <w:highlight w:val="none"/>
                    </w:rPr>
                  </w:pPr>
                  <w:r>
                    <w:rPr>
                      <w:rFonts w:hint="eastAsia"/>
                      <w:color w:val="auto"/>
                      <w:highlight w:val="none"/>
                    </w:rPr>
                    <w:t>制定柴油货车、高排放车辆限行方案，依法依规加快淘汰老旧柴油货车。每年新增或更新的公交车、出租车全部使用清洁能源车辆。</w:t>
                  </w:r>
                </w:p>
              </w:tc>
              <w:tc>
                <w:tcPr>
                  <w:tcW w:w="851" w:type="pct"/>
                  <w:tcMar>
                    <w:top w:w="57" w:type="dxa"/>
                    <w:left w:w="28" w:type="dxa"/>
                    <w:bottom w:w="57" w:type="dxa"/>
                    <w:right w:w="28" w:type="dxa"/>
                  </w:tcMar>
                  <w:vAlign w:val="center"/>
                </w:tcPr>
                <w:p w14:paraId="6A145ADE">
                  <w:pPr>
                    <w:pStyle w:val="20"/>
                    <w:bidi w:val="0"/>
                    <w:jc w:val="both"/>
                    <w:rPr>
                      <w:rFonts w:hint="eastAsia"/>
                      <w:color w:val="auto"/>
                      <w:highlight w:val="none"/>
                    </w:rPr>
                  </w:pPr>
                  <w:r>
                    <w:rPr>
                      <w:rFonts w:hint="eastAsia"/>
                      <w:color w:val="auto"/>
                      <w:highlight w:val="none"/>
                    </w:rPr>
                    <w:t>不涉及。</w:t>
                  </w:r>
                </w:p>
              </w:tc>
              <w:tc>
                <w:tcPr>
                  <w:tcW w:w="311" w:type="pct"/>
                  <w:tcMar>
                    <w:top w:w="57" w:type="dxa"/>
                    <w:left w:w="28" w:type="dxa"/>
                    <w:bottom w:w="57" w:type="dxa"/>
                    <w:right w:w="28" w:type="dxa"/>
                  </w:tcMar>
                  <w:vAlign w:val="center"/>
                </w:tcPr>
                <w:p w14:paraId="4C8F7109">
                  <w:pPr>
                    <w:pStyle w:val="20"/>
                    <w:bidi w:val="0"/>
                    <w:rPr>
                      <w:rFonts w:hint="eastAsia"/>
                      <w:color w:val="auto"/>
                      <w:highlight w:val="none"/>
                    </w:rPr>
                  </w:pPr>
                  <w:r>
                    <w:rPr>
                      <w:rFonts w:hint="eastAsia"/>
                      <w:color w:val="auto"/>
                      <w:highlight w:val="none"/>
                    </w:rPr>
                    <w:t>符合</w:t>
                  </w:r>
                </w:p>
              </w:tc>
            </w:tr>
            <w:tr w14:paraId="08699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07D69DDD">
                  <w:pPr>
                    <w:pStyle w:val="20"/>
                    <w:bidi w:val="0"/>
                    <w:rPr>
                      <w:color w:val="auto"/>
                      <w:highlight w:val="none"/>
                    </w:rPr>
                  </w:pPr>
                </w:p>
              </w:tc>
              <w:tc>
                <w:tcPr>
                  <w:tcW w:w="418" w:type="pct"/>
                  <w:vMerge w:val="restart"/>
                  <w:tcMar>
                    <w:top w:w="57" w:type="dxa"/>
                    <w:left w:w="28" w:type="dxa"/>
                    <w:bottom w:w="57" w:type="dxa"/>
                    <w:right w:w="28" w:type="dxa"/>
                  </w:tcMar>
                  <w:vAlign w:val="center"/>
                </w:tcPr>
                <w:p w14:paraId="77C7B84D">
                  <w:pPr>
                    <w:pStyle w:val="20"/>
                    <w:bidi w:val="0"/>
                    <w:rPr>
                      <w:color w:val="auto"/>
                      <w:highlight w:val="none"/>
                    </w:rPr>
                  </w:pPr>
                  <w:r>
                    <w:rPr>
                      <w:rFonts w:hint="eastAsia"/>
                      <w:color w:val="auto"/>
                      <w:highlight w:val="none"/>
                    </w:rPr>
                    <w:t>环境风险防控</w:t>
                  </w:r>
                </w:p>
              </w:tc>
              <w:tc>
                <w:tcPr>
                  <w:tcW w:w="2908" w:type="pct"/>
                  <w:tcMar>
                    <w:top w:w="57" w:type="dxa"/>
                    <w:left w:w="28" w:type="dxa"/>
                    <w:bottom w:w="57" w:type="dxa"/>
                    <w:right w:w="28" w:type="dxa"/>
                  </w:tcMar>
                  <w:vAlign w:val="center"/>
                </w:tcPr>
                <w:p w14:paraId="13884271">
                  <w:pPr>
                    <w:pStyle w:val="20"/>
                    <w:bidi w:val="0"/>
                    <w:jc w:val="both"/>
                    <w:rPr>
                      <w:color w:val="auto"/>
                      <w:highlight w:val="none"/>
                    </w:rPr>
                  </w:pPr>
                  <w:r>
                    <w:rPr>
                      <w:rFonts w:hint="eastAsia"/>
                      <w:color w:val="auto"/>
                      <w:highlight w:val="none"/>
                    </w:rPr>
                    <w:t>严禁在长江干流1公里范围内新建危化品码头，长江干流沿岸1公里范围内现有化工企业、危化企业、重点风险源全部“清零”。</w:t>
                  </w:r>
                </w:p>
              </w:tc>
              <w:tc>
                <w:tcPr>
                  <w:tcW w:w="851" w:type="pct"/>
                  <w:tcMar>
                    <w:top w:w="57" w:type="dxa"/>
                    <w:left w:w="28" w:type="dxa"/>
                    <w:bottom w:w="57" w:type="dxa"/>
                    <w:right w:w="28" w:type="dxa"/>
                  </w:tcMar>
                  <w:vAlign w:val="center"/>
                </w:tcPr>
                <w:p w14:paraId="0EF5C530">
                  <w:pPr>
                    <w:pStyle w:val="20"/>
                    <w:bidi w:val="0"/>
                    <w:jc w:val="both"/>
                    <w:rPr>
                      <w:color w:val="auto"/>
                      <w:highlight w:val="none"/>
                    </w:rPr>
                  </w:pPr>
                  <w:r>
                    <w:rPr>
                      <w:rFonts w:hint="eastAsia"/>
                      <w:color w:val="auto"/>
                      <w:highlight w:val="none"/>
                    </w:rPr>
                    <w:t>不涉及。</w:t>
                  </w:r>
                </w:p>
              </w:tc>
              <w:tc>
                <w:tcPr>
                  <w:tcW w:w="311" w:type="pct"/>
                  <w:tcMar>
                    <w:top w:w="57" w:type="dxa"/>
                    <w:left w:w="28" w:type="dxa"/>
                    <w:bottom w:w="57" w:type="dxa"/>
                    <w:right w:w="28" w:type="dxa"/>
                  </w:tcMar>
                  <w:vAlign w:val="center"/>
                </w:tcPr>
                <w:p w14:paraId="24BC2306">
                  <w:pPr>
                    <w:pStyle w:val="20"/>
                    <w:bidi w:val="0"/>
                    <w:rPr>
                      <w:color w:val="auto"/>
                      <w:highlight w:val="none"/>
                    </w:rPr>
                  </w:pPr>
                  <w:r>
                    <w:rPr>
                      <w:rFonts w:hint="eastAsia"/>
                      <w:color w:val="auto"/>
                      <w:highlight w:val="none"/>
                    </w:rPr>
                    <w:t>符合</w:t>
                  </w:r>
                </w:p>
              </w:tc>
            </w:tr>
            <w:tr w14:paraId="6E8EF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30F79257">
                  <w:pPr>
                    <w:pStyle w:val="20"/>
                    <w:bidi w:val="0"/>
                    <w:rPr>
                      <w:color w:val="auto"/>
                      <w:highlight w:val="none"/>
                    </w:rPr>
                  </w:pPr>
                </w:p>
              </w:tc>
              <w:tc>
                <w:tcPr>
                  <w:tcW w:w="418" w:type="pct"/>
                  <w:vMerge w:val="continue"/>
                  <w:tcMar>
                    <w:top w:w="57" w:type="dxa"/>
                    <w:left w:w="28" w:type="dxa"/>
                    <w:bottom w:w="57" w:type="dxa"/>
                    <w:right w:w="28" w:type="dxa"/>
                  </w:tcMar>
                  <w:vAlign w:val="center"/>
                </w:tcPr>
                <w:p w14:paraId="40988565">
                  <w:pPr>
                    <w:pStyle w:val="20"/>
                    <w:bidi w:val="0"/>
                    <w:rPr>
                      <w:color w:val="auto"/>
                      <w:highlight w:val="none"/>
                    </w:rPr>
                  </w:pPr>
                </w:p>
              </w:tc>
              <w:tc>
                <w:tcPr>
                  <w:tcW w:w="2908" w:type="pct"/>
                  <w:tcMar>
                    <w:top w:w="57" w:type="dxa"/>
                    <w:left w:w="28" w:type="dxa"/>
                    <w:bottom w:w="57" w:type="dxa"/>
                    <w:right w:w="28" w:type="dxa"/>
                  </w:tcMar>
                  <w:vAlign w:val="center"/>
                </w:tcPr>
                <w:p w14:paraId="507B4D65">
                  <w:pPr>
                    <w:pStyle w:val="20"/>
                    <w:bidi w:val="0"/>
                    <w:jc w:val="both"/>
                    <w:rPr>
                      <w:color w:val="auto"/>
                      <w:highlight w:val="none"/>
                    </w:rPr>
                  </w:pPr>
                  <w:r>
                    <w:rPr>
                      <w:rFonts w:hint="eastAsia"/>
                      <w:color w:val="auto"/>
                      <w:highlight w:val="none"/>
                    </w:rPr>
                    <w:t>工业园区污水处理厂应设置相应规模的事故池，防止事故废水直接进入江河。</w:t>
                  </w:r>
                </w:p>
              </w:tc>
              <w:tc>
                <w:tcPr>
                  <w:tcW w:w="851" w:type="pct"/>
                  <w:tcMar>
                    <w:top w:w="57" w:type="dxa"/>
                    <w:left w:w="28" w:type="dxa"/>
                    <w:bottom w:w="57" w:type="dxa"/>
                    <w:right w:w="28" w:type="dxa"/>
                  </w:tcMar>
                  <w:vAlign w:val="center"/>
                </w:tcPr>
                <w:p w14:paraId="10105472">
                  <w:pPr>
                    <w:pStyle w:val="20"/>
                    <w:bidi w:val="0"/>
                    <w:jc w:val="both"/>
                    <w:rPr>
                      <w:color w:val="auto"/>
                      <w:highlight w:val="none"/>
                    </w:rPr>
                  </w:pPr>
                  <w:r>
                    <w:rPr>
                      <w:rFonts w:hint="eastAsia"/>
                      <w:color w:val="auto"/>
                      <w:highlight w:val="none"/>
                    </w:rPr>
                    <w:t>不涉及。</w:t>
                  </w:r>
                </w:p>
              </w:tc>
              <w:tc>
                <w:tcPr>
                  <w:tcW w:w="311" w:type="pct"/>
                  <w:tcMar>
                    <w:top w:w="57" w:type="dxa"/>
                    <w:left w:w="28" w:type="dxa"/>
                    <w:bottom w:w="57" w:type="dxa"/>
                    <w:right w:w="28" w:type="dxa"/>
                  </w:tcMar>
                  <w:vAlign w:val="center"/>
                </w:tcPr>
                <w:p w14:paraId="208F8EB7">
                  <w:pPr>
                    <w:pStyle w:val="20"/>
                    <w:bidi w:val="0"/>
                    <w:rPr>
                      <w:color w:val="auto"/>
                      <w:highlight w:val="none"/>
                    </w:rPr>
                  </w:pPr>
                  <w:r>
                    <w:rPr>
                      <w:rFonts w:hint="eastAsia"/>
                      <w:color w:val="auto"/>
                      <w:highlight w:val="none"/>
                    </w:rPr>
                    <w:t>符合</w:t>
                  </w:r>
                </w:p>
              </w:tc>
            </w:tr>
            <w:tr w14:paraId="42C06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1627BA37">
                  <w:pPr>
                    <w:pStyle w:val="20"/>
                    <w:bidi w:val="0"/>
                    <w:rPr>
                      <w:color w:val="auto"/>
                      <w:highlight w:val="none"/>
                    </w:rPr>
                  </w:pPr>
                </w:p>
              </w:tc>
              <w:tc>
                <w:tcPr>
                  <w:tcW w:w="418" w:type="pct"/>
                  <w:tcMar>
                    <w:top w:w="57" w:type="dxa"/>
                    <w:left w:w="28" w:type="dxa"/>
                    <w:bottom w:w="57" w:type="dxa"/>
                    <w:right w:w="28" w:type="dxa"/>
                  </w:tcMar>
                  <w:vAlign w:val="center"/>
                </w:tcPr>
                <w:p w14:paraId="10E90593">
                  <w:pPr>
                    <w:pStyle w:val="20"/>
                    <w:bidi w:val="0"/>
                    <w:rPr>
                      <w:color w:val="auto"/>
                      <w:highlight w:val="none"/>
                    </w:rPr>
                  </w:pPr>
                  <w:r>
                    <w:rPr>
                      <w:rFonts w:hint="eastAsia"/>
                      <w:color w:val="auto"/>
                      <w:highlight w:val="none"/>
                    </w:rPr>
                    <w:t>资源开发效率要求</w:t>
                  </w:r>
                </w:p>
              </w:tc>
              <w:tc>
                <w:tcPr>
                  <w:tcW w:w="2908" w:type="pct"/>
                  <w:tcMar>
                    <w:top w:w="57" w:type="dxa"/>
                    <w:left w:w="28" w:type="dxa"/>
                    <w:bottom w:w="57" w:type="dxa"/>
                    <w:right w:w="28" w:type="dxa"/>
                  </w:tcMar>
                  <w:vAlign w:val="center"/>
                </w:tcPr>
                <w:p w14:paraId="73FF09C3">
                  <w:pPr>
                    <w:pStyle w:val="20"/>
                    <w:bidi w:val="0"/>
                    <w:jc w:val="both"/>
                    <w:rPr>
                      <w:color w:val="auto"/>
                      <w:highlight w:val="none"/>
                    </w:rPr>
                  </w:pPr>
                  <w:r>
                    <w:rPr>
                      <w:rFonts w:hint="eastAsia"/>
                      <w:color w:val="auto"/>
                      <w:highlight w:val="none"/>
                    </w:rPr>
                    <w:t>新建和改造的工业项目的水资源消耗水平应优于《重庆市工业项目环境准入规定》中的准入值及行业平均值，企业水耗应达到先进定额标准。新建和改造的能耗水平应优于《重庆市工业项目环境准入规定》中的准入值及行业平均值，高耗能企业能耗应达到先进定额标准。</w:t>
                  </w:r>
                </w:p>
              </w:tc>
              <w:tc>
                <w:tcPr>
                  <w:tcW w:w="851" w:type="pct"/>
                  <w:tcMar>
                    <w:top w:w="57" w:type="dxa"/>
                    <w:left w:w="28" w:type="dxa"/>
                    <w:bottom w:w="57" w:type="dxa"/>
                    <w:right w:w="28" w:type="dxa"/>
                  </w:tcMar>
                  <w:vAlign w:val="center"/>
                </w:tcPr>
                <w:p w14:paraId="2350975D">
                  <w:pPr>
                    <w:pStyle w:val="20"/>
                    <w:bidi w:val="0"/>
                    <w:jc w:val="both"/>
                    <w:rPr>
                      <w:rFonts w:hint="eastAsia" w:eastAsia="宋体"/>
                      <w:color w:val="auto"/>
                      <w:highlight w:val="none"/>
                      <w:lang w:eastAsia="zh-CN"/>
                    </w:rPr>
                  </w:pPr>
                  <w:r>
                    <w:rPr>
                      <w:rFonts w:hint="eastAsia"/>
                      <w:color w:val="auto"/>
                      <w:highlight w:val="none"/>
                    </w:rPr>
                    <w:t>项目</w:t>
                  </w:r>
                  <w:r>
                    <w:rPr>
                      <w:rFonts w:hint="eastAsia"/>
                      <w:color w:val="auto"/>
                      <w:highlight w:val="none"/>
                      <w:lang w:val="en-US" w:eastAsia="zh-CN"/>
                    </w:rPr>
                    <w:t>满足相关要求。</w:t>
                  </w:r>
                </w:p>
              </w:tc>
              <w:tc>
                <w:tcPr>
                  <w:tcW w:w="311" w:type="pct"/>
                  <w:tcMar>
                    <w:top w:w="57" w:type="dxa"/>
                    <w:left w:w="28" w:type="dxa"/>
                    <w:bottom w:w="57" w:type="dxa"/>
                    <w:right w:w="28" w:type="dxa"/>
                  </w:tcMar>
                  <w:vAlign w:val="center"/>
                </w:tcPr>
                <w:p w14:paraId="4CFA81EC">
                  <w:pPr>
                    <w:pStyle w:val="20"/>
                    <w:bidi w:val="0"/>
                    <w:rPr>
                      <w:color w:val="auto"/>
                      <w:highlight w:val="none"/>
                    </w:rPr>
                  </w:pPr>
                  <w:r>
                    <w:rPr>
                      <w:rFonts w:hint="eastAsia"/>
                      <w:color w:val="auto"/>
                      <w:highlight w:val="none"/>
                    </w:rPr>
                    <w:t>符合</w:t>
                  </w:r>
                </w:p>
              </w:tc>
            </w:tr>
            <w:tr w14:paraId="422F0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restart"/>
                  <w:tcMar>
                    <w:top w:w="57" w:type="dxa"/>
                    <w:left w:w="28" w:type="dxa"/>
                    <w:bottom w:w="57" w:type="dxa"/>
                    <w:right w:w="28" w:type="dxa"/>
                  </w:tcMar>
                  <w:vAlign w:val="center"/>
                </w:tcPr>
                <w:p w14:paraId="170058BE">
                  <w:pPr>
                    <w:pStyle w:val="20"/>
                    <w:bidi w:val="0"/>
                    <w:rPr>
                      <w:color w:val="auto"/>
                      <w:highlight w:val="none"/>
                    </w:rPr>
                  </w:pPr>
                  <w:r>
                    <w:rPr>
                      <w:rFonts w:hint="eastAsia"/>
                      <w:color w:val="auto"/>
                      <w:highlight w:val="none"/>
                    </w:rPr>
                    <w:t>单元管控要求</w:t>
                  </w:r>
                </w:p>
              </w:tc>
              <w:tc>
                <w:tcPr>
                  <w:tcW w:w="418" w:type="pct"/>
                  <w:vMerge w:val="restart"/>
                  <w:tcMar>
                    <w:top w:w="57" w:type="dxa"/>
                    <w:left w:w="28" w:type="dxa"/>
                    <w:bottom w:w="57" w:type="dxa"/>
                    <w:right w:w="28" w:type="dxa"/>
                  </w:tcMar>
                  <w:vAlign w:val="center"/>
                </w:tcPr>
                <w:p w14:paraId="27454530">
                  <w:pPr>
                    <w:pStyle w:val="20"/>
                    <w:bidi w:val="0"/>
                    <w:rPr>
                      <w:color w:val="auto"/>
                      <w:highlight w:val="none"/>
                    </w:rPr>
                  </w:pPr>
                  <w:r>
                    <w:rPr>
                      <w:rFonts w:hint="eastAsia"/>
                      <w:color w:val="auto"/>
                      <w:highlight w:val="none"/>
                    </w:rPr>
                    <w:t>空间布局约束</w:t>
                  </w:r>
                </w:p>
              </w:tc>
              <w:tc>
                <w:tcPr>
                  <w:tcW w:w="2908" w:type="pct"/>
                  <w:tcMar>
                    <w:top w:w="57" w:type="dxa"/>
                    <w:left w:w="28" w:type="dxa"/>
                    <w:bottom w:w="57" w:type="dxa"/>
                    <w:right w:w="28" w:type="dxa"/>
                  </w:tcMar>
                  <w:vAlign w:val="center"/>
                </w:tcPr>
                <w:p w14:paraId="6D2FC0FB">
                  <w:pPr>
                    <w:pStyle w:val="20"/>
                    <w:bidi w:val="0"/>
                    <w:jc w:val="both"/>
                    <w:rPr>
                      <w:rFonts w:hint="eastAsia"/>
                      <w:b/>
                      <w:bCs/>
                      <w:color w:val="auto"/>
                      <w:highlight w:val="none"/>
                    </w:rPr>
                  </w:pPr>
                  <w:r>
                    <w:rPr>
                      <w:rFonts w:hint="eastAsia"/>
                      <w:color w:val="auto"/>
                      <w:highlight w:val="none"/>
                    </w:rPr>
                    <w:t>1.紧邻现状及规划居住用地、中小学用地等的工业用地后续引入项目时应考虑以污染较轻的项目为主，禁止新建涉及喷漆、酸洗、熔炼等异味较大的生产工艺项目。</w:t>
                  </w:r>
                </w:p>
              </w:tc>
              <w:tc>
                <w:tcPr>
                  <w:tcW w:w="851" w:type="pct"/>
                  <w:tcMar>
                    <w:top w:w="57" w:type="dxa"/>
                    <w:left w:w="28" w:type="dxa"/>
                    <w:bottom w:w="57" w:type="dxa"/>
                    <w:right w:w="28" w:type="dxa"/>
                  </w:tcMar>
                  <w:vAlign w:val="center"/>
                </w:tcPr>
                <w:p w14:paraId="7645EE1C">
                  <w:pPr>
                    <w:pStyle w:val="20"/>
                    <w:bidi w:val="0"/>
                    <w:jc w:val="both"/>
                    <w:rPr>
                      <w:rFonts w:hint="default" w:eastAsia="宋体"/>
                      <w:color w:val="auto"/>
                      <w:highlight w:val="none"/>
                      <w:lang w:val="en-US" w:eastAsia="zh-CN"/>
                    </w:rPr>
                  </w:pPr>
                  <w:r>
                    <w:rPr>
                      <w:rFonts w:hint="eastAsia"/>
                      <w:color w:val="auto"/>
                      <w:highlight w:val="none"/>
                      <w:lang w:val="en-US" w:eastAsia="zh-CN"/>
                    </w:rPr>
                    <w:t>扩建项目未紧邻</w:t>
                  </w:r>
                  <w:r>
                    <w:rPr>
                      <w:rFonts w:hint="eastAsia"/>
                      <w:color w:val="auto"/>
                      <w:highlight w:val="none"/>
                    </w:rPr>
                    <w:t>居住用地</w:t>
                  </w:r>
                  <w:r>
                    <w:rPr>
                      <w:rFonts w:hint="eastAsia"/>
                      <w:color w:val="auto"/>
                      <w:highlight w:val="none"/>
                      <w:lang w:val="en-US" w:eastAsia="zh-CN"/>
                    </w:rPr>
                    <w:t>及</w:t>
                  </w:r>
                  <w:r>
                    <w:rPr>
                      <w:rFonts w:hint="eastAsia"/>
                      <w:color w:val="auto"/>
                      <w:highlight w:val="none"/>
                    </w:rPr>
                    <w:t>中小学用地</w:t>
                  </w:r>
                  <w:r>
                    <w:rPr>
                      <w:rFonts w:hint="eastAsia"/>
                      <w:color w:val="auto"/>
                      <w:highlight w:val="none"/>
                      <w:lang w:eastAsia="zh-CN"/>
                    </w:rPr>
                    <w:t>，</w:t>
                  </w:r>
                  <w:r>
                    <w:rPr>
                      <w:rFonts w:hint="eastAsia"/>
                      <w:color w:val="auto"/>
                      <w:highlight w:val="none"/>
                      <w:lang w:val="en-US" w:eastAsia="zh-CN"/>
                    </w:rPr>
                    <w:t>不属于文件所列项目。</w:t>
                  </w:r>
                </w:p>
              </w:tc>
              <w:tc>
                <w:tcPr>
                  <w:tcW w:w="311" w:type="pct"/>
                  <w:tcMar>
                    <w:top w:w="57" w:type="dxa"/>
                    <w:left w:w="28" w:type="dxa"/>
                    <w:bottom w:w="57" w:type="dxa"/>
                    <w:right w:w="28" w:type="dxa"/>
                  </w:tcMar>
                  <w:vAlign w:val="center"/>
                </w:tcPr>
                <w:p w14:paraId="4BDA870F">
                  <w:pPr>
                    <w:pStyle w:val="20"/>
                    <w:bidi w:val="0"/>
                    <w:rPr>
                      <w:rFonts w:hint="eastAsia"/>
                      <w:color w:val="auto"/>
                      <w:highlight w:val="none"/>
                    </w:rPr>
                  </w:pPr>
                  <w:r>
                    <w:rPr>
                      <w:rFonts w:hint="eastAsia"/>
                      <w:color w:val="auto"/>
                      <w:highlight w:val="none"/>
                    </w:rPr>
                    <w:t>符合</w:t>
                  </w:r>
                </w:p>
              </w:tc>
            </w:tr>
            <w:tr w14:paraId="27AC1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56C0FE4D">
                  <w:pPr>
                    <w:pStyle w:val="20"/>
                    <w:bidi w:val="0"/>
                    <w:rPr>
                      <w:color w:val="auto"/>
                      <w:highlight w:val="none"/>
                    </w:rPr>
                  </w:pPr>
                </w:p>
              </w:tc>
              <w:tc>
                <w:tcPr>
                  <w:tcW w:w="418" w:type="pct"/>
                  <w:vMerge w:val="continue"/>
                  <w:tcMar>
                    <w:top w:w="57" w:type="dxa"/>
                    <w:left w:w="28" w:type="dxa"/>
                    <w:bottom w:w="57" w:type="dxa"/>
                    <w:right w:w="28" w:type="dxa"/>
                  </w:tcMar>
                  <w:vAlign w:val="center"/>
                </w:tcPr>
                <w:p w14:paraId="4D2B9CC3">
                  <w:pPr>
                    <w:pStyle w:val="20"/>
                    <w:bidi w:val="0"/>
                    <w:rPr>
                      <w:color w:val="auto"/>
                      <w:highlight w:val="none"/>
                    </w:rPr>
                  </w:pPr>
                </w:p>
              </w:tc>
              <w:tc>
                <w:tcPr>
                  <w:tcW w:w="2908" w:type="pct"/>
                  <w:tcMar>
                    <w:top w:w="57" w:type="dxa"/>
                    <w:left w:w="28" w:type="dxa"/>
                    <w:bottom w:w="57" w:type="dxa"/>
                    <w:right w:w="28" w:type="dxa"/>
                  </w:tcMar>
                  <w:vAlign w:val="center"/>
                </w:tcPr>
                <w:p w14:paraId="5E1A0DDA">
                  <w:pPr>
                    <w:pStyle w:val="20"/>
                    <w:bidi w:val="0"/>
                    <w:jc w:val="both"/>
                    <w:rPr>
                      <w:rFonts w:hint="eastAsia"/>
                      <w:color w:val="auto"/>
                      <w:highlight w:val="none"/>
                    </w:rPr>
                  </w:pPr>
                  <w:r>
                    <w:rPr>
                      <w:rFonts w:hint="eastAsia"/>
                      <w:color w:val="auto"/>
                      <w:highlight w:val="none"/>
                    </w:rPr>
                    <w:t>2.推动九龙西城新能源、装备制造、新材料等产业往下游延伸</w:t>
                  </w:r>
                  <w:r>
                    <w:rPr>
                      <w:rFonts w:hint="eastAsia"/>
                      <w:color w:val="auto"/>
                      <w:highlight w:val="none"/>
                      <w:lang w:eastAsia="zh-CN"/>
                    </w:rPr>
                    <w:t>；</w:t>
                  </w:r>
                  <w:r>
                    <w:rPr>
                      <w:rFonts w:hint="eastAsia"/>
                      <w:color w:val="auto"/>
                      <w:highlight w:val="none"/>
                    </w:rPr>
                    <w:t>西彭工业园区禁止新建、扩建木质家具制造、报废汽车拆解、平板玻璃制造工业项目。</w:t>
                  </w:r>
                </w:p>
              </w:tc>
              <w:tc>
                <w:tcPr>
                  <w:tcW w:w="851" w:type="pct"/>
                  <w:tcMar>
                    <w:top w:w="57" w:type="dxa"/>
                    <w:left w:w="28" w:type="dxa"/>
                    <w:bottom w:w="57" w:type="dxa"/>
                    <w:right w:w="28" w:type="dxa"/>
                  </w:tcMar>
                  <w:vAlign w:val="center"/>
                </w:tcPr>
                <w:p w14:paraId="65F13DE0">
                  <w:pPr>
                    <w:pStyle w:val="20"/>
                    <w:bidi w:val="0"/>
                    <w:jc w:val="both"/>
                    <w:rPr>
                      <w:rFonts w:hint="eastAsia" w:eastAsia="宋体"/>
                      <w:color w:val="auto"/>
                      <w:highlight w:val="none"/>
                      <w:lang w:val="en-US" w:eastAsia="zh-CN"/>
                    </w:rPr>
                  </w:pPr>
                  <w:r>
                    <w:rPr>
                      <w:rFonts w:hint="eastAsia"/>
                      <w:color w:val="auto"/>
                      <w:highlight w:val="none"/>
                      <w:lang w:val="en-US" w:eastAsia="zh-CN"/>
                    </w:rPr>
                    <w:t>不涉及。</w:t>
                  </w:r>
                </w:p>
              </w:tc>
              <w:tc>
                <w:tcPr>
                  <w:tcW w:w="311" w:type="pct"/>
                  <w:tcMar>
                    <w:top w:w="57" w:type="dxa"/>
                    <w:left w:w="28" w:type="dxa"/>
                    <w:bottom w:w="57" w:type="dxa"/>
                    <w:right w:w="28" w:type="dxa"/>
                  </w:tcMar>
                  <w:vAlign w:val="center"/>
                </w:tcPr>
                <w:p w14:paraId="47133475">
                  <w:pPr>
                    <w:pStyle w:val="20"/>
                    <w:bidi w:val="0"/>
                    <w:rPr>
                      <w:rFonts w:hint="eastAsia"/>
                      <w:color w:val="auto"/>
                      <w:highlight w:val="none"/>
                    </w:rPr>
                  </w:pPr>
                  <w:r>
                    <w:rPr>
                      <w:rFonts w:hint="eastAsia"/>
                      <w:color w:val="auto"/>
                      <w:highlight w:val="none"/>
                    </w:rPr>
                    <w:t>符合</w:t>
                  </w:r>
                </w:p>
              </w:tc>
            </w:tr>
            <w:tr w14:paraId="40128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76E88627">
                  <w:pPr>
                    <w:pStyle w:val="20"/>
                    <w:bidi w:val="0"/>
                    <w:rPr>
                      <w:color w:val="auto"/>
                      <w:highlight w:val="none"/>
                    </w:rPr>
                  </w:pPr>
                </w:p>
              </w:tc>
              <w:tc>
                <w:tcPr>
                  <w:tcW w:w="418" w:type="pct"/>
                  <w:vMerge w:val="continue"/>
                  <w:tcMar>
                    <w:top w:w="57" w:type="dxa"/>
                    <w:left w:w="28" w:type="dxa"/>
                    <w:bottom w:w="57" w:type="dxa"/>
                    <w:right w:w="28" w:type="dxa"/>
                  </w:tcMar>
                  <w:vAlign w:val="center"/>
                </w:tcPr>
                <w:p w14:paraId="76291F51">
                  <w:pPr>
                    <w:pStyle w:val="20"/>
                    <w:bidi w:val="0"/>
                    <w:rPr>
                      <w:color w:val="auto"/>
                      <w:highlight w:val="none"/>
                    </w:rPr>
                  </w:pPr>
                </w:p>
              </w:tc>
              <w:tc>
                <w:tcPr>
                  <w:tcW w:w="2908" w:type="pct"/>
                  <w:tcMar>
                    <w:top w:w="57" w:type="dxa"/>
                    <w:left w:w="28" w:type="dxa"/>
                    <w:bottom w:w="57" w:type="dxa"/>
                    <w:right w:w="28" w:type="dxa"/>
                  </w:tcMar>
                  <w:vAlign w:val="center"/>
                </w:tcPr>
                <w:p w14:paraId="1F6B13B2">
                  <w:pPr>
                    <w:pStyle w:val="20"/>
                    <w:bidi w:val="0"/>
                    <w:jc w:val="both"/>
                    <w:rPr>
                      <w:rFonts w:hint="eastAsia"/>
                      <w:color w:val="auto"/>
                      <w:highlight w:val="none"/>
                    </w:rPr>
                  </w:pPr>
                  <w:r>
                    <w:rPr>
                      <w:rFonts w:hint="eastAsia"/>
                      <w:color w:val="auto"/>
                      <w:highlight w:val="none"/>
                    </w:rPr>
                    <w:t>3.重庆奇爽实业</w:t>
                  </w:r>
                  <w:r>
                    <w:rPr>
                      <w:rFonts w:hint="eastAsia"/>
                      <w:color w:val="auto"/>
                      <w:highlight w:val="none"/>
                      <w:lang w:eastAsia="zh-CN"/>
                    </w:rPr>
                    <w:t>（</w:t>
                  </w:r>
                  <w:r>
                    <w:rPr>
                      <w:rFonts w:hint="eastAsia"/>
                      <w:color w:val="auto"/>
                      <w:highlight w:val="none"/>
                    </w:rPr>
                    <w:t>集团</w:t>
                  </w:r>
                  <w:r>
                    <w:rPr>
                      <w:rFonts w:hint="eastAsia"/>
                      <w:color w:val="auto"/>
                      <w:highlight w:val="none"/>
                      <w:lang w:eastAsia="zh-CN"/>
                    </w:rPr>
                    <w:t>）</w:t>
                  </w:r>
                  <w:r>
                    <w:rPr>
                      <w:rFonts w:hint="eastAsia"/>
                      <w:color w:val="auto"/>
                      <w:highlight w:val="none"/>
                    </w:rPr>
                    <w:t>有限公司、红蜻蜓</w:t>
                  </w:r>
                  <w:r>
                    <w:rPr>
                      <w:rFonts w:hint="eastAsia"/>
                      <w:color w:val="auto"/>
                      <w:highlight w:val="none"/>
                      <w:lang w:eastAsia="zh-CN"/>
                    </w:rPr>
                    <w:t>（</w:t>
                  </w:r>
                  <w:r>
                    <w:rPr>
                      <w:rFonts w:hint="eastAsia"/>
                      <w:color w:val="auto"/>
                      <w:highlight w:val="none"/>
                    </w:rPr>
                    <w:t>重庆</w:t>
                  </w:r>
                  <w:r>
                    <w:rPr>
                      <w:rFonts w:hint="eastAsia"/>
                      <w:color w:val="auto"/>
                      <w:highlight w:val="none"/>
                      <w:lang w:eastAsia="zh-CN"/>
                    </w:rPr>
                    <w:t>）</w:t>
                  </w:r>
                  <w:r>
                    <w:rPr>
                      <w:rFonts w:hint="eastAsia"/>
                      <w:color w:val="auto"/>
                      <w:highlight w:val="none"/>
                    </w:rPr>
                    <w:t>植物油脂有限公司、重庆小可食品有限公司、重庆豆奇食品有限公司不再扩大用地规模、不新增污染物排放。</w:t>
                  </w:r>
                </w:p>
              </w:tc>
              <w:tc>
                <w:tcPr>
                  <w:tcW w:w="851" w:type="pct"/>
                  <w:tcMar>
                    <w:top w:w="57" w:type="dxa"/>
                    <w:left w:w="28" w:type="dxa"/>
                    <w:bottom w:w="57" w:type="dxa"/>
                    <w:right w:w="28" w:type="dxa"/>
                  </w:tcMar>
                  <w:vAlign w:val="center"/>
                </w:tcPr>
                <w:p w14:paraId="61B0AA57">
                  <w:pPr>
                    <w:pStyle w:val="20"/>
                    <w:bidi w:val="0"/>
                    <w:jc w:val="both"/>
                    <w:rPr>
                      <w:rFonts w:hint="eastAsia" w:eastAsia="宋体"/>
                      <w:color w:val="auto"/>
                      <w:highlight w:val="none"/>
                      <w:lang w:val="en-US" w:eastAsia="zh-CN"/>
                    </w:rPr>
                  </w:pPr>
                  <w:r>
                    <w:rPr>
                      <w:rFonts w:hint="eastAsia"/>
                      <w:color w:val="auto"/>
                      <w:highlight w:val="none"/>
                      <w:lang w:val="en-US" w:eastAsia="zh-CN"/>
                    </w:rPr>
                    <w:t>不涉及。</w:t>
                  </w:r>
                </w:p>
              </w:tc>
              <w:tc>
                <w:tcPr>
                  <w:tcW w:w="311" w:type="pct"/>
                  <w:tcMar>
                    <w:top w:w="57" w:type="dxa"/>
                    <w:left w:w="28" w:type="dxa"/>
                    <w:bottom w:w="57" w:type="dxa"/>
                    <w:right w:w="28" w:type="dxa"/>
                  </w:tcMar>
                  <w:vAlign w:val="center"/>
                </w:tcPr>
                <w:p w14:paraId="5185522B">
                  <w:pPr>
                    <w:pStyle w:val="20"/>
                    <w:bidi w:val="0"/>
                    <w:rPr>
                      <w:rFonts w:hint="eastAsia"/>
                      <w:color w:val="auto"/>
                      <w:highlight w:val="none"/>
                    </w:rPr>
                  </w:pPr>
                  <w:r>
                    <w:rPr>
                      <w:rFonts w:hint="eastAsia"/>
                      <w:color w:val="auto"/>
                      <w:highlight w:val="none"/>
                    </w:rPr>
                    <w:t>符合</w:t>
                  </w:r>
                </w:p>
              </w:tc>
            </w:tr>
            <w:tr w14:paraId="37A6A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3817E3A9">
                  <w:pPr>
                    <w:pStyle w:val="20"/>
                    <w:bidi w:val="0"/>
                    <w:rPr>
                      <w:color w:val="auto"/>
                      <w:highlight w:val="none"/>
                    </w:rPr>
                  </w:pPr>
                </w:p>
              </w:tc>
              <w:tc>
                <w:tcPr>
                  <w:tcW w:w="418" w:type="pct"/>
                  <w:vMerge w:val="restart"/>
                  <w:tcMar>
                    <w:top w:w="57" w:type="dxa"/>
                    <w:left w:w="28" w:type="dxa"/>
                    <w:bottom w:w="57" w:type="dxa"/>
                    <w:right w:w="28" w:type="dxa"/>
                  </w:tcMar>
                  <w:vAlign w:val="center"/>
                </w:tcPr>
                <w:p w14:paraId="4281C6B4">
                  <w:pPr>
                    <w:pStyle w:val="20"/>
                    <w:bidi w:val="0"/>
                    <w:rPr>
                      <w:color w:val="auto"/>
                      <w:highlight w:val="none"/>
                    </w:rPr>
                  </w:pPr>
                  <w:r>
                    <w:rPr>
                      <w:rFonts w:hint="eastAsia"/>
                      <w:color w:val="auto"/>
                      <w:highlight w:val="none"/>
                    </w:rPr>
                    <w:t>污染物排放管控</w:t>
                  </w:r>
                </w:p>
              </w:tc>
              <w:tc>
                <w:tcPr>
                  <w:tcW w:w="2908" w:type="pct"/>
                  <w:tcMar>
                    <w:top w:w="57" w:type="dxa"/>
                    <w:left w:w="28" w:type="dxa"/>
                    <w:bottom w:w="57" w:type="dxa"/>
                    <w:right w:w="28" w:type="dxa"/>
                  </w:tcMar>
                  <w:vAlign w:val="center"/>
                </w:tcPr>
                <w:p w14:paraId="7954D167">
                  <w:pPr>
                    <w:pStyle w:val="20"/>
                    <w:bidi w:val="0"/>
                    <w:jc w:val="both"/>
                    <w:rPr>
                      <w:rFonts w:hint="eastAsia"/>
                      <w:color w:val="auto"/>
                      <w:highlight w:val="none"/>
                    </w:rPr>
                  </w:pPr>
                  <w:r>
                    <w:rPr>
                      <w:rFonts w:hint="eastAsia"/>
                      <w:color w:val="auto"/>
                      <w:highlight w:val="none"/>
                    </w:rPr>
                    <w:t>1.推动重点行业持续提升低</w:t>
                  </w:r>
                  <w:r>
                    <w:rPr>
                      <w:rFonts w:hint="eastAsia"/>
                      <w:color w:val="auto"/>
                      <w:highlight w:val="none"/>
                      <w:lang w:eastAsia="zh-CN"/>
                    </w:rPr>
                    <w:t>（</w:t>
                  </w:r>
                  <w:r>
                    <w:rPr>
                      <w:rFonts w:hint="eastAsia"/>
                      <w:color w:val="auto"/>
                      <w:highlight w:val="none"/>
                    </w:rPr>
                    <w:t>无</w:t>
                  </w:r>
                  <w:r>
                    <w:rPr>
                      <w:rFonts w:hint="eastAsia"/>
                      <w:color w:val="auto"/>
                      <w:highlight w:val="none"/>
                      <w:lang w:eastAsia="zh-CN"/>
                    </w:rPr>
                    <w:t>）</w:t>
                  </w:r>
                  <w:r>
                    <w:rPr>
                      <w:rFonts w:hint="eastAsia"/>
                      <w:color w:val="auto"/>
                      <w:highlight w:val="none"/>
                    </w:rPr>
                    <w:t>VOC</w:t>
                  </w:r>
                  <w:r>
                    <w:rPr>
                      <w:rFonts w:hint="eastAsia"/>
                      <w:color w:val="auto"/>
                      <w:highlight w:val="none"/>
                      <w:vertAlign w:val="subscript"/>
                      <w:lang w:val="en-US" w:eastAsia="zh-CN"/>
                    </w:rPr>
                    <w:t>S</w:t>
                  </w:r>
                  <w:r>
                    <w:rPr>
                      <w:rFonts w:hint="eastAsia"/>
                      <w:color w:val="auto"/>
                      <w:highlight w:val="none"/>
                    </w:rPr>
                    <w:t>含量、低反应活性的原辅材料替代比例，推进重点监管企业V</w:t>
                  </w:r>
                  <w:r>
                    <w:rPr>
                      <w:rFonts w:hint="eastAsia"/>
                      <w:color w:val="auto"/>
                      <w:highlight w:val="none"/>
                      <w:lang w:val="en-US" w:eastAsia="zh-CN"/>
                    </w:rPr>
                    <w:t>O</w:t>
                  </w:r>
                  <w:r>
                    <w:rPr>
                      <w:rFonts w:hint="eastAsia"/>
                      <w:color w:val="auto"/>
                      <w:highlight w:val="none"/>
                    </w:rPr>
                    <w:t>C</w:t>
                  </w:r>
                  <w:r>
                    <w:rPr>
                      <w:rFonts w:hint="eastAsia"/>
                      <w:color w:val="auto"/>
                      <w:highlight w:val="none"/>
                      <w:vertAlign w:val="subscript"/>
                      <w:lang w:val="en-US" w:eastAsia="zh-CN"/>
                    </w:rPr>
                    <w:t>S</w:t>
                  </w:r>
                  <w:r>
                    <w:rPr>
                      <w:rFonts w:hint="eastAsia"/>
                      <w:color w:val="auto"/>
                      <w:highlight w:val="none"/>
                    </w:rPr>
                    <w:t>综合整治，加强重点排污企业污染治理设施和在线监控建设和运维。</w:t>
                  </w:r>
                </w:p>
              </w:tc>
              <w:tc>
                <w:tcPr>
                  <w:tcW w:w="851" w:type="pct"/>
                  <w:tcMar>
                    <w:top w:w="57" w:type="dxa"/>
                    <w:left w:w="28" w:type="dxa"/>
                    <w:bottom w:w="57" w:type="dxa"/>
                    <w:right w:w="28" w:type="dxa"/>
                  </w:tcMar>
                  <w:vAlign w:val="center"/>
                </w:tcPr>
                <w:p w14:paraId="29566C70">
                  <w:pPr>
                    <w:pStyle w:val="20"/>
                    <w:bidi w:val="0"/>
                    <w:jc w:val="both"/>
                    <w:rPr>
                      <w:rFonts w:hint="eastAsia"/>
                      <w:color w:val="auto"/>
                      <w:highlight w:val="none"/>
                    </w:rPr>
                  </w:pPr>
                  <w:r>
                    <w:rPr>
                      <w:rFonts w:hint="eastAsia"/>
                      <w:color w:val="auto"/>
                      <w:highlight w:val="none"/>
                      <w:lang w:val="en-US" w:eastAsia="zh-CN"/>
                    </w:rPr>
                    <w:t>扩建项目</w:t>
                  </w:r>
                  <w:r>
                    <w:rPr>
                      <w:rFonts w:hint="eastAsia"/>
                      <w:color w:val="auto"/>
                      <w:szCs w:val="21"/>
                      <w:highlight w:val="none"/>
                      <w:lang w:bidi="ar"/>
                    </w:rPr>
                    <w:t>不属于重点行业</w:t>
                  </w:r>
                </w:p>
              </w:tc>
              <w:tc>
                <w:tcPr>
                  <w:tcW w:w="311" w:type="pct"/>
                  <w:tcMar>
                    <w:top w:w="57" w:type="dxa"/>
                    <w:left w:w="28" w:type="dxa"/>
                    <w:bottom w:w="57" w:type="dxa"/>
                    <w:right w:w="28" w:type="dxa"/>
                  </w:tcMar>
                  <w:vAlign w:val="center"/>
                </w:tcPr>
                <w:p w14:paraId="683D79B2">
                  <w:pPr>
                    <w:pStyle w:val="20"/>
                    <w:bidi w:val="0"/>
                    <w:rPr>
                      <w:rFonts w:hint="eastAsia"/>
                      <w:color w:val="auto"/>
                      <w:highlight w:val="none"/>
                    </w:rPr>
                  </w:pPr>
                  <w:r>
                    <w:rPr>
                      <w:rFonts w:hint="eastAsia"/>
                      <w:color w:val="auto"/>
                      <w:highlight w:val="none"/>
                    </w:rPr>
                    <w:t>符合</w:t>
                  </w:r>
                </w:p>
              </w:tc>
            </w:tr>
            <w:tr w14:paraId="185CB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47B459C2">
                  <w:pPr>
                    <w:pStyle w:val="20"/>
                    <w:bidi w:val="0"/>
                    <w:rPr>
                      <w:color w:val="auto"/>
                      <w:highlight w:val="none"/>
                    </w:rPr>
                  </w:pPr>
                </w:p>
              </w:tc>
              <w:tc>
                <w:tcPr>
                  <w:tcW w:w="418" w:type="pct"/>
                  <w:vMerge w:val="continue"/>
                  <w:tcMar>
                    <w:top w:w="57" w:type="dxa"/>
                    <w:left w:w="28" w:type="dxa"/>
                    <w:bottom w:w="57" w:type="dxa"/>
                    <w:right w:w="28" w:type="dxa"/>
                  </w:tcMar>
                  <w:vAlign w:val="center"/>
                </w:tcPr>
                <w:p w14:paraId="1B97AA05">
                  <w:pPr>
                    <w:pStyle w:val="20"/>
                    <w:bidi w:val="0"/>
                    <w:rPr>
                      <w:color w:val="auto"/>
                      <w:highlight w:val="none"/>
                    </w:rPr>
                  </w:pPr>
                </w:p>
              </w:tc>
              <w:tc>
                <w:tcPr>
                  <w:tcW w:w="2908" w:type="pct"/>
                  <w:tcMar>
                    <w:top w:w="57" w:type="dxa"/>
                    <w:left w:w="28" w:type="dxa"/>
                    <w:bottom w:w="57" w:type="dxa"/>
                    <w:right w:w="28" w:type="dxa"/>
                  </w:tcMar>
                  <w:vAlign w:val="center"/>
                </w:tcPr>
                <w:p w14:paraId="478AB9D1">
                  <w:pPr>
                    <w:pStyle w:val="20"/>
                    <w:bidi w:val="0"/>
                    <w:jc w:val="both"/>
                    <w:rPr>
                      <w:rFonts w:hint="eastAsia"/>
                      <w:color w:val="auto"/>
                      <w:highlight w:val="none"/>
                    </w:rPr>
                  </w:pPr>
                  <w:r>
                    <w:rPr>
                      <w:rFonts w:hint="eastAsia"/>
                      <w:color w:val="auto"/>
                      <w:highlight w:val="none"/>
                    </w:rPr>
                    <w:t>2.推进西彭工业园区污水处理厂提标扩建工程。新改建铜罐驿沿江片区、西彭镇和陶家镇等区域污水管网，改造管网错混接点</w:t>
                  </w:r>
                  <w:r>
                    <w:rPr>
                      <w:rFonts w:hint="eastAsia"/>
                      <w:color w:val="auto"/>
                      <w:highlight w:val="none"/>
                      <w:lang w:eastAsia="zh-CN"/>
                    </w:rPr>
                    <w:t>；</w:t>
                  </w:r>
                  <w:r>
                    <w:rPr>
                      <w:rFonts w:hint="eastAsia"/>
                      <w:color w:val="auto"/>
                      <w:highlight w:val="none"/>
                    </w:rPr>
                    <w:t>推进铜罐驿污水处理厂配套管网建设工作。</w:t>
                  </w:r>
                </w:p>
              </w:tc>
              <w:tc>
                <w:tcPr>
                  <w:tcW w:w="851" w:type="pct"/>
                  <w:tcMar>
                    <w:top w:w="57" w:type="dxa"/>
                    <w:left w:w="28" w:type="dxa"/>
                    <w:bottom w:w="57" w:type="dxa"/>
                    <w:right w:w="28" w:type="dxa"/>
                  </w:tcMar>
                  <w:vAlign w:val="center"/>
                </w:tcPr>
                <w:p w14:paraId="02C43E25">
                  <w:pPr>
                    <w:pStyle w:val="20"/>
                    <w:bidi w:val="0"/>
                    <w:jc w:val="both"/>
                    <w:rPr>
                      <w:rFonts w:hint="eastAsia" w:eastAsia="宋体"/>
                      <w:color w:val="auto"/>
                      <w:highlight w:val="none"/>
                      <w:lang w:val="en-US" w:eastAsia="zh-CN"/>
                    </w:rPr>
                  </w:pPr>
                  <w:r>
                    <w:rPr>
                      <w:rFonts w:hint="eastAsia"/>
                      <w:color w:val="auto"/>
                      <w:highlight w:val="none"/>
                      <w:lang w:val="en-US" w:eastAsia="zh-CN"/>
                    </w:rPr>
                    <w:t>不涉及。</w:t>
                  </w:r>
                </w:p>
              </w:tc>
              <w:tc>
                <w:tcPr>
                  <w:tcW w:w="311" w:type="pct"/>
                  <w:tcMar>
                    <w:top w:w="57" w:type="dxa"/>
                    <w:left w:w="28" w:type="dxa"/>
                    <w:bottom w:w="57" w:type="dxa"/>
                    <w:right w:w="28" w:type="dxa"/>
                  </w:tcMar>
                  <w:vAlign w:val="center"/>
                </w:tcPr>
                <w:p w14:paraId="27DD412C">
                  <w:pPr>
                    <w:pStyle w:val="20"/>
                    <w:bidi w:val="0"/>
                    <w:rPr>
                      <w:rFonts w:hint="eastAsia"/>
                      <w:color w:val="auto"/>
                      <w:highlight w:val="none"/>
                    </w:rPr>
                  </w:pPr>
                  <w:r>
                    <w:rPr>
                      <w:rFonts w:hint="eastAsia"/>
                      <w:color w:val="auto"/>
                      <w:highlight w:val="none"/>
                    </w:rPr>
                    <w:t>符合</w:t>
                  </w:r>
                </w:p>
              </w:tc>
            </w:tr>
            <w:tr w14:paraId="28B3A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6C125DF4">
                  <w:pPr>
                    <w:pStyle w:val="20"/>
                    <w:bidi w:val="0"/>
                    <w:rPr>
                      <w:color w:val="auto"/>
                      <w:highlight w:val="none"/>
                    </w:rPr>
                  </w:pPr>
                </w:p>
              </w:tc>
              <w:tc>
                <w:tcPr>
                  <w:tcW w:w="418" w:type="pct"/>
                  <w:vMerge w:val="continue"/>
                  <w:tcMar>
                    <w:top w:w="57" w:type="dxa"/>
                    <w:left w:w="28" w:type="dxa"/>
                    <w:bottom w:w="57" w:type="dxa"/>
                    <w:right w:w="28" w:type="dxa"/>
                  </w:tcMar>
                  <w:vAlign w:val="center"/>
                </w:tcPr>
                <w:p w14:paraId="1869E38D">
                  <w:pPr>
                    <w:pStyle w:val="20"/>
                    <w:bidi w:val="0"/>
                    <w:rPr>
                      <w:color w:val="auto"/>
                      <w:highlight w:val="none"/>
                    </w:rPr>
                  </w:pPr>
                </w:p>
              </w:tc>
              <w:tc>
                <w:tcPr>
                  <w:tcW w:w="2908" w:type="pct"/>
                  <w:tcMar>
                    <w:top w:w="57" w:type="dxa"/>
                    <w:left w:w="28" w:type="dxa"/>
                    <w:bottom w:w="57" w:type="dxa"/>
                    <w:right w:w="28" w:type="dxa"/>
                  </w:tcMar>
                  <w:vAlign w:val="center"/>
                </w:tcPr>
                <w:p w14:paraId="3E183186">
                  <w:pPr>
                    <w:pStyle w:val="20"/>
                    <w:bidi w:val="0"/>
                    <w:jc w:val="both"/>
                    <w:rPr>
                      <w:rFonts w:hint="eastAsia"/>
                      <w:color w:val="auto"/>
                      <w:highlight w:val="none"/>
                    </w:rPr>
                  </w:pPr>
                  <w:r>
                    <w:rPr>
                      <w:rFonts w:hint="eastAsia"/>
                      <w:color w:val="auto"/>
                      <w:highlight w:val="none"/>
                    </w:rPr>
                    <w:t>3.加快淘汰国三及以下排放标准柴油车、汽油车，以运输企业和用车大户为重点，建立车辆档案并制定淘汰计划。大力推广新能源车，推广公交车、出租车、网约车等公共领域用车纯电动化，机关单位示范带动新能源车使用，推进充电站等新能源汽车充换电及加氢配套基础设施建设。加快发展城市轨道交通、智能交通和慢行交通，加快建设滨江步道，鼓励绿色出行。</w:t>
                  </w:r>
                </w:p>
              </w:tc>
              <w:tc>
                <w:tcPr>
                  <w:tcW w:w="851" w:type="pct"/>
                  <w:tcMar>
                    <w:top w:w="57" w:type="dxa"/>
                    <w:left w:w="28" w:type="dxa"/>
                    <w:bottom w:w="57" w:type="dxa"/>
                    <w:right w:w="28" w:type="dxa"/>
                  </w:tcMar>
                  <w:vAlign w:val="center"/>
                </w:tcPr>
                <w:p w14:paraId="4149FC49">
                  <w:pPr>
                    <w:pStyle w:val="20"/>
                    <w:bidi w:val="0"/>
                    <w:jc w:val="both"/>
                    <w:rPr>
                      <w:rFonts w:hint="eastAsia"/>
                      <w:color w:val="auto"/>
                      <w:highlight w:val="none"/>
                    </w:rPr>
                  </w:pPr>
                  <w:r>
                    <w:rPr>
                      <w:rFonts w:hint="eastAsia"/>
                      <w:color w:val="auto"/>
                      <w:highlight w:val="none"/>
                      <w:lang w:val="en-US" w:eastAsia="zh-CN"/>
                    </w:rPr>
                    <w:t>不涉及。</w:t>
                  </w:r>
                </w:p>
              </w:tc>
              <w:tc>
                <w:tcPr>
                  <w:tcW w:w="311" w:type="pct"/>
                  <w:tcMar>
                    <w:top w:w="57" w:type="dxa"/>
                    <w:left w:w="28" w:type="dxa"/>
                    <w:bottom w:w="57" w:type="dxa"/>
                    <w:right w:w="28" w:type="dxa"/>
                  </w:tcMar>
                  <w:vAlign w:val="center"/>
                </w:tcPr>
                <w:p w14:paraId="529623B8">
                  <w:pPr>
                    <w:pStyle w:val="20"/>
                    <w:bidi w:val="0"/>
                    <w:rPr>
                      <w:rFonts w:hint="eastAsia"/>
                      <w:color w:val="auto"/>
                      <w:highlight w:val="none"/>
                    </w:rPr>
                  </w:pPr>
                  <w:r>
                    <w:rPr>
                      <w:rFonts w:hint="eastAsia"/>
                      <w:color w:val="auto"/>
                      <w:highlight w:val="none"/>
                    </w:rPr>
                    <w:t>符合</w:t>
                  </w:r>
                </w:p>
              </w:tc>
            </w:tr>
            <w:tr w14:paraId="6435B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0C2F1206">
                  <w:pPr>
                    <w:pStyle w:val="20"/>
                    <w:bidi w:val="0"/>
                    <w:rPr>
                      <w:color w:val="auto"/>
                      <w:highlight w:val="none"/>
                    </w:rPr>
                  </w:pPr>
                </w:p>
              </w:tc>
              <w:tc>
                <w:tcPr>
                  <w:tcW w:w="418" w:type="pct"/>
                  <w:vMerge w:val="continue"/>
                  <w:tcMar>
                    <w:top w:w="57" w:type="dxa"/>
                    <w:left w:w="28" w:type="dxa"/>
                    <w:bottom w:w="57" w:type="dxa"/>
                    <w:right w:w="28" w:type="dxa"/>
                  </w:tcMar>
                  <w:vAlign w:val="center"/>
                </w:tcPr>
                <w:p w14:paraId="78FFA4B2">
                  <w:pPr>
                    <w:pStyle w:val="20"/>
                    <w:bidi w:val="0"/>
                    <w:rPr>
                      <w:color w:val="auto"/>
                      <w:highlight w:val="none"/>
                    </w:rPr>
                  </w:pPr>
                </w:p>
              </w:tc>
              <w:tc>
                <w:tcPr>
                  <w:tcW w:w="2908" w:type="pct"/>
                  <w:tcMar>
                    <w:top w:w="57" w:type="dxa"/>
                    <w:left w:w="28" w:type="dxa"/>
                    <w:bottom w:w="57" w:type="dxa"/>
                    <w:right w:w="28" w:type="dxa"/>
                  </w:tcMar>
                  <w:vAlign w:val="center"/>
                </w:tcPr>
                <w:p w14:paraId="45C24EA1">
                  <w:pPr>
                    <w:pStyle w:val="20"/>
                    <w:bidi w:val="0"/>
                    <w:jc w:val="both"/>
                    <w:rPr>
                      <w:rFonts w:hint="eastAsia"/>
                      <w:color w:val="auto"/>
                      <w:highlight w:val="none"/>
                    </w:rPr>
                  </w:pPr>
                  <w:r>
                    <w:rPr>
                      <w:rFonts w:hint="eastAsia"/>
                      <w:color w:val="auto"/>
                      <w:highlight w:val="none"/>
                    </w:rPr>
                    <w:t>4.加强施工扬尘监管，逐步推进建筑面积2万平方米以上的工地安装在线监控系统。</w:t>
                  </w:r>
                </w:p>
              </w:tc>
              <w:tc>
                <w:tcPr>
                  <w:tcW w:w="851" w:type="pct"/>
                  <w:tcMar>
                    <w:top w:w="57" w:type="dxa"/>
                    <w:left w:w="28" w:type="dxa"/>
                    <w:bottom w:w="57" w:type="dxa"/>
                    <w:right w:w="28" w:type="dxa"/>
                  </w:tcMar>
                  <w:vAlign w:val="center"/>
                </w:tcPr>
                <w:p w14:paraId="24200F58">
                  <w:pPr>
                    <w:pStyle w:val="20"/>
                    <w:bidi w:val="0"/>
                    <w:jc w:val="both"/>
                    <w:rPr>
                      <w:rFonts w:hint="eastAsia"/>
                      <w:color w:val="auto"/>
                      <w:highlight w:val="none"/>
                    </w:rPr>
                  </w:pPr>
                  <w:r>
                    <w:rPr>
                      <w:rFonts w:hint="eastAsia"/>
                      <w:color w:val="auto"/>
                      <w:highlight w:val="none"/>
                      <w:lang w:val="en-US" w:eastAsia="zh-CN"/>
                    </w:rPr>
                    <w:t>不涉及。</w:t>
                  </w:r>
                </w:p>
              </w:tc>
              <w:tc>
                <w:tcPr>
                  <w:tcW w:w="311" w:type="pct"/>
                  <w:tcMar>
                    <w:top w:w="57" w:type="dxa"/>
                    <w:left w:w="28" w:type="dxa"/>
                    <w:bottom w:w="57" w:type="dxa"/>
                    <w:right w:w="28" w:type="dxa"/>
                  </w:tcMar>
                  <w:vAlign w:val="center"/>
                </w:tcPr>
                <w:p w14:paraId="03B802A7">
                  <w:pPr>
                    <w:pStyle w:val="20"/>
                    <w:bidi w:val="0"/>
                    <w:rPr>
                      <w:rFonts w:hint="eastAsia"/>
                      <w:color w:val="auto"/>
                      <w:highlight w:val="none"/>
                    </w:rPr>
                  </w:pPr>
                  <w:r>
                    <w:rPr>
                      <w:rFonts w:hint="eastAsia"/>
                      <w:color w:val="auto"/>
                      <w:highlight w:val="none"/>
                    </w:rPr>
                    <w:t>符合</w:t>
                  </w:r>
                </w:p>
              </w:tc>
            </w:tr>
            <w:tr w14:paraId="11A3D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48E618E0">
                  <w:pPr>
                    <w:pStyle w:val="20"/>
                    <w:bidi w:val="0"/>
                    <w:rPr>
                      <w:color w:val="auto"/>
                      <w:highlight w:val="none"/>
                    </w:rPr>
                  </w:pPr>
                </w:p>
              </w:tc>
              <w:tc>
                <w:tcPr>
                  <w:tcW w:w="418" w:type="pct"/>
                  <w:vMerge w:val="restart"/>
                  <w:tcMar>
                    <w:top w:w="57" w:type="dxa"/>
                    <w:left w:w="28" w:type="dxa"/>
                    <w:bottom w:w="57" w:type="dxa"/>
                    <w:right w:w="28" w:type="dxa"/>
                  </w:tcMar>
                  <w:vAlign w:val="center"/>
                </w:tcPr>
                <w:p w14:paraId="362EBE88">
                  <w:pPr>
                    <w:pStyle w:val="20"/>
                    <w:bidi w:val="0"/>
                    <w:rPr>
                      <w:color w:val="auto"/>
                      <w:highlight w:val="none"/>
                    </w:rPr>
                  </w:pPr>
                  <w:r>
                    <w:rPr>
                      <w:rFonts w:hint="eastAsia"/>
                      <w:color w:val="auto"/>
                      <w:highlight w:val="none"/>
                    </w:rPr>
                    <w:t>环境风险防控</w:t>
                  </w:r>
                </w:p>
              </w:tc>
              <w:tc>
                <w:tcPr>
                  <w:tcW w:w="2908" w:type="pct"/>
                  <w:tcMar>
                    <w:top w:w="57" w:type="dxa"/>
                    <w:left w:w="28" w:type="dxa"/>
                    <w:bottom w:w="57" w:type="dxa"/>
                    <w:right w:w="28" w:type="dxa"/>
                  </w:tcMar>
                  <w:vAlign w:val="center"/>
                </w:tcPr>
                <w:p w14:paraId="75CD8ACC">
                  <w:pPr>
                    <w:pStyle w:val="20"/>
                    <w:bidi w:val="0"/>
                    <w:jc w:val="both"/>
                    <w:rPr>
                      <w:rFonts w:hint="eastAsia"/>
                      <w:color w:val="auto"/>
                      <w:highlight w:val="none"/>
                    </w:rPr>
                  </w:pPr>
                  <w:r>
                    <w:rPr>
                      <w:rFonts w:hint="eastAsia"/>
                      <w:color w:val="auto"/>
                      <w:highlight w:val="none"/>
                    </w:rPr>
                    <w:t>1.西彭组团和铜罐驿组团沿江1km范围内规划仓储用地禁止新引入从事危险化学品储存、运输的仓储物流项目。</w:t>
                  </w:r>
                </w:p>
              </w:tc>
              <w:tc>
                <w:tcPr>
                  <w:tcW w:w="851" w:type="pct"/>
                  <w:tcMar>
                    <w:top w:w="57" w:type="dxa"/>
                    <w:left w:w="28" w:type="dxa"/>
                    <w:bottom w:w="57" w:type="dxa"/>
                    <w:right w:w="28" w:type="dxa"/>
                  </w:tcMar>
                  <w:vAlign w:val="center"/>
                </w:tcPr>
                <w:p w14:paraId="258577CA">
                  <w:pPr>
                    <w:pStyle w:val="20"/>
                    <w:bidi w:val="0"/>
                    <w:jc w:val="both"/>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不涉及。</w:t>
                  </w:r>
                </w:p>
              </w:tc>
              <w:tc>
                <w:tcPr>
                  <w:tcW w:w="311" w:type="pct"/>
                  <w:tcMar>
                    <w:top w:w="57" w:type="dxa"/>
                    <w:left w:w="28" w:type="dxa"/>
                    <w:bottom w:w="57" w:type="dxa"/>
                    <w:right w:w="28" w:type="dxa"/>
                  </w:tcMar>
                  <w:vAlign w:val="center"/>
                </w:tcPr>
                <w:p w14:paraId="5BC6BF93">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符合</w:t>
                  </w:r>
                </w:p>
              </w:tc>
            </w:tr>
            <w:tr w14:paraId="616C6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56238D4E">
                  <w:pPr>
                    <w:pStyle w:val="20"/>
                    <w:bidi w:val="0"/>
                    <w:rPr>
                      <w:color w:val="auto"/>
                      <w:highlight w:val="none"/>
                    </w:rPr>
                  </w:pPr>
                </w:p>
              </w:tc>
              <w:tc>
                <w:tcPr>
                  <w:tcW w:w="418" w:type="pct"/>
                  <w:vMerge w:val="continue"/>
                  <w:tcMar>
                    <w:top w:w="57" w:type="dxa"/>
                    <w:left w:w="28" w:type="dxa"/>
                    <w:bottom w:w="57" w:type="dxa"/>
                    <w:right w:w="28" w:type="dxa"/>
                  </w:tcMar>
                  <w:vAlign w:val="center"/>
                </w:tcPr>
                <w:p w14:paraId="166E9C6D">
                  <w:pPr>
                    <w:pStyle w:val="20"/>
                    <w:bidi w:val="0"/>
                    <w:rPr>
                      <w:color w:val="auto"/>
                      <w:highlight w:val="none"/>
                    </w:rPr>
                  </w:pPr>
                </w:p>
              </w:tc>
              <w:tc>
                <w:tcPr>
                  <w:tcW w:w="2908" w:type="pct"/>
                  <w:tcMar>
                    <w:top w:w="57" w:type="dxa"/>
                    <w:left w:w="28" w:type="dxa"/>
                    <w:bottom w:w="57" w:type="dxa"/>
                    <w:right w:w="28" w:type="dxa"/>
                  </w:tcMar>
                  <w:vAlign w:val="center"/>
                </w:tcPr>
                <w:p w14:paraId="5F210B79">
                  <w:pPr>
                    <w:pStyle w:val="20"/>
                    <w:bidi w:val="0"/>
                    <w:jc w:val="both"/>
                    <w:rPr>
                      <w:rFonts w:hint="eastAsia"/>
                      <w:color w:val="auto"/>
                      <w:highlight w:val="none"/>
                    </w:rPr>
                  </w:pPr>
                  <w:r>
                    <w:rPr>
                      <w:rFonts w:hint="eastAsia"/>
                      <w:color w:val="auto"/>
                      <w:highlight w:val="none"/>
                    </w:rPr>
                    <w:t>2.禁止新建、扩建化工项目。</w:t>
                  </w:r>
                </w:p>
              </w:tc>
              <w:tc>
                <w:tcPr>
                  <w:tcW w:w="851" w:type="pct"/>
                  <w:tcMar>
                    <w:top w:w="57" w:type="dxa"/>
                    <w:left w:w="28" w:type="dxa"/>
                    <w:bottom w:w="57" w:type="dxa"/>
                    <w:right w:w="28" w:type="dxa"/>
                  </w:tcMar>
                  <w:vAlign w:val="center"/>
                </w:tcPr>
                <w:p w14:paraId="5389E06F">
                  <w:pPr>
                    <w:pStyle w:val="20"/>
                    <w:bidi w:val="0"/>
                    <w:jc w:val="both"/>
                    <w:rPr>
                      <w:rFonts w:hint="default" w:eastAsia="宋体"/>
                      <w:color w:val="auto"/>
                      <w:highlight w:val="none"/>
                      <w:lang w:val="en-US" w:eastAsia="zh-CN"/>
                    </w:rPr>
                  </w:pPr>
                  <w:r>
                    <w:rPr>
                      <w:rFonts w:hint="eastAsia"/>
                      <w:color w:val="auto"/>
                      <w:highlight w:val="none"/>
                      <w:lang w:val="en-US" w:eastAsia="zh-CN"/>
                    </w:rPr>
                    <w:t>项目不属于化工项目。</w:t>
                  </w:r>
                </w:p>
              </w:tc>
              <w:tc>
                <w:tcPr>
                  <w:tcW w:w="311" w:type="pct"/>
                  <w:tcMar>
                    <w:top w:w="57" w:type="dxa"/>
                    <w:left w:w="28" w:type="dxa"/>
                    <w:bottom w:w="57" w:type="dxa"/>
                    <w:right w:w="28" w:type="dxa"/>
                  </w:tcMar>
                  <w:vAlign w:val="center"/>
                </w:tcPr>
                <w:p w14:paraId="14A52D61">
                  <w:pPr>
                    <w:pStyle w:val="20"/>
                    <w:bidi w:val="0"/>
                    <w:rPr>
                      <w:rFonts w:hint="eastAsia"/>
                      <w:color w:val="auto"/>
                      <w:highlight w:val="none"/>
                    </w:rPr>
                  </w:pPr>
                  <w:r>
                    <w:rPr>
                      <w:rFonts w:hint="eastAsia"/>
                      <w:color w:val="auto"/>
                      <w:highlight w:val="none"/>
                    </w:rPr>
                    <w:t>符合</w:t>
                  </w:r>
                </w:p>
              </w:tc>
            </w:tr>
            <w:tr w14:paraId="10FD5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4B9CE08B">
                  <w:pPr>
                    <w:pStyle w:val="20"/>
                    <w:bidi w:val="0"/>
                    <w:rPr>
                      <w:color w:val="auto"/>
                      <w:highlight w:val="none"/>
                    </w:rPr>
                  </w:pPr>
                </w:p>
              </w:tc>
              <w:tc>
                <w:tcPr>
                  <w:tcW w:w="418" w:type="pct"/>
                  <w:vMerge w:val="continue"/>
                  <w:tcMar>
                    <w:top w:w="57" w:type="dxa"/>
                    <w:left w:w="28" w:type="dxa"/>
                    <w:bottom w:w="57" w:type="dxa"/>
                    <w:right w:w="28" w:type="dxa"/>
                  </w:tcMar>
                  <w:vAlign w:val="center"/>
                </w:tcPr>
                <w:p w14:paraId="7A804237">
                  <w:pPr>
                    <w:pStyle w:val="20"/>
                    <w:bidi w:val="0"/>
                    <w:rPr>
                      <w:color w:val="auto"/>
                      <w:highlight w:val="none"/>
                    </w:rPr>
                  </w:pPr>
                </w:p>
              </w:tc>
              <w:tc>
                <w:tcPr>
                  <w:tcW w:w="2908" w:type="pct"/>
                  <w:tcMar>
                    <w:top w:w="57" w:type="dxa"/>
                    <w:left w:w="28" w:type="dxa"/>
                    <w:bottom w:w="57" w:type="dxa"/>
                    <w:right w:w="28" w:type="dxa"/>
                  </w:tcMar>
                  <w:vAlign w:val="center"/>
                </w:tcPr>
                <w:p w14:paraId="6C7C6AA6">
                  <w:pPr>
                    <w:pStyle w:val="20"/>
                    <w:bidi w:val="0"/>
                    <w:jc w:val="both"/>
                    <w:rPr>
                      <w:rFonts w:hint="eastAsia"/>
                      <w:color w:val="auto"/>
                      <w:highlight w:val="none"/>
                    </w:rPr>
                  </w:pPr>
                  <w:r>
                    <w:rPr>
                      <w:rFonts w:hint="eastAsia"/>
                      <w:color w:val="auto"/>
                      <w:highlight w:val="none"/>
                    </w:rPr>
                    <w:t>3.推进铜罐驿组团金竹沟闸坝的修建。</w:t>
                  </w:r>
                </w:p>
              </w:tc>
              <w:tc>
                <w:tcPr>
                  <w:tcW w:w="851" w:type="pct"/>
                  <w:tcMar>
                    <w:top w:w="57" w:type="dxa"/>
                    <w:left w:w="28" w:type="dxa"/>
                    <w:bottom w:w="57" w:type="dxa"/>
                    <w:right w:w="28" w:type="dxa"/>
                  </w:tcMar>
                  <w:vAlign w:val="center"/>
                </w:tcPr>
                <w:p w14:paraId="29869B37">
                  <w:pPr>
                    <w:pStyle w:val="20"/>
                    <w:bidi w:val="0"/>
                    <w:jc w:val="both"/>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不涉及。</w:t>
                  </w:r>
                </w:p>
              </w:tc>
              <w:tc>
                <w:tcPr>
                  <w:tcW w:w="311" w:type="pct"/>
                  <w:tcMar>
                    <w:top w:w="57" w:type="dxa"/>
                    <w:left w:w="28" w:type="dxa"/>
                    <w:bottom w:w="57" w:type="dxa"/>
                    <w:right w:w="28" w:type="dxa"/>
                  </w:tcMar>
                  <w:vAlign w:val="center"/>
                </w:tcPr>
                <w:p w14:paraId="4CC851F9">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符合</w:t>
                  </w:r>
                </w:p>
              </w:tc>
            </w:tr>
            <w:tr w14:paraId="27886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4E0F5470">
                  <w:pPr>
                    <w:pStyle w:val="20"/>
                    <w:bidi w:val="0"/>
                    <w:rPr>
                      <w:color w:val="auto"/>
                      <w:highlight w:val="none"/>
                    </w:rPr>
                  </w:pPr>
                </w:p>
              </w:tc>
              <w:tc>
                <w:tcPr>
                  <w:tcW w:w="418" w:type="pct"/>
                  <w:vMerge w:val="continue"/>
                  <w:tcMar>
                    <w:top w:w="57" w:type="dxa"/>
                    <w:left w:w="28" w:type="dxa"/>
                    <w:bottom w:w="57" w:type="dxa"/>
                    <w:right w:w="28" w:type="dxa"/>
                  </w:tcMar>
                  <w:vAlign w:val="center"/>
                </w:tcPr>
                <w:p w14:paraId="4B4CAA31">
                  <w:pPr>
                    <w:pStyle w:val="20"/>
                    <w:bidi w:val="0"/>
                    <w:rPr>
                      <w:color w:val="auto"/>
                      <w:highlight w:val="none"/>
                    </w:rPr>
                  </w:pPr>
                </w:p>
              </w:tc>
              <w:tc>
                <w:tcPr>
                  <w:tcW w:w="2908" w:type="pct"/>
                  <w:tcMar>
                    <w:top w:w="57" w:type="dxa"/>
                    <w:left w:w="28" w:type="dxa"/>
                    <w:bottom w:w="57" w:type="dxa"/>
                    <w:right w:w="28" w:type="dxa"/>
                  </w:tcMar>
                  <w:vAlign w:val="center"/>
                </w:tcPr>
                <w:p w14:paraId="71BCDEAD">
                  <w:pPr>
                    <w:pStyle w:val="20"/>
                    <w:bidi w:val="0"/>
                    <w:jc w:val="both"/>
                    <w:rPr>
                      <w:rFonts w:hint="eastAsia"/>
                      <w:color w:val="auto"/>
                      <w:highlight w:val="none"/>
                    </w:rPr>
                  </w:pPr>
                  <w:r>
                    <w:rPr>
                      <w:rFonts w:hint="eastAsia"/>
                      <w:color w:val="auto"/>
                      <w:highlight w:val="none"/>
                    </w:rPr>
                    <w:t>4.西彭工业园区应与下游饮用水水源取水口运营单位建立水源地突发环境事件应急联动机制。</w:t>
                  </w:r>
                </w:p>
              </w:tc>
              <w:tc>
                <w:tcPr>
                  <w:tcW w:w="851" w:type="pct"/>
                  <w:tcMar>
                    <w:top w:w="57" w:type="dxa"/>
                    <w:left w:w="28" w:type="dxa"/>
                    <w:bottom w:w="57" w:type="dxa"/>
                    <w:right w:w="28" w:type="dxa"/>
                  </w:tcMar>
                  <w:vAlign w:val="center"/>
                </w:tcPr>
                <w:p w14:paraId="6585EB2F">
                  <w:pPr>
                    <w:pStyle w:val="20"/>
                    <w:bidi w:val="0"/>
                    <w:jc w:val="both"/>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不涉及。</w:t>
                  </w:r>
                </w:p>
              </w:tc>
              <w:tc>
                <w:tcPr>
                  <w:tcW w:w="311" w:type="pct"/>
                  <w:tcMar>
                    <w:top w:w="57" w:type="dxa"/>
                    <w:left w:w="28" w:type="dxa"/>
                    <w:bottom w:w="57" w:type="dxa"/>
                    <w:right w:w="28" w:type="dxa"/>
                  </w:tcMar>
                  <w:vAlign w:val="center"/>
                </w:tcPr>
                <w:p w14:paraId="672273C8">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符合</w:t>
                  </w:r>
                </w:p>
              </w:tc>
            </w:tr>
            <w:tr w14:paraId="32C63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0B7C3159">
                  <w:pPr>
                    <w:pStyle w:val="20"/>
                    <w:bidi w:val="0"/>
                    <w:rPr>
                      <w:color w:val="auto"/>
                      <w:highlight w:val="none"/>
                    </w:rPr>
                  </w:pPr>
                </w:p>
              </w:tc>
              <w:tc>
                <w:tcPr>
                  <w:tcW w:w="418" w:type="pct"/>
                  <w:vMerge w:val="continue"/>
                  <w:tcMar>
                    <w:top w:w="57" w:type="dxa"/>
                    <w:left w:w="28" w:type="dxa"/>
                    <w:bottom w:w="57" w:type="dxa"/>
                    <w:right w:w="28" w:type="dxa"/>
                  </w:tcMar>
                  <w:vAlign w:val="center"/>
                </w:tcPr>
                <w:p w14:paraId="168DADCA">
                  <w:pPr>
                    <w:pStyle w:val="20"/>
                    <w:bidi w:val="0"/>
                    <w:rPr>
                      <w:color w:val="auto"/>
                      <w:highlight w:val="none"/>
                    </w:rPr>
                  </w:pPr>
                </w:p>
              </w:tc>
              <w:tc>
                <w:tcPr>
                  <w:tcW w:w="2908" w:type="pct"/>
                  <w:tcMar>
                    <w:top w:w="57" w:type="dxa"/>
                    <w:left w:w="28" w:type="dxa"/>
                    <w:bottom w:w="57" w:type="dxa"/>
                    <w:right w:w="28" w:type="dxa"/>
                  </w:tcMar>
                  <w:vAlign w:val="center"/>
                </w:tcPr>
                <w:p w14:paraId="54D9E045">
                  <w:pPr>
                    <w:pStyle w:val="20"/>
                    <w:bidi w:val="0"/>
                    <w:jc w:val="both"/>
                    <w:rPr>
                      <w:rFonts w:hint="eastAsia"/>
                      <w:color w:val="auto"/>
                      <w:highlight w:val="none"/>
                    </w:rPr>
                  </w:pPr>
                  <w:r>
                    <w:rPr>
                      <w:rFonts w:hint="eastAsia"/>
                      <w:color w:val="auto"/>
                      <w:highlight w:val="none"/>
                    </w:rPr>
                    <w:t>5.禁止新建、扩建排放废水含有五类重金属</w:t>
                  </w:r>
                  <w:r>
                    <w:rPr>
                      <w:rFonts w:hint="eastAsia"/>
                      <w:color w:val="auto"/>
                      <w:highlight w:val="none"/>
                      <w:lang w:eastAsia="zh-CN"/>
                    </w:rPr>
                    <w:t>（</w:t>
                  </w:r>
                  <w:r>
                    <w:rPr>
                      <w:rFonts w:hint="eastAsia"/>
                      <w:color w:val="auto"/>
                      <w:highlight w:val="none"/>
                    </w:rPr>
                    <w:t>铬、镉、汞、砷、铅</w:t>
                  </w:r>
                  <w:r>
                    <w:rPr>
                      <w:rFonts w:hint="eastAsia"/>
                      <w:color w:val="auto"/>
                      <w:highlight w:val="none"/>
                      <w:lang w:eastAsia="zh-CN"/>
                    </w:rPr>
                    <w:t>）</w:t>
                  </w:r>
                  <w:r>
                    <w:rPr>
                      <w:rFonts w:hint="eastAsia"/>
                      <w:color w:val="auto"/>
                      <w:highlight w:val="none"/>
                    </w:rPr>
                    <w:t>、剧毒物质和持久性有机污染物的工业项目。</w:t>
                  </w:r>
                </w:p>
              </w:tc>
              <w:tc>
                <w:tcPr>
                  <w:tcW w:w="851" w:type="pct"/>
                  <w:tcMar>
                    <w:top w:w="57" w:type="dxa"/>
                    <w:left w:w="28" w:type="dxa"/>
                    <w:bottom w:w="57" w:type="dxa"/>
                    <w:right w:w="28" w:type="dxa"/>
                  </w:tcMar>
                  <w:vAlign w:val="center"/>
                </w:tcPr>
                <w:p w14:paraId="195CFC8F">
                  <w:pPr>
                    <w:pStyle w:val="20"/>
                    <w:bidi w:val="0"/>
                    <w:jc w:val="both"/>
                    <w:rPr>
                      <w:rFonts w:hint="eastAsia" w:eastAsia="宋体"/>
                      <w:color w:val="auto"/>
                      <w:highlight w:val="none"/>
                      <w:lang w:val="en-US" w:eastAsia="zh-CN"/>
                    </w:rPr>
                  </w:pPr>
                  <w:r>
                    <w:rPr>
                      <w:rFonts w:hint="eastAsia"/>
                      <w:color w:val="auto"/>
                      <w:highlight w:val="none"/>
                      <w:lang w:val="en-US" w:eastAsia="zh-CN"/>
                    </w:rPr>
                    <w:t>扩建项目废水不涉及</w:t>
                  </w:r>
                  <w:r>
                    <w:rPr>
                      <w:rFonts w:hint="eastAsia"/>
                      <w:color w:val="auto"/>
                      <w:highlight w:val="none"/>
                    </w:rPr>
                    <w:t>五类重金属、剧毒物质和持久性有机污染物</w:t>
                  </w:r>
                  <w:r>
                    <w:rPr>
                      <w:rFonts w:hint="eastAsia"/>
                      <w:color w:val="auto"/>
                      <w:highlight w:val="none"/>
                      <w:lang w:val="en-US" w:eastAsia="zh-CN"/>
                    </w:rPr>
                    <w:t>排放。</w:t>
                  </w:r>
                </w:p>
              </w:tc>
              <w:tc>
                <w:tcPr>
                  <w:tcW w:w="311" w:type="pct"/>
                  <w:tcMar>
                    <w:top w:w="57" w:type="dxa"/>
                    <w:left w:w="28" w:type="dxa"/>
                    <w:bottom w:w="57" w:type="dxa"/>
                    <w:right w:w="28" w:type="dxa"/>
                  </w:tcMar>
                  <w:vAlign w:val="center"/>
                </w:tcPr>
                <w:p w14:paraId="0F60D3DF">
                  <w:pPr>
                    <w:pStyle w:val="20"/>
                    <w:bidi w:val="0"/>
                    <w:rPr>
                      <w:rFonts w:hint="eastAsia"/>
                      <w:color w:val="auto"/>
                      <w:highlight w:val="none"/>
                    </w:rPr>
                  </w:pPr>
                  <w:r>
                    <w:rPr>
                      <w:rFonts w:hint="eastAsia"/>
                      <w:color w:val="auto"/>
                      <w:highlight w:val="none"/>
                    </w:rPr>
                    <w:t>符合</w:t>
                  </w:r>
                </w:p>
              </w:tc>
            </w:tr>
            <w:tr w14:paraId="54393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05DF30BA">
                  <w:pPr>
                    <w:pStyle w:val="20"/>
                    <w:bidi w:val="0"/>
                    <w:rPr>
                      <w:color w:val="auto"/>
                      <w:highlight w:val="none"/>
                    </w:rPr>
                  </w:pPr>
                </w:p>
              </w:tc>
              <w:tc>
                <w:tcPr>
                  <w:tcW w:w="418" w:type="pct"/>
                  <w:vMerge w:val="restart"/>
                  <w:tcMar>
                    <w:top w:w="57" w:type="dxa"/>
                    <w:left w:w="28" w:type="dxa"/>
                    <w:bottom w:w="57" w:type="dxa"/>
                    <w:right w:w="28" w:type="dxa"/>
                  </w:tcMar>
                  <w:vAlign w:val="center"/>
                </w:tcPr>
                <w:p w14:paraId="3C7C1BB3">
                  <w:pPr>
                    <w:pStyle w:val="20"/>
                    <w:bidi w:val="0"/>
                    <w:rPr>
                      <w:color w:val="auto"/>
                      <w:highlight w:val="none"/>
                    </w:rPr>
                  </w:pPr>
                  <w:r>
                    <w:rPr>
                      <w:rFonts w:hint="eastAsia"/>
                      <w:color w:val="auto"/>
                      <w:highlight w:val="none"/>
                    </w:rPr>
                    <w:t>资源开发效率要求</w:t>
                  </w:r>
                </w:p>
              </w:tc>
              <w:tc>
                <w:tcPr>
                  <w:tcW w:w="2908" w:type="pct"/>
                  <w:tcMar>
                    <w:top w:w="57" w:type="dxa"/>
                    <w:left w:w="28" w:type="dxa"/>
                    <w:bottom w:w="57" w:type="dxa"/>
                    <w:right w:w="28" w:type="dxa"/>
                  </w:tcMar>
                  <w:vAlign w:val="center"/>
                </w:tcPr>
                <w:p w14:paraId="6FAAF79C">
                  <w:pPr>
                    <w:pStyle w:val="20"/>
                    <w:bidi w:val="0"/>
                    <w:jc w:val="both"/>
                    <w:rPr>
                      <w:rFonts w:hint="eastAsia"/>
                      <w:color w:val="auto"/>
                      <w:highlight w:val="none"/>
                    </w:rPr>
                  </w:pPr>
                  <w:r>
                    <w:rPr>
                      <w:rFonts w:hint="eastAsia"/>
                      <w:color w:val="auto"/>
                      <w:highlight w:val="none"/>
                    </w:rPr>
                    <w:t>1.禁止新建、扩建燃用煤、重油等高污染燃料的工业项目，重庆和友实业股份有限公司不再新增燃煤总量。</w:t>
                  </w:r>
                </w:p>
              </w:tc>
              <w:tc>
                <w:tcPr>
                  <w:tcW w:w="851" w:type="pct"/>
                  <w:tcMar>
                    <w:top w:w="57" w:type="dxa"/>
                    <w:left w:w="28" w:type="dxa"/>
                    <w:bottom w:w="57" w:type="dxa"/>
                    <w:right w:w="28" w:type="dxa"/>
                  </w:tcMar>
                  <w:vAlign w:val="center"/>
                </w:tcPr>
                <w:p w14:paraId="3328C2A1">
                  <w:pPr>
                    <w:pStyle w:val="20"/>
                    <w:bidi w:val="0"/>
                    <w:jc w:val="both"/>
                    <w:rPr>
                      <w:rFonts w:hint="default" w:eastAsia="宋体"/>
                      <w:color w:val="auto"/>
                      <w:highlight w:val="none"/>
                      <w:lang w:val="en-US" w:eastAsia="zh-CN"/>
                    </w:rPr>
                  </w:pPr>
                  <w:r>
                    <w:rPr>
                      <w:rFonts w:hint="eastAsia"/>
                      <w:color w:val="auto"/>
                      <w:highlight w:val="none"/>
                      <w:lang w:val="en-US" w:eastAsia="zh-CN"/>
                    </w:rPr>
                    <w:t>扩建项目使用电为能源。</w:t>
                  </w:r>
                </w:p>
              </w:tc>
              <w:tc>
                <w:tcPr>
                  <w:tcW w:w="311" w:type="pct"/>
                  <w:tcMar>
                    <w:top w:w="57" w:type="dxa"/>
                    <w:left w:w="28" w:type="dxa"/>
                    <w:bottom w:w="57" w:type="dxa"/>
                    <w:right w:w="28" w:type="dxa"/>
                  </w:tcMar>
                  <w:vAlign w:val="center"/>
                </w:tcPr>
                <w:p w14:paraId="649C2F6F">
                  <w:pPr>
                    <w:pStyle w:val="20"/>
                    <w:bidi w:val="0"/>
                    <w:rPr>
                      <w:rFonts w:hint="eastAsia"/>
                      <w:color w:val="auto"/>
                      <w:highlight w:val="none"/>
                    </w:rPr>
                  </w:pPr>
                  <w:r>
                    <w:rPr>
                      <w:rFonts w:hint="eastAsia"/>
                      <w:color w:val="auto"/>
                      <w:highlight w:val="none"/>
                    </w:rPr>
                    <w:t>符合</w:t>
                  </w:r>
                </w:p>
              </w:tc>
            </w:tr>
            <w:tr w14:paraId="0E11F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7F9038CE">
                  <w:pPr>
                    <w:pStyle w:val="20"/>
                    <w:bidi w:val="0"/>
                    <w:rPr>
                      <w:color w:val="auto"/>
                      <w:highlight w:val="none"/>
                    </w:rPr>
                  </w:pPr>
                </w:p>
              </w:tc>
              <w:tc>
                <w:tcPr>
                  <w:tcW w:w="418" w:type="pct"/>
                  <w:vMerge w:val="continue"/>
                  <w:tcMar>
                    <w:top w:w="57" w:type="dxa"/>
                    <w:left w:w="28" w:type="dxa"/>
                    <w:bottom w:w="57" w:type="dxa"/>
                    <w:right w:w="28" w:type="dxa"/>
                  </w:tcMar>
                  <w:vAlign w:val="center"/>
                </w:tcPr>
                <w:p w14:paraId="1599D42A">
                  <w:pPr>
                    <w:pStyle w:val="20"/>
                    <w:bidi w:val="0"/>
                    <w:rPr>
                      <w:rFonts w:hint="eastAsia"/>
                      <w:color w:val="auto"/>
                      <w:highlight w:val="none"/>
                    </w:rPr>
                  </w:pPr>
                </w:p>
              </w:tc>
              <w:tc>
                <w:tcPr>
                  <w:tcW w:w="2908" w:type="pct"/>
                  <w:tcMar>
                    <w:top w:w="57" w:type="dxa"/>
                    <w:left w:w="28" w:type="dxa"/>
                    <w:bottom w:w="57" w:type="dxa"/>
                    <w:right w:w="28" w:type="dxa"/>
                  </w:tcMar>
                  <w:vAlign w:val="center"/>
                </w:tcPr>
                <w:p w14:paraId="1D9F5AB4">
                  <w:pPr>
                    <w:pStyle w:val="20"/>
                    <w:bidi w:val="0"/>
                    <w:jc w:val="both"/>
                    <w:rPr>
                      <w:rFonts w:hint="eastAsia"/>
                      <w:color w:val="auto"/>
                      <w:highlight w:val="none"/>
                    </w:rPr>
                  </w:pPr>
                  <w:r>
                    <w:rPr>
                      <w:rFonts w:hint="eastAsia"/>
                      <w:color w:val="auto"/>
                      <w:highlight w:val="none"/>
                    </w:rPr>
                    <w:t>2.新建和改、扩建的工业项目清洁生产水平应达到国内先进水平。</w:t>
                  </w:r>
                </w:p>
              </w:tc>
              <w:tc>
                <w:tcPr>
                  <w:tcW w:w="851" w:type="pct"/>
                  <w:tcMar>
                    <w:top w:w="57" w:type="dxa"/>
                    <w:left w:w="28" w:type="dxa"/>
                    <w:bottom w:w="57" w:type="dxa"/>
                    <w:right w:w="28" w:type="dxa"/>
                  </w:tcMar>
                  <w:vAlign w:val="center"/>
                </w:tcPr>
                <w:p w14:paraId="2072DE4F">
                  <w:pPr>
                    <w:pStyle w:val="20"/>
                    <w:bidi w:val="0"/>
                    <w:jc w:val="both"/>
                    <w:rPr>
                      <w:rFonts w:hint="eastAsia" w:eastAsia="宋体"/>
                      <w:color w:val="auto"/>
                      <w:highlight w:val="none"/>
                      <w:lang w:eastAsia="zh-CN"/>
                    </w:rPr>
                  </w:pPr>
                  <w:r>
                    <w:rPr>
                      <w:rFonts w:hint="eastAsia"/>
                      <w:color w:val="auto"/>
                      <w:highlight w:val="none"/>
                    </w:rPr>
                    <w:t>本项目清洁生产水平能够达到国内先进水平</w:t>
                  </w:r>
                  <w:r>
                    <w:rPr>
                      <w:rFonts w:hint="eastAsia"/>
                      <w:color w:val="auto"/>
                      <w:highlight w:val="none"/>
                      <w:lang w:eastAsia="zh-CN"/>
                    </w:rPr>
                    <w:t>。</w:t>
                  </w:r>
                </w:p>
              </w:tc>
              <w:tc>
                <w:tcPr>
                  <w:tcW w:w="311" w:type="pct"/>
                  <w:tcMar>
                    <w:top w:w="57" w:type="dxa"/>
                    <w:left w:w="28" w:type="dxa"/>
                    <w:bottom w:w="57" w:type="dxa"/>
                    <w:right w:w="28" w:type="dxa"/>
                  </w:tcMar>
                  <w:vAlign w:val="center"/>
                </w:tcPr>
                <w:p w14:paraId="4716ED07">
                  <w:pPr>
                    <w:pStyle w:val="20"/>
                    <w:bidi w:val="0"/>
                    <w:rPr>
                      <w:rFonts w:hint="eastAsia"/>
                      <w:color w:val="auto"/>
                      <w:highlight w:val="none"/>
                    </w:rPr>
                  </w:pPr>
                  <w:r>
                    <w:rPr>
                      <w:rFonts w:hint="eastAsia"/>
                      <w:color w:val="auto"/>
                      <w:highlight w:val="none"/>
                    </w:rPr>
                    <w:t>符合</w:t>
                  </w:r>
                </w:p>
              </w:tc>
            </w:tr>
            <w:tr w14:paraId="315B5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4ED633AD">
                  <w:pPr>
                    <w:pStyle w:val="20"/>
                    <w:bidi w:val="0"/>
                    <w:rPr>
                      <w:color w:val="auto"/>
                      <w:highlight w:val="none"/>
                    </w:rPr>
                  </w:pPr>
                </w:p>
              </w:tc>
              <w:tc>
                <w:tcPr>
                  <w:tcW w:w="418" w:type="pct"/>
                  <w:vMerge w:val="continue"/>
                  <w:tcMar>
                    <w:top w:w="57" w:type="dxa"/>
                    <w:left w:w="28" w:type="dxa"/>
                    <w:bottom w:w="57" w:type="dxa"/>
                    <w:right w:w="28" w:type="dxa"/>
                  </w:tcMar>
                  <w:vAlign w:val="center"/>
                </w:tcPr>
                <w:p w14:paraId="6705234D">
                  <w:pPr>
                    <w:pStyle w:val="20"/>
                    <w:bidi w:val="0"/>
                    <w:rPr>
                      <w:rFonts w:hint="eastAsia"/>
                      <w:color w:val="auto"/>
                      <w:highlight w:val="none"/>
                    </w:rPr>
                  </w:pPr>
                </w:p>
              </w:tc>
              <w:tc>
                <w:tcPr>
                  <w:tcW w:w="2908" w:type="pct"/>
                  <w:tcMar>
                    <w:top w:w="57" w:type="dxa"/>
                    <w:left w:w="28" w:type="dxa"/>
                    <w:bottom w:w="57" w:type="dxa"/>
                    <w:right w:w="28" w:type="dxa"/>
                  </w:tcMar>
                  <w:vAlign w:val="center"/>
                </w:tcPr>
                <w:p w14:paraId="5409F88B">
                  <w:pPr>
                    <w:pStyle w:val="20"/>
                    <w:bidi w:val="0"/>
                    <w:jc w:val="both"/>
                    <w:rPr>
                      <w:rFonts w:hint="eastAsia"/>
                      <w:color w:val="auto"/>
                      <w:highlight w:val="none"/>
                    </w:rPr>
                  </w:pPr>
                  <w:r>
                    <w:rPr>
                      <w:rFonts w:hint="eastAsia"/>
                      <w:color w:val="auto"/>
                      <w:highlight w:val="none"/>
                    </w:rPr>
                    <w:t>3.提高有色金属冶炼及压延加工业、化学原料及化学制品制造业和汽车制造业等工业企业的节能水平，降低区域的能耗强度。加强重点行业能效管理，升级工艺技术，提高用能设备能效水平。</w:t>
                  </w:r>
                </w:p>
              </w:tc>
              <w:tc>
                <w:tcPr>
                  <w:tcW w:w="851" w:type="pct"/>
                  <w:tcMar>
                    <w:top w:w="57" w:type="dxa"/>
                    <w:left w:w="28" w:type="dxa"/>
                    <w:bottom w:w="57" w:type="dxa"/>
                    <w:right w:w="28" w:type="dxa"/>
                  </w:tcMar>
                  <w:vAlign w:val="center"/>
                </w:tcPr>
                <w:p w14:paraId="7F12B6DF">
                  <w:pPr>
                    <w:pStyle w:val="20"/>
                    <w:bidi w:val="0"/>
                    <w:jc w:val="both"/>
                    <w:rPr>
                      <w:rFonts w:hint="eastAsia" w:eastAsia="宋体"/>
                      <w:color w:val="auto"/>
                      <w:highlight w:val="none"/>
                      <w:lang w:val="en-US" w:eastAsia="zh-CN"/>
                    </w:rPr>
                  </w:pPr>
                  <w:r>
                    <w:rPr>
                      <w:rFonts w:hint="eastAsia"/>
                      <w:color w:val="auto"/>
                      <w:highlight w:val="none"/>
                      <w:lang w:val="en-US" w:eastAsia="zh-CN"/>
                    </w:rPr>
                    <w:t>不涉及。</w:t>
                  </w:r>
                </w:p>
              </w:tc>
              <w:tc>
                <w:tcPr>
                  <w:tcW w:w="311" w:type="pct"/>
                  <w:tcMar>
                    <w:top w:w="57" w:type="dxa"/>
                    <w:left w:w="28" w:type="dxa"/>
                    <w:bottom w:w="57" w:type="dxa"/>
                    <w:right w:w="28" w:type="dxa"/>
                  </w:tcMar>
                  <w:vAlign w:val="center"/>
                </w:tcPr>
                <w:p w14:paraId="7C17E060">
                  <w:pPr>
                    <w:pStyle w:val="20"/>
                    <w:bidi w:val="0"/>
                    <w:rPr>
                      <w:rFonts w:hint="eastAsia"/>
                      <w:color w:val="auto"/>
                      <w:highlight w:val="none"/>
                    </w:rPr>
                  </w:pPr>
                  <w:r>
                    <w:rPr>
                      <w:rFonts w:hint="eastAsia"/>
                      <w:color w:val="auto"/>
                      <w:highlight w:val="none"/>
                    </w:rPr>
                    <w:t>符合</w:t>
                  </w:r>
                </w:p>
              </w:tc>
            </w:tr>
            <w:tr w14:paraId="7BE2D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35EC8474">
                  <w:pPr>
                    <w:pStyle w:val="20"/>
                    <w:bidi w:val="0"/>
                    <w:rPr>
                      <w:color w:val="auto"/>
                      <w:highlight w:val="none"/>
                    </w:rPr>
                  </w:pPr>
                </w:p>
              </w:tc>
              <w:tc>
                <w:tcPr>
                  <w:tcW w:w="418" w:type="pct"/>
                  <w:vMerge w:val="continue"/>
                  <w:tcMar>
                    <w:top w:w="57" w:type="dxa"/>
                    <w:left w:w="28" w:type="dxa"/>
                    <w:bottom w:w="57" w:type="dxa"/>
                    <w:right w:w="28" w:type="dxa"/>
                  </w:tcMar>
                  <w:vAlign w:val="center"/>
                </w:tcPr>
                <w:p w14:paraId="3D50621E">
                  <w:pPr>
                    <w:pStyle w:val="20"/>
                    <w:bidi w:val="0"/>
                    <w:rPr>
                      <w:rFonts w:hint="eastAsia"/>
                      <w:color w:val="auto"/>
                      <w:highlight w:val="none"/>
                    </w:rPr>
                  </w:pPr>
                </w:p>
              </w:tc>
              <w:tc>
                <w:tcPr>
                  <w:tcW w:w="2908" w:type="pct"/>
                  <w:tcMar>
                    <w:top w:w="57" w:type="dxa"/>
                    <w:left w:w="28" w:type="dxa"/>
                    <w:bottom w:w="57" w:type="dxa"/>
                    <w:right w:w="28" w:type="dxa"/>
                  </w:tcMar>
                  <w:vAlign w:val="center"/>
                </w:tcPr>
                <w:p w14:paraId="6EF06689">
                  <w:pPr>
                    <w:pStyle w:val="20"/>
                    <w:bidi w:val="0"/>
                    <w:jc w:val="both"/>
                    <w:rPr>
                      <w:rFonts w:hint="eastAsia"/>
                      <w:color w:val="auto"/>
                      <w:highlight w:val="none"/>
                    </w:rPr>
                  </w:pPr>
                  <w:r>
                    <w:rPr>
                      <w:rFonts w:hint="eastAsia"/>
                      <w:color w:val="auto"/>
                      <w:highlight w:val="none"/>
                    </w:rPr>
                    <w:t>4.加强工业节水改造，限制高耗水行业发展，加强重点监控用水单位监管。加强城镇节水，开展公共建筑节水改造、城镇供水管网漏损治理工程。</w:t>
                  </w:r>
                </w:p>
              </w:tc>
              <w:tc>
                <w:tcPr>
                  <w:tcW w:w="851" w:type="pct"/>
                  <w:tcMar>
                    <w:top w:w="57" w:type="dxa"/>
                    <w:left w:w="28" w:type="dxa"/>
                    <w:bottom w:w="57" w:type="dxa"/>
                    <w:right w:w="28" w:type="dxa"/>
                  </w:tcMar>
                  <w:vAlign w:val="center"/>
                </w:tcPr>
                <w:p w14:paraId="5EF6233A">
                  <w:pPr>
                    <w:pStyle w:val="20"/>
                    <w:bidi w:val="0"/>
                    <w:jc w:val="both"/>
                    <w:rPr>
                      <w:rFonts w:hint="eastAsia"/>
                      <w:color w:val="auto"/>
                      <w:highlight w:val="none"/>
                    </w:rPr>
                  </w:pPr>
                  <w:r>
                    <w:rPr>
                      <w:rFonts w:hint="eastAsia"/>
                      <w:color w:val="auto"/>
                      <w:highlight w:val="none"/>
                      <w:lang w:val="en-US" w:eastAsia="zh-CN"/>
                    </w:rPr>
                    <w:t>不涉及。</w:t>
                  </w:r>
                </w:p>
              </w:tc>
              <w:tc>
                <w:tcPr>
                  <w:tcW w:w="311" w:type="pct"/>
                  <w:tcMar>
                    <w:top w:w="57" w:type="dxa"/>
                    <w:left w:w="28" w:type="dxa"/>
                    <w:bottom w:w="57" w:type="dxa"/>
                    <w:right w:w="28" w:type="dxa"/>
                  </w:tcMar>
                  <w:vAlign w:val="center"/>
                </w:tcPr>
                <w:p w14:paraId="06A0EFE2">
                  <w:pPr>
                    <w:pStyle w:val="20"/>
                    <w:bidi w:val="0"/>
                    <w:rPr>
                      <w:rFonts w:hint="eastAsia"/>
                      <w:color w:val="auto"/>
                      <w:highlight w:val="none"/>
                    </w:rPr>
                  </w:pPr>
                  <w:r>
                    <w:rPr>
                      <w:rFonts w:hint="eastAsia"/>
                      <w:color w:val="auto"/>
                      <w:highlight w:val="none"/>
                    </w:rPr>
                    <w:t>符合</w:t>
                  </w:r>
                </w:p>
              </w:tc>
            </w:tr>
          </w:tbl>
          <w:p w14:paraId="4312BD1F">
            <w:pPr>
              <w:pStyle w:val="18"/>
              <w:rPr>
                <w:rFonts w:hint="eastAsia"/>
                <w:color w:val="auto"/>
                <w:highlight w:val="none"/>
              </w:rPr>
            </w:pPr>
            <w:r>
              <w:rPr>
                <w:rFonts w:hint="eastAsia"/>
                <w:color w:val="auto"/>
                <w:highlight w:val="none"/>
                <w:lang w:val="en-US" w:eastAsia="zh-CN"/>
              </w:rPr>
              <w:t>由上表，扩建项目</w:t>
            </w:r>
            <w:r>
              <w:rPr>
                <w:color w:val="auto"/>
                <w:highlight w:val="none"/>
              </w:rPr>
              <w:t>符合</w:t>
            </w:r>
            <w:r>
              <w:rPr>
                <w:rFonts w:hint="eastAsia"/>
                <w:color w:val="auto"/>
                <w:highlight w:val="none"/>
                <w:lang w:eastAsia="zh-CN"/>
              </w:rPr>
              <w:t>九龙坡区工业城镇重点管控单元-九龙西城片区</w:t>
            </w:r>
            <w:r>
              <w:rPr>
                <w:rFonts w:hint="eastAsia"/>
                <w:color w:val="auto"/>
                <w:highlight w:val="none"/>
              </w:rPr>
              <w:t>（环境管控单元编码：ZH50010720002）的管控要求，符合九龙坡区“</w:t>
            </w:r>
            <w:r>
              <w:rPr>
                <w:color w:val="auto"/>
                <w:highlight w:val="none"/>
              </w:rPr>
              <w:t>三线一单</w:t>
            </w:r>
            <w:r>
              <w:rPr>
                <w:rFonts w:hint="eastAsia"/>
                <w:color w:val="auto"/>
                <w:highlight w:val="none"/>
              </w:rPr>
              <w:t>”</w:t>
            </w:r>
            <w:r>
              <w:rPr>
                <w:rFonts w:hint="eastAsia"/>
                <w:color w:val="auto"/>
                <w:highlight w:val="none"/>
                <w:lang w:val="en-US" w:eastAsia="zh-CN"/>
              </w:rPr>
              <w:t>管控</w:t>
            </w:r>
            <w:r>
              <w:rPr>
                <w:color w:val="auto"/>
                <w:highlight w:val="none"/>
              </w:rPr>
              <w:t>要求。</w:t>
            </w:r>
          </w:p>
          <w:p w14:paraId="5068EEEC">
            <w:pPr>
              <w:pStyle w:val="2"/>
              <w:numPr>
                <w:ilvl w:val="0"/>
                <w:numId w:val="2"/>
              </w:numPr>
              <w:bidi w:val="0"/>
              <w:rPr>
                <w:color w:val="auto"/>
                <w:highlight w:val="none"/>
              </w:rPr>
            </w:pPr>
            <w:r>
              <w:rPr>
                <w:rFonts w:hint="eastAsia"/>
                <w:color w:val="auto"/>
                <w:highlight w:val="none"/>
              </w:rPr>
              <w:t>与《产业结构调整指导目录（20</w:t>
            </w:r>
            <w:r>
              <w:rPr>
                <w:rFonts w:hint="eastAsia"/>
                <w:color w:val="auto"/>
                <w:highlight w:val="none"/>
                <w:lang w:val="en-US" w:eastAsia="zh-CN"/>
              </w:rPr>
              <w:t>24</w:t>
            </w:r>
            <w:r>
              <w:rPr>
                <w:rFonts w:hint="eastAsia"/>
                <w:color w:val="auto"/>
                <w:highlight w:val="none"/>
              </w:rPr>
              <w:t>年本）》符合性</w:t>
            </w:r>
          </w:p>
          <w:p w14:paraId="5F2C51C3">
            <w:pPr>
              <w:pStyle w:val="18"/>
              <w:rPr>
                <w:rFonts w:hint="eastAsia"/>
                <w:color w:val="auto"/>
                <w:highlight w:val="none"/>
                <w:lang w:eastAsia="zh-CN"/>
              </w:rPr>
            </w:pPr>
            <w:r>
              <w:rPr>
                <w:rFonts w:hint="eastAsia"/>
                <w:color w:val="auto"/>
                <w:highlight w:val="none"/>
                <w:lang w:eastAsia="zh-CN"/>
              </w:rPr>
              <w:t>本项目为塑料零件及其他塑料制品制造，主要产品为汽车注塑零部件。</w:t>
            </w:r>
            <w:r>
              <w:rPr>
                <w:rFonts w:hint="eastAsia"/>
                <w:color w:val="auto"/>
                <w:highlight w:val="none"/>
              </w:rPr>
              <w:t>对照《产业结构调整指导目录（20</w:t>
            </w:r>
            <w:r>
              <w:rPr>
                <w:rFonts w:hint="eastAsia"/>
                <w:color w:val="auto"/>
                <w:highlight w:val="none"/>
                <w:lang w:val="en-US" w:eastAsia="zh-CN"/>
              </w:rPr>
              <w:t>24</w:t>
            </w:r>
            <w:r>
              <w:rPr>
                <w:rFonts w:hint="eastAsia"/>
                <w:color w:val="auto"/>
                <w:highlight w:val="none"/>
              </w:rPr>
              <w:t>年本）》，不属于限制类和淘汰类，为允许类，符合国家产业政策。九龙坡区发展和改革委员会已对本项目的建设进行备案，备案证编号：</w:t>
            </w:r>
            <w:r>
              <w:rPr>
                <w:rFonts w:hint="eastAsia"/>
                <w:color w:val="auto"/>
                <w:highlight w:val="none"/>
                <w:lang w:eastAsia="zh-CN"/>
              </w:rPr>
              <w:t>2510-500107-04-03-137564。</w:t>
            </w:r>
          </w:p>
          <w:p w14:paraId="6A6A49E7">
            <w:pPr>
              <w:pStyle w:val="2"/>
              <w:numPr>
                <w:ilvl w:val="0"/>
                <w:numId w:val="2"/>
              </w:numPr>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与《市场准入负面清单（2025年版）》（发改体改规〔2025〕466号）符合性</w:t>
            </w:r>
          </w:p>
          <w:p w14:paraId="29D86B65">
            <w:pPr>
              <w:pStyle w:val="18"/>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本项目与《市场准入负面清单（2025年版）》（发改体改规〔2025〕466号）符合性见</w:t>
            </w:r>
            <w:r>
              <w:rPr>
                <w:rFonts w:hint="eastAsia"/>
                <w:color w:val="auto"/>
                <w:highlight w:val="none"/>
                <w:lang w:eastAsia="zh-CN"/>
              </w:rPr>
              <w:fldChar w:fldCharType="begin"/>
            </w:r>
            <w:r>
              <w:rPr>
                <w:rFonts w:hint="eastAsia"/>
                <w:color w:val="auto"/>
                <w:highlight w:val="none"/>
                <w:lang w:eastAsia="zh-CN"/>
              </w:rPr>
              <w:instrText xml:space="preserve"> REF _Ref16437 \h </w:instrText>
            </w:r>
            <w:r>
              <w:rPr>
                <w:rFonts w:hint="eastAsia"/>
                <w:color w:val="auto"/>
                <w:highlight w:val="none"/>
                <w:lang w:eastAsia="zh-CN"/>
              </w:rPr>
              <w:fldChar w:fldCharType="separate"/>
            </w:r>
            <w:r>
              <w:rPr>
                <w:rFonts w:hint="default"/>
                <w:color w:val="auto"/>
                <w:highlight w:val="none"/>
              </w:rPr>
              <w:t>表1-5</w:t>
            </w:r>
            <w:r>
              <w:rPr>
                <w:rFonts w:hint="eastAsia"/>
                <w:color w:val="auto"/>
                <w:highlight w:val="none"/>
                <w:lang w:eastAsia="zh-CN"/>
              </w:rPr>
              <w:fldChar w:fldCharType="end"/>
            </w:r>
            <w:r>
              <w:rPr>
                <w:rFonts w:hint="eastAsia"/>
                <w:color w:val="auto"/>
                <w:highlight w:val="none"/>
                <w:lang w:eastAsia="zh-CN"/>
              </w:rPr>
              <w:t>。</w:t>
            </w:r>
          </w:p>
          <w:p w14:paraId="5304C9A0">
            <w:pPr>
              <w:pStyle w:val="19"/>
              <w:keepNext/>
              <w:keepLines w:val="0"/>
              <w:suppressLineNumbers w:val="0"/>
              <w:spacing w:before="156" w:beforeAutospacing="0" w:after="0" w:afterAutospacing="0"/>
              <w:ind w:left="0" w:right="0"/>
              <w:rPr>
                <w:rFonts w:hint="default"/>
                <w:color w:val="auto"/>
                <w:highlight w:val="none"/>
              </w:rPr>
            </w:pPr>
            <w:bookmarkStart w:id="4" w:name="_Ref16437"/>
            <w:r>
              <w:rPr>
                <w:rFonts w:hint="default"/>
                <w:color w:val="auto"/>
                <w:highlight w:val="none"/>
              </w:rPr>
              <w:t>表1-</w:t>
            </w:r>
            <w:r>
              <w:rPr>
                <w:rFonts w:hint="default"/>
                <w:color w:val="auto"/>
                <w:highlight w:val="none"/>
              </w:rPr>
              <w:fldChar w:fldCharType="begin"/>
            </w:r>
            <w:r>
              <w:rPr>
                <w:rFonts w:hint="default"/>
                <w:color w:val="auto"/>
                <w:highlight w:val="none"/>
              </w:rPr>
              <w:instrText xml:space="preserve"> SEQ 表1- \* ARABIC </w:instrText>
            </w:r>
            <w:r>
              <w:rPr>
                <w:rFonts w:hint="default"/>
                <w:color w:val="auto"/>
                <w:highlight w:val="none"/>
              </w:rPr>
              <w:fldChar w:fldCharType="separate"/>
            </w:r>
            <w:r>
              <w:rPr>
                <w:rFonts w:hint="default"/>
                <w:color w:val="auto"/>
                <w:highlight w:val="none"/>
              </w:rPr>
              <w:t>5</w:t>
            </w:r>
            <w:r>
              <w:rPr>
                <w:rFonts w:hint="default"/>
                <w:color w:val="auto"/>
                <w:highlight w:val="none"/>
              </w:rPr>
              <w:fldChar w:fldCharType="end"/>
            </w:r>
            <w:bookmarkEnd w:id="4"/>
            <w:r>
              <w:rPr>
                <w:rFonts w:hint="eastAsia"/>
                <w:color w:val="auto"/>
                <w:highlight w:val="none"/>
              </w:rPr>
              <w:t xml:space="preserve"> 本项目与市场准入负面清单符合性分析一览表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1348"/>
              <w:gridCol w:w="2645"/>
              <w:gridCol w:w="3023"/>
              <w:gridCol w:w="799"/>
            </w:tblGrid>
            <w:tr w14:paraId="203AF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7A929E58">
                  <w:pPr>
                    <w:pStyle w:val="20"/>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序号</w:t>
                  </w:r>
                </w:p>
              </w:tc>
              <w:tc>
                <w:tcPr>
                  <w:tcW w:w="3995" w:type="dxa"/>
                  <w:gridSpan w:val="2"/>
                  <w:noWrap w:val="0"/>
                  <w:vAlign w:val="center"/>
                </w:tcPr>
                <w:p w14:paraId="68A8904A">
                  <w:pPr>
                    <w:pStyle w:val="20"/>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default"/>
                      <w:b/>
                      <w:bCs/>
                      <w:color w:val="auto"/>
                      <w:highlight w:val="none"/>
                      <w:lang w:val="en-US" w:eastAsia="zh-CN"/>
                    </w:rPr>
                    <w:t>《市场准入负面清单（2025年版）》</w:t>
                  </w:r>
                </w:p>
              </w:tc>
              <w:tc>
                <w:tcPr>
                  <w:tcW w:w="3023" w:type="dxa"/>
                  <w:noWrap w:val="0"/>
                  <w:vAlign w:val="center"/>
                </w:tcPr>
                <w:p w14:paraId="43B83BCF">
                  <w:pPr>
                    <w:pStyle w:val="20"/>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项目情况</w:t>
                  </w:r>
                </w:p>
              </w:tc>
              <w:tc>
                <w:tcPr>
                  <w:tcW w:w="799" w:type="dxa"/>
                  <w:noWrap w:val="0"/>
                  <w:vAlign w:val="center"/>
                </w:tcPr>
                <w:p w14:paraId="2C4BADFD">
                  <w:pPr>
                    <w:pStyle w:val="20"/>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符合性</w:t>
                  </w:r>
                </w:p>
              </w:tc>
            </w:tr>
            <w:tr w14:paraId="32460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noWrap w:val="0"/>
                  <w:vAlign w:val="center"/>
                </w:tcPr>
                <w:p w14:paraId="55860D63">
                  <w:pPr>
                    <w:pStyle w:val="20"/>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w:t>
                  </w:r>
                </w:p>
              </w:tc>
              <w:tc>
                <w:tcPr>
                  <w:tcW w:w="3995" w:type="dxa"/>
                  <w:gridSpan w:val="2"/>
                  <w:noWrap w:val="0"/>
                  <w:vAlign w:val="center"/>
                </w:tcPr>
                <w:p w14:paraId="20BB08A1">
                  <w:pPr>
                    <w:pStyle w:val="20"/>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法律、法规、国务院决定等明确设立且与市场准入相关的禁止性规定</w:t>
                  </w:r>
                </w:p>
              </w:tc>
              <w:tc>
                <w:tcPr>
                  <w:tcW w:w="3023" w:type="dxa"/>
                  <w:noWrap w:val="0"/>
                  <w:vAlign w:val="center"/>
                </w:tcPr>
                <w:p w14:paraId="7D91460C">
                  <w:pPr>
                    <w:pStyle w:val="20"/>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本项目不涉及文件所列制造业禁止性规定。</w:t>
                  </w:r>
                </w:p>
              </w:tc>
              <w:tc>
                <w:tcPr>
                  <w:tcW w:w="799" w:type="dxa"/>
                  <w:noWrap w:val="0"/>
                  <w:vAlign w:val="center"/>
                </w:tcPr>
                <w:p w14:paraId="4C673D46">
                  <w:pPr>
                    <w:pStyle w:val="20"/>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符合</w:t>
                  </w:r>
                </w:p>
              </w:tc>
            </w:tr>
            <w:tr w14:paraId="34A04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noWrap w:val="0"/>
                  <w:vAlign w:val="center"/>
                </w:tcPr>
                <w:p w14:paraId="6DCDBF2B">
                  <w:pPr>
                    <w:pStyle w:val="20"/>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w:t>
                  </w:r>
                </w:p>
              </w:tc>
              <w:tc>
                <w:tcPr>
                  <w:tcW w:w="0" w:type="auto"/>
                  <w:noWrap w:val="0"/>
                  <w:vAlign w:val="center"/>
                </w:tcPr>
                <w:p w14:paraId="7E5576F1">
                  <w:pPr>
                    <w:pStyle w:val="20"/>
                    <w:keepNext w:val="0"/>
                    <w:keepLines w:val="0"/>
                    <w:suppressLineNumbers w:val="0"/>
                    <w:bidi w:val="0"/>
                    <w:spacing w:before="0" w:beforeAutospacing="0" w:after="0" w:afterAutospacing="0"/>
                    <w:ind w:left="0" w:right="0"/>
                    <w:jc w:val="both"/>
                    <w:rPr>
                      <w:rFonts w:hint="default"/>
                      <w:color w:val="auto"/>
                      <w:highlight w:val="none"/>
                      <w:lang w:val="en-US" w:eastAsia="zh-CN"/>
                    </w:rPr>
                  </w:pPr>
                  <w:r>
                    <w:rPr>
                      <w:rFonts w:hint="default"/>
                      <w:color w:val="auto"/>
                      <w:highlight w:val="none"/>
                      <w:lang w:val="en-US" w:eastAsia="zh-CN"/>
                    </w:rPr>
                    <w:t>国家产业政策明令淘汰和限制的产品、技术、工艺、设备及行为</w:t>
                  </w:r>
                </w:p>
              </w:tc>
              <w:tc>
                <w:tcPr>
                  <w:tcW w:w="2645" w:type="dxa"/>
                  <w:noWrap w:val="0"/>
                  <w:vAlign w:val="center"/>
                </w:tcPr>
                <w:p w14:paraId="4C5CFEE5">
                  <w:pPr>
                    <w:pStyle w:val="20"/>
                    <w:keepNext w:val="0"/>
                    <w:keepLines w:val="0"/>
                    <w:suppressLineNumbers w:val="0"/>
                    <w:bidi w:val="0"/>
                    <w:spacing w:before="0" w:beforeAutospacing="0" w:after="0" w:afterAutospacing="0"/>
                    <w:ind w:left="0" w:right="0"/>
                    <w:jc w:val="both"/>
                    <w:rPr>
                      <w:rFonts w:hint="default"/>
                      <w:color w:val="auto"/>
                      <w:highlight w:val="none"/>
                      <w:lang w:val="en-US" w:eastAsia="zh-CN"/>
                    </w:rPr>
                  </w:pPr>
                  <w:r>
                    <w:rPr>
                      <w:rFonts w:hint="eastAsia"/>
                      <w:color w:val="auto"/>
                      <w:highlight w:val="none"/>
                      <w:lang w:val="en-US" w:eastAsia="zh-CN"/>
                    </w:rPr>
                    <w:t>《</w:t>
                  </w:r>
                  <w:r>
                    <w:rPr>
                      <w:rFonts w:hint="default"/>
                      <w:color w:val="auto"/>
                      <w:highlight w:val="none"/>
                      <w:lang w:val="en-US" w:eastAsia="zh-CN"/>
                    </w:rPr>
                    <w:t>产业结构调整指导目录》中的淘汰类项目，禁止投资</w:t>
                  </w:r>
                  <w:r>
                    <w:rPr>
                      <w:rFonts w:hint="eastAsia"/>
                      <w:color w:val="auto"/>
                      <w:highlight w:val="none"/>
                      <w:lang w:val="en-US" w:eastAsia="zh-CN"/>
                    </w:rPr>
                    <w:t>；</w:t>
                  </w:r>
                  <w:r>
                    <w:rPr>
                      <w:rFonts w:hint="default"/>
                      <w:color w:val="auto"/>
                      <w:highlight w:val="none"/>
                      <w:lang w:val="en-US" w:eastAsia="zh-CN"/>
                    </w:rPr>
                    <w:t>限制类项目，禁止新建。禁止投资建设《汽车产业投资管理规定》所列的汽车投资禁止类事项。</w:t>
                  </w:r>
                </w:p>
              </w:tc>
              <w:tc>
                <w:tcPr>
                  <w:tcW w:w="3023" w:type="dxa"/>
                  <w:noWrap w:val="0"/>
                  <w:vAlign w:val="center"/>
                </w:tcPr>
                <w:p w14:paraId="708D526D">
                  <w:pPr>
                    <w:pStyle w:val="20"/>
                    <w:keepNext w:val="0"/>
                    <w:keepLines w:val="0"/>
                    <w:suppressLineNumbers w:val="0"/>
                    <w:bidi w:val="0"/>
                    <w:spacing w:before="0" w:beforeAutospacing="0" w:after="0" w:afterAutospacing="0"/>
                    <w:ind w:left="0" w:right="0"/>
                    <w:jc w:val="both"/>
                    <w:rPr>
                      <w:rFonts w:hint="default"/>
                      <w:color w:val="auto"/>
                      <w:highlight w:val="none"/>
                      <w:lang w:val="en-US" w:eastAsia="zh-CN"/>
                    </w:rPr>
                  </w:pPr>
                  <w:r>
                    <w:rPr>
                      <w:rFonts w:hint="eastAsia"/>
                      <w:color w:val="auto"/>
                      <w:highlight w:val="none"/>
                      <w:lang w:val="en-US" w:eastAsia="zh-CN"/>
                    </w:rPr>
                    <w:t>本项目生产汽车塑料零部件，不属于《</w:t>
                  </w:r>
                  <w:r>
                    <w:rPr>
                      <w:rFonts w:hint="default"/>
                      <w:color w:val="auto"/>
                      <w:highlight w:val="none"/>
                      <w:lang w:val="en-US" w:eastAsia="zh-CN"/>
                    </w:rPr>
                    <w:t>产业结构调整指导目录》限制类和淘汰类</w:t>
                  </w:r>
                  <w:r>
                    <w:rPr>
                      <w:rFonts w:hint="eastAsia"/>
                      <w:color w:val="auto"/>
                      <w:highlight w:val="none"/>
                      <w:lang w:val="en-US" w:eastAsia="zh-CN"/>
                    </w:rPr>
                    <w:t>项目。项目塑料零部件产品不属于</w:t>
                  </w:r>
                  <w:r>
                    <w:rPr>
                      <w:rFonts w:hint="default"/>
                      <w:color w:val="auto"/>
                      <w:highlight w:val="none"/>
                      <w:lang w:val="en-US" w:eastAsia="zh-CN"/>
                    </w:rPr>
                    <w:t>《汽车产业投资管理规定》所列的汽车投资禁止类事项。</w:t>
                  </w:r>
                </w:p>
              </w:tc>
              <w:tc>
                <w:tcPr>
                  <w:tcW w:w="799" w:type="dxa"/>
                  <w:noWrap w:val="0"/>
                  <w:vAlign w:val="center"/>
                </w:tcPr>
                <w:p w14:paraId="49A56120">
                  <w:pPr>
                    <w:pStyle w:val="20"/>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符合</w:t>
                  </w:r>
                </w:p>
              </w:tc>
            </w:tr>
            <w:tr w14:paraId="74CD1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noWrap w:val="0"/>
                  <w:vAlign w:val="center"/>
                </w:tcPr>
                <w:p w14:paraId="09DC8B83">
                  <w:pPr>
                    <w:pStyle w:val="20"/>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3</w:t>
                  </w:r>
                </w:p>
              </w:tc>
              <w:tc>
                <w:tcPr>
                  <w:tcW w:w="0" w:type="auto"/>
                  <w:noWrap w:val="0"/>
                  <w:vAlign w:val="center"/>
                </w:tcPr>
                <w:p w14:paraId="1C4FCBF1">
                  <w:pPr>
                    <w:pStyle w:val="20"/>
                    <w:keepNext w:val="0"/>
                    <w:keepLines w:val="0"/>
                    <w:suppressLineNumbers w:val="0"/>
                    <w:bidi w:val="0"/>
                    <w:spacing w:before="0" w:beforeAutospacing="0" w:after="0" w:afterAutospacing="0"/>
                    <w:ind w:left="0" w:right="0"/>
                    <w:jc w:val="both"/>
                    <w:rPr>
                      <w:rFonts w:hint="default"/>
                      <w:color w:val="auto"/>
                      <w:highlight w:val="none"/>
                      <w:lang w:val="en-US" w:eastAsia="zh-CN"/>
                    </w:rPr>
                  </w:pPr>
                  <w:r>
                    <w:rPr>
                      <w:rFonts w:hint="default"/>
                      <w:color w:val="auto"/>
                      <w:highlight w:val="none"/>
                      <w:lang w:val="en-US" w:eastAsia="zh-CN"/>
                    </w:rPr>
                    <w:t>不符合主体功能区建设要求的各类开发</w:t>
                  </w:r>
                  <w:r>
                    <w:rPr>
                      <w:rFonts w:hint="eastAsia"/>
                      <w:color w:val="auto"/>
                      <w:highlight w:val="none"/>
                      <w:lang w:val="en-US" w:eastAsia="zh-CN"/>
                    </w:rPr>
                    <w:t>活动</w:t>
                  </w:r>
                </w:p>
              </w:tc>
              <w:tc>
                <w:tcPr>
                  <w:tcW w:w="2645" w:type="dxa"/>
                  <w:noWrap w:val="0"/>
                  <w:vAlign w:val="center"/>
                </w:tcPr>
                <w:p w14:paraId="1477B4E3">
                  <w:pPr>
                    <w:pStyle w:val="20"/>
                    <w:keepNext w:val="0"/>
                    <w:keepLines w:val="0"/>
                    <w:suppressLineNumbers w:val="0"/>
                    <w:bidi w:val="0"/>
                    <w:spacing w:before="0" w:beforeAutospacing="0" w:after="0" w:afterAutospacing="0"/>
                    <w:ind w:left="0" w:right="0"/>
                    <w:jc w:val="both"/>
                    <w:rPr>
                      <w:rFonts w:hint="default"/>
                      <w:color w:val="auto"/>
                      <w:highlight w:val="none"/>
                      <w:lang w:val="en-US" w:eastAsia="zh-CN"/>
                    </w:rPr>
                  </w:pPr>
                  <w:r>
                    <w:rPr>
                      <w:rFonts w:hint="default"/>
                      <w:color w:val="auto"/>
                      <w:highlight w:val="none"/>
                      <w:lang w:val="en-US" w:eastAsia="zh-CN"/>
                    </w:rPr>
                    <w:t>地方国家重点生态功能区产业准入负面清单(或禁止限制目录)、农产品主产区产业准入负面清单(或禁止限制目录)所列有关事项。</w:t>
                  </w:r>
                </w:p>
              </w:tc>
              <w:tc>
                <w:tcPr>
                  <w:tcW w:w="3023" w:type="dxa"/>
                  <w:noWrap w:val="0"/>
                  <w:vAlign w:val="center"/>
                </w:tcPr>
                <w:p w14:paraId="78523E20">
                  <w:pPr>
                    <w:pStyle w:val="20"/>
                    <w:keepNext w:val="0"/>
                    <w:keepLines w:val="0"/>
                    <w:suppressLineNumbers w:val="0"/>
                    <w:bidi w:val="0"/>
                    <w:spacing w:before="0" w:beforeAutospacing="0" w:after="0" w:afterAutospacing="0"/>
                    <w:ind w:left="0" w:right="0"/>
                    <w:jc w:val="both"/>
                    <w:rPr>
                      <w:rFonts w:hint="default"/>
                      <w:color w:val="auto"/>
                      <w:highlight w:val="none"/>
                      <w:lang w:val="en-US" w:eastAsia="zh-CN"/>
                    </w:rPr>
                  </w:pPr>
                  <w:r>
                    <w:rPr>
                      <w:rFonts w:hint="eastAsia"/>
                      <w:color w:val="auto"/>
                      <w:highlight w:val="none"/>
                      <w:lang w:val="en-US" w:eastAsia="zh-CN"/>
                    </w:rPr>
                    <w:t>本项目位于西彭工业园区，不属于文件所列</w:t>
                  </w:r>
                  <w:r>
                    <w:rPr>
                      <w:rFonts w:hint="default"/>
                      <w:color w:val="auto"/>
                      <w:highlight w:val="none"/>
                      <w:lang w:val="en-US" w:eastAsia="zh-CN"/>
                    </w:rPr>
                    <w:t>生态功能区</w:t>
                  </w:r>
                  <w:r>
                    <w:rPr>
                      <w:rFonts w:hint="eastAsia"/>
                      <w:color w:val="auto"/>
                      <w:highlight w:val="none"/>
                      <w:lang w:val="en-US" w:eastAsia="zh-CN"/>
                    </w:rPr>
                    <w:t>和</w:t>
                  </w:r>
                  <w:r>
                    <w:rPr>
                      <w:rFonts w:hint="default"/>
                      <w:color w:val="auto"/>
                      <w:highlight w:val="none"/>
                      <w:lang w:val="en-US" w:eastAsia="zh-CN"/>
                    </w:rPr>
                    <w:t>农产品主产区</w:t>
                  </w:r>
                  <w:r>
                    <w:rPr>
                      <w:rFonts w:hint="eastAsia"/>
                      <w:color w:val="auto"/>
                      <w:highlight w:val="none"/>
                      <w:lang w:val="en-US" w:eastAsia="zh-CN"/>
                    </w:rPr>
                    <w:t>。</w:t>
                  </w:r>
                </w:p>
              </w:tc>
              <w:tc>
                <w:tcPr>
                  <w:tcW w:w="799" w:type="dxa"/>
                  <w:noWrap w:val="0"/>
                  <w:vAlign w:val="center"/>
                </w:tcPr>
                <w:p w14:paraId="21E34AF6">
                  <w:pPr>
                    <w:pStyle w:val="20"/>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符合</w:t>
                  </w:r>
                </w:p>
              </w:tc>
            </w:tr>
            <w:tr w14:paraId="0FDF2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noWrap w:val="0"/>
                  <w:vAlign w:val="center"/>
                </w:tcPr>
                <w:p w14:paraId="7672ABAE">
                  <w:pPr>
                    <w:pStyle w:val="20"/>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w:t>
                  </w:r>
                </w:p>
              </w:tc>
              <w:tc>
                <w:tcPr>
                  <w:tcW w:w="3995" w:type="dxa"/>
                  <w:gridSpan w:val="2"/>
                  <w:noWrap w:val="0"/>
                  <w:vAlign w:val="center"/>
                </w:tcPr>
                <w:p w14:paraId="5064FC12">
                  <w:pPr>
                    <w:pStyle w:val="20"/>
                    <w:keepNext w:val="0"/>
                    <w:keepLines w:val="0"/>
                    <w:suppressLineNumbers w:val="0"/>
                    <w:bidi w:val="0"/>
                    <w:spacing w:before="0" w:beforeAutospacing="0" w:after="0" w:afterAutospacing="0"/>
                    <w:ind w:left="0" w:right="0"/>
                    <w:jc w:val="left"/>
                    <w:rPr>
                      <w:rFonts w:hint="default"/>
                      <w:color w:val="auto"/>
                      <w:highlight w:val="none"/>
                      <w:lang w:val="en-US" w:eastAsia="zh-CN"/>
                    </w:rPr>
                  </w:pPr>
                  <w:r>
                    <w:rPr>
                      <w:rFonts w:hint="default"/>
                      <w:color w:val="auto"/>
                      <w:highlight w:val="none"/>
                      <w:lang w:val="en-US" w:eastAsia="zh-CN"/>
                    </w:rPr>
                    <w:t>禁止违规开展金融相关经营活动</w:t>
                  </w:r>
                </w:p>
              </w:tc>
              <w:tc>
                <w:tcPr>
                  <w:tcW w:w="3023" w:type="dxa"/>
                  <w:shd w:val="clear" w:color="auto" w:fill="auto"/>
                  <w:noWrap w:val="0"/>
                  <w:vAlign w:val="center"/>
                </w:tcPr>
                <w:p w14:paraId="7373EACA">
                  <w:pPr>
                    <w:pStyle w:val="20"/>
                    <w:keepNext w:val="0"/>
                    <w:keepLines w:val="0"/>
                    <w:suppressLineNumbers w:val="0"/>
                    <w:bidi w:val="0"/>
                    <w:spacing w:before="0" w:beforeAutospacing="0" w:after="0" w:afterAutospacing="0"/>
                    <w:ind w:left="0" w:right="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本项目不涉及</w:t>
                  </w:r>
                </w:p>
              </w:tc>
              <w:tc>
                <w:tcPr>
                  <w:tcW w:w="799" w:type="dxa"/>
                  <w:noWrap w:val="0"/>
                  <w:vAlign w:val="center"/>
                </w:tcPr>
                <w:p w14:paraId="64839914">
                  <w:pPr>
                    <w:pStyle w:val="20"/>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符合</w:t>
                  </w:r>
                </w:p>
              </w:tc>
            </w:tr>
            <w:tr w14:paraId="0B5BF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noWrap w:val="0"/>
                  <w:vAlign w:val="center"/>
                </w:tcPr>
                <w:p w14:paraId="6E2BB354">
                  <w:pPr>
                    <w:pStyle w:val="20"/>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5</w:t>
                  </w:r>
                </w:p>
              </w:tc>
              <w:tc>
                <w:tcPr>
                  <w:tcW w:w="3995" w:type="dxa"/>
                  <w:gridSpan w:val="2"/>
                  <w:noWrap w:val="0"/>
                  <w:vAlign w:val="center"/>
                </w:tcPr>
                <w:p w14:paraId="7FB653FF">
                  <w:pPr>
                    <w:pStyle w:val="20"/>
                    <w:keepNext w:val="0"/>
                    <w:keepLines w:val="0"/>
                    <w:suppressLineNumbers w:val="0"/>
                    <w:bidi w:val="0"/>
                    <w:spacing w:before="0" w:beforeAutospacing="0" w:after="0" w:afterAutospacing="0"/>
                    <w:ind w:left="0" w:right="0"/>
                    <w:jc w:val="left"/>
                    <w:rPr>
                      <w:rFonts w:hint="default"/>
                      <w:color w:val="auto"/>
                      <w:highlight w:val="none"/>
                      <w:lang w:val="en-US" w:eastAsia="zh-CN"/>
                    </w:rPr>
                  </w:pPr>
                  <w:r>
                    <w:rPr>
                      <w:rFonts w:hint="default"/>
                      <w:color w:val="auto"/>
                      <w:highlight w:val="none"/>
                      <w:lang w:val="en-US" w:eastAsia="zh-CN"/>
                    </w:rPr>
                    <w:t>禁止违规开展互联网相关经营活动</w:t>
                  </w:r>
                </w:p>
              </w:tc>
              <w:tc>
                <w:tcPr>
                  <w:tcW w:w="3023" w:type="dxa"/>
                  <w:shd w:val="clear" w:color="auto" w:fill="auto"/>
                  <w:noWrap w:val="0"/>
                  <w:vAlign w:val="center"/>
                </w:tcPr>
                <w:p w14:paraId="02138D3C">
                  <w:pPr>
                    <w:pStyle w:val="20"/>
                    <w:keepNext w:val="0"/>
                    <w:keepLines w:val="0"/>
                    <w:suppressLineNumbers w:val="0"/>
                    <w:bidi w:val="0"/>
                    <w:spacing w:before="0" w:beforeAutospacing="0" w:after="0" w:afterAutospacing="0"/>
                    <w:ind w:left="0" w:right="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本项目不涉及</w:t>
                  </w:r>
                </w:p>
              </w:tc>
              <w:tc>
                <w:tcPr>
                  <w:tcW w:w="799" w:type="dxa"/>
                  <w:noWrap w:val="0"/>
                  <w:vAlign w:val="center"/>
                </w:tcPr>
                <w:p w14:paraId="4F8CE963">
                  <w:pPr>
                    <w:pStyle w:val="20"/>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符合</w:t>
                  </w:r>
                </w:p>
              </w:tc>
            </w:tr>
            <w:tr w14:paraId="69DD7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noWrap w:val="0"/>
                  <w:vAlign w:val="center"/>
                </w:tcPr>
                <w:p w14:paraId="28B13335">
                  <w:pPr>
                    <w:pStyle w:val="20"/>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6</w:t>
                  </w:r>
                </w:p>
              </w:tc>
              <w:tc>
                <w:tcPr>
                  <w:tcW w:w="3995" w:type="dxa"/>
                  <w:gridSpan w:val="2"/>
                  <w:noWrap w:val="0"/>
                  <w:vAlign w:val="center"/>
                </w:tcPr>
                <w:p w14:paraId="027A883F">
                  <w:pPr>
                    <w:pStyle w:val="20"/>
                    <w:keepNext w:val="0"/>
                    <w:keepLines w:val="0"/>
                    <w:suppressLineNumbers w:val="0"/>
                    <w:bidi w:val="0"/>
                    <w:spacing w:before="0" w:beforeAutospacing="0" w:after="0" w:afterAutospacing="0"/>
                    <w:ind w:left="0" w:right="0"/>
                    <w:jc w:val="left"/>
                    <w:rPr>
                      <w:rFonts w:hint="default"/>
                      <w:color w:val="auto"/>
                      <w:highlight w:val="none"/>
                      <w:lang w:val="en-US" w:eastAsia="zh-CN"/>
                    </w:rPr>
                  </w:pPr>
                  <w:r>
                    <w:rPr>
                      <w:rFonts w:hint="default"/>
                      <w:color w:val="auto"/>
                      <w:highlight w:val="none"/>
                      <w:lang w:val="en-US" w:eastAsia="zh-CN"/>
                    </w:rPr>
                    <w:t>禁止违规开展新闻传媒相关业务</w:t>
                  </w:r>
                </w:p>
              </w:tc>
              <w:tc>
                <w:tcPr>
                  <w:tcW w:w="3023" w:type="dxa"/>
                  <w:shd w:val="clear" w:color="auto" w:fill="auto"/>
                  <w:noWrap w:val="0"/>
                  <w:vAlign w:val="center"/>
                </w:tcPr>
                <w:p w14:paraId="016745F4">
                  <w:pPr>
                    <w:pStyle w:val="20"/>
                    <w:keepNext w:val="0"/>
                    <w:keepLines w:val="0"/>
                    <w:suppressLineNumbers w:val="0"/>
                    <w:bidi w:val="0"/>
                    <w:spacing w:before="0" w:beforeAutospacing="0" w:after="0" w:afterAutospacing="0"/>
                    <w:ind w:left="0" w:right="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本项目不涉及</w:t>
                  </w:r>
                </w:p>
              </w:tc>
              <w:tc>
                <w:tcPr>
                  <w:tcW w:w="799" w:type="dxa"/>
                  <w:noWrap w:val="0"/>
                  <w:vAlign w:val="center"/>
                </w:tcPr>
                <w:p w14:paraId="17B4EC6B">
                  <w:pPr>
                    <w:pStyle w:val="20"/>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符合</w:t>
                  </w:r>
                </w:p>
              </w:tc>
            </w:tr>
          </w:tbl>
          <w:p w14:paraId="25A67DC1">
            <w:pPr>
              <w:pStyle w:val="18"/>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综上，本项目符合《市场准入负面清单（2025年版）》（发改体改规〔2025〕466号）文件相关要求。</w:t>
            </w:r>
          </w:p>
          <w:p w14:paraId="1DCE7E4C">
            <w:pPr>
              <w:pStyle w:val="2"/>
              <w:keepNext w:val="0"/>
              <w:keepLines w:val="0"/>
              <w:pageBreakBefore w:val="0"/>
              <w:widowControl w:val="0"/>
              <w:numPr>
                <w:ilvl w:val="0"/>
                <w:numId w:val="2"/>
              </w:numPr>
              <w:kinsoku/>
              <w:wordWrap/>
              <w:overflowPunct w:val="0"/>
              <w:topLinePunct w:val="0"/>
              <w:autoSpaceDE/>
              <w:autoSpaceDN/>
              <w:bidi w:val="0"/>
              <w:adjustRightInd/>
              <w:snapToGrid w:val="0"/>
              <w:ind w:left="0" w:firstLine="0"/>
              <w:textAlignment w:val="auto"/>
              <w:rPr>
                <w:color w:val="auto"/>
                <w:highlight w:val="none"/>
              </w:rPr>
            </w:pPr>
            <w:r>
              <w:rPr>
                <w:rFonts w:hint="eastAsia"/>
                <w:color w:val="auto"/>
                <w:highlight w:val="none"/>
              </w:rPr>
              <w:t>与《</w:t>
            </w:r>
            <w:r>
              <w:rPr>
                <w:color w:val="auto"/>
                <w:highlight w:val="none"/>
              </w:rPr>
              <w:t>重庆市发展和改革委员会关于印发重庆市产业投资准入工作手册的通知</w:t>
            </w:r>
            <w:r>
              <w:rPr>
                <w:rFonts w:hint="eastAsia"/>
                <w:color w:val="auto"/>
                <w:highlight w:val="none"/>
              </w:rPr>
              <w:t>》（渝发改投资〔2022〕1436号）符合性</w:t>
            </w:r>
          </w:p>
          <w:p w14:paraId="3C9A2884">
            <w:pPr>
              <w:pStyle w:val="18"/>
              <w:rPr>
                <w:color w:val="auto"/>
                <w:highlight w:val="none"/>
              </w:rPr>
            </w:pPr>
            <w:r>
              <w:rPr>
                <w:rFonts w:hint="eastAsia"/>
                <w:color w:val="auto"/>
                <w:highlight w:val="none"/>
              </w:rPr>
              <w:t>本项目与《重庆市发展和改革委员会关于印发重庆市产业投资准入工作手册的通知》（渝发改投资〔2022〕1436号）符合性见</w:t>
            </w:r>
            <w:r>
              <w:rPr>
                <w:rFonts w:hint="eastAsia"/>
                <w:color w:val="auto"/>
                <w:highlight w:val="none"/>
              </w:rPr>
              <w:fldChar w:fldCharType="begin"/>
            </w:r>
            <w:r>
              <w:rPr>
                <w:rFonts w:hint="eastAsia"/>
                <w:color w:val="auto"/>
                <w:highlight w:val="none"/>
              </w:rPr>
              <w:instrText xml:space="preserve"> REF _Ref21648 \h </w:instrText>
            </w:r>
            <w:r>
              <w:rPr>
                <w:rFonts w:hint="eastAsia"/>
                <w:color w:val="auto"/>
                <w:highlight w:val="none"/>
              </w:rPr>
              <w:fldChar w:fldCharType="separate"/>
            </w:r>
            <w:r>
              <w:rPr>
                <w:color w:val="auto"/>
                <w:highlight w:val="none"/>
              </w:rPr>
              <w:t>表1-6</w:t>
            </w:r>
            <w:r>
              <w:rPr>
                <w:rFonts w:hint="eastAsia"/>
                <w:color w:val="auto"/>
                <w:highlight w:val="none"/>
              </w:rPr>
              <w:fldChar w:fldCharType="end"/>
            </w:r>
            <w:r>
              <w:rPr>
                <w:rFonts w:hint="eastAsia"/>
                <w:color w:val="auto"/>
                <w:highlight w:val="none"/>
              </w:rPr>
              <w:t>。</w:t>
            </w:r>
          </w:p>
          <w:p w14:paraId="18296A0E">
            <w:pPr>
              <w:pStyle w:val="19"/>
              <w:keepNext/>
              <w:spacing w:before="156"/>
              <w:rPr>
                <w:color w:val="auto"/>
                <w:highlight w:val="none"/>
              </w:rPr>
            </w:pPr>
            <w:bookmarkStart w:id="5" w:name="_Ref21648"/>
            <w:r>
              <w:rPr>
                <w:color w:val="auto"/>
                <w:highlight w:val="none"/>
              </w:rPr>
              <w:t>表1-</w:t>
            </w:r>
            <w:r>
              <w:rPr>
                <w:color w:val="auto"/>
                <w:highlight w:val="none"/>
              </w:rPr>
              <w:fldChar w:fldCharType="begin"/>
            </w:r>
            <w:r>
              <w:rPr>
                <w:color w:val="auto"/>
                <w:highlight w:val="none"/>
              </w:rPr>
              <w:instrText xml:space="preserve"> SEQ 表1- \* ARABIC </w:instrText>
            </w:r>
            <w:r>
              <w:rPr>
                <w:color w:val="auto"/>
                <w:highlight w:val="none"/>
              </w:rPr>
              <w:fldChar w:fldCharType="separate"/>
            </w:r>
            <w:r>
              <w:rPr>
                <w:color w:val="auto"/>
                <w:highlight w:val="none"/>
              </w:rPr>
              <w:t>6</w:t>
            </w:r>
            <w:r>
              <w:rPr>
                <w:color w:val="auto"/>
                <w:highlight w:val="none"/>
              </w:rPr>
              <w:fldChar w:fldCharType="end"/>
            </w:r>
            <w:bookmarkEnd w:id="5"/>
            <w:r>
              <w:rPr>
                <w:rFonts w:hint="eastAsia"/>
                <w:color w:val="auto"/>
                <w:highlight w:val="none"/>
              </w:rPr>
              <w:t xml:space="preserve"> </w:t>
            </w:r>
            <w:r>
              <w:rPr>
                <w:rFonts w:hint="eastAsia"/>
                <w:color w:val="auto"/>
                <w:highlight w:val="none"/>
                <w:lang w:eastAsia="zh-CN"/>
              </w:rPr>
              <w:t>扩建项目</w:t>
            </w:r>
            <w:r>
              <w:rPr>
                <w:rFonts w:hint="eastAsia"/>
                <w:color w:val="auto"/>
                <w:highlight w:val="none"/>
              </w:rPr>
              <w:t>与重庆市产业投资准入工作手册符合性分析一览表</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16"/>
              <w:gridCol w:w="786"/>
              <w:gridCol w:w="4335"/>
              <w:gridCol w:w="2181"/>
              <w:gridCol w:w="549"/>
            </w:tblGrid>
            <w:tr w14:paraId="3A774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0" w:hRule="atLeast"/>
              </w:trPr>
              <w:tc>
                <w:tcPr>
                  <w:tcW w:w="3348" w:type="pct"/>
                  <w:gridSpan w:val="3"/>
                  <w:vAlign w:val="center"/>
                </w:tcPr>
                <w:p w14:paraId="36C657AD">
                  <w:pPr>
                    <w:pStyle w:val="20"/>
                    <w:spacing w:before="31"/>
                    <w:rPr>
                      <w:b/>
                      <w:bCs/>
                      <w:color w:val="auto"/>
                      <w:highlight w:val="none"/>
                    </w:rPr>
                  </w:pPr>
                  <w:r>
                    <w:rPr>
                      <w:rFonts w:hint="eastAsia"/>
                      <w:b/>
                      <w:bCs/>
                      <w:color w:val="auto"/>
                      <w:highlight w:val="none"/>
                    </w:rPr>
                    <w:t>重庆市产业投资准入工作手册</w:t>
                  </w:r>
                </w:p>
              </w:tc>
              <w:tc>
                <w:tcPr>
                  <w:tcW w:w="1319" w:type="pct"/>
                  <w:vAlign w:val="center"/>
                </w:tcPr>
                <w:p w14:paraId="4C773773">
                  <w:pPr>
                    <w:pStyle w:val="20"/>
                    <w:spacing w:before="31"/>
                    <w:rPr>
                      <w:b/>
                      <w:bCs/>
                      <w:color w:val="auto"/>
                      <w:highlight w:val="none"/>
                    </w:rPr>
                  </w:pPr>
                  <w:r>
                    <w:rPr>
                      <w:rFonts w:hint="eastAsia"/>
                      <w:b/>
                      <w:bCs/>
                      <w:color w:val="auto"/>
                      <w:highlight w:val="none"/>
                    </w:rPr>
                    <w:t>本项目</w:t>
                  </w:r>
                </w:p>
              </w:tc>
              <w:tc>
                <w:tcPr>
                  <w:tcW w:w="332" w:type="pct"/>
                  <w:vAlign w:val="center"/>
                </w:tcPr>
                <w:p w14:paraId="5119EFE8">
                  <w:pPr>
                    <w:pStyle w:val="20"/>
                    <w:spacing w:before="31"/>
                    <w:rPr>
                      <w:b/>
                      <w:bCs/>
                      <w:color w:val="auto"/>
                      <w:highlight w:val="none"/>
                    </w:rPr>
                  </w:pPr>
                  <w:r>
                    <w:rPr>
                      <w:rFonts w:hint="eastAsia"/>
                      <w:b/>
                      <w:bCs/>
                      <w:color w:val="auto"/>
                      <w:highlight w:val="none"/>
                    </w:rPr>
                    <w:t>符合性</w:t>
                  </w:r>
                </w:p>
              </w:tc>
            </w:tr>
            <w:tr w14:paraId="49AEC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52" w:type="pct"/>
                  <w:vMerge w:val="restart"/>
                  <w:vAlign w:val="center"/>
                </w:tcPr>
                <w:p w14:paraId="424ACB1C">
                  <w:pPr>
                    <w:pStyle w:val="20"/>
                    <w:spacing w:before="31"/>
                    <w:rPr>
                      <w:color w:val="auto"/>
                      <w:highlight w:val="none"/>
                    </w:rPr>
                  </w:pPr>
                  <w:r>
                    <w:rPr>
                      <w:rFonts w:hint="eastAsia"/>
                      <w:color w:val="auto"/>
                      <w:highlight w:val="none"/>
                    </w:rPr>
                    <w:t>不予准入类</w:t>
                  </w:r>
                </w:p>
              </w:tc>
              <w:tc>
                <w:tcPr>
                  <w:tcW w:w="475" w:type="pct"/>
                  <w:vMerge w:val="restart"/>
                  <w:vAlign w:val="center"/>
                </w:tcPr>
                <w:p w14:paraId="288D2FDB">
                  <w:pPr>
                    <w:pStyle w:val="20"/>
                    <w:spacing w:before="31"/>
                    <w:rPr>
                      <w:color w:val="auto"/>
                      <w:highlight w:val="none"/>
                    </w:rPr>
                  </w:pPr>
                  <w:r>
                    <w:rPr>
                      <w:rFonts w:hint="eastAsia"/>
                      <w:color w:val="auto"/>
                      <w:highlight w:val="none"/>
                    </w:rPr>
                    <w:t>全市范围内不予准入的产业</w:t>
                  </w:r>
                </w:p>
              </w:tc>
              <w:tc>
                <w:tcPr>
                  <w:tcW w:w="2620" w:type="pct"/>
                  <w:vAlign w:val="center"/>
                </w:tcPr>
                <w:p w14:paraId="249532FF">
                  <w:pPr>
                    <w:pStyle w:val="20"/>
                    <w:spacing w:before="31"/>
                    <w:jc w:val="both"/>
                    <w:rPr>
                      <w:color w:val="auto"/>
                      <w:highlight w:val="none"/>
                    </w:rPr>
                  </w:pPr>
                  <w:r>
                    <w:rPr>
                      <w:rFonts w:hint="eastAsia"/>
                      <w:color w:val="auto"/>
                      <w:highlight w:val="none"/>
                    </w:rPr>
                    <w:t>国家产业结构调整指导目录中淘汰类项目。</w:t>
                  </w:r>
                </w:p>
              </w:tc>
              <w:tc>
                <w:tcPr>
                  <w:tcW w:w="1319" w:type="pct"/>
                  <w:vAlign w:val="center"/>
                </w:tcPr>
                <w:p w14:paraId="4DD51B67">
                  <w:pPr>
                    <w:pStyle w:val="20"/>
                    <w:spacing w:before="31"/>
                    <w:jc w:val="left"/>
                    <w:rPr>
                      <w:color w:val="auto"/>
                      <w:highlight w:val="none"/>
                    </w:rPr>
                  </w:pPr>
                  <w:r>
                    <w:rPr>
                      <w:rFonts w:hint="eastAsia"/>
                      <w:color w:val="auto"/>
                      <w:highlight w:val="none"/>
                      <w:lang w:eastAsia="zh-CN"/>
                    </w:rPr>
                    <w:t>扩建项目</w:t>
                  </w:r>
                  <w:r>
                    <w:rPr>
                      <w:color w:val="auto"/>
                      <w:highlight w:val="none"/>
                    </w:rPr>
                    <w:t>不属于鼓励类、限制类、淘汰类项目，属于允许类项目</w:t>
                  </w:r>
                  <w:r>
                    <w:rPr>
                      <w:rFonts w:hint="eastAsia"/>
                      <w:color w:val="auto"/>
                      <w:highlight w:val="none"/>
                    </w:rPr>
                    <w:t>。</w:t>
                  </w:r>
                </w:p>
              </w:tc>
              <w:tc>
                <w:tcPr>
                  <w:tcW w:w="332" w:type="pct"/>
                  <w:vAlign w:val="center"/>
                </w:tcPr>
                <w:p w14:paraId="483F7ABA">
                  <w:pPr>
                    <w:pStyle w:val="20"/>
                    <w:spacing w:before="31"/>
                    <w:jc w:val="left"/>
                    <w:rPr>
                      <w:color w:val="auto"/>
                      <w:highlight w:val="none"/>
                    </w:rPr>
                  </w:pPr>
                  <w:r>
                    <w:rPr>
                      <w:rFonts w:hint="eastAsia"/>
                      <w:color w:val="auto"/>
                      <w:highlight w:val="none"/>
                    </w:rPr>
                    <w:t>符合</w:t>
                  </w:r>
                </w:p>
              </w:tc>
            </w:tr>
            <w:tr w14:paraId="1B4B6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52" w:type="pct"/>
                  <w:vMerge w:val="continue"/>
                  <w:vAlign w:val="center"/>
                </w:tcPr>
                <w:p w14:paraId="0075DF3F">
                  <w:pPr>
                    <w:pStyle w:val="20"/>
                    <w:spacing w:before="31"/>
                    <w:rPr>
                      <w:color w:val="auto"/>
                      <w:highlight w:val="none"/>
                    </w:rPr>
                  </w:pPr>
                </w:p>
              </w:tc>
              <w:tc>
                <w:tcPr>
                  <w:tcW w:w="475" w:type="pct"/>
                  <w:vMerge w:val="continue"/>
                  <w:vAlign w:val="center"/>
                </w:tcPr>
                <w:p w14:paraId="16676223">
                  <w:pPr>
                    <w:pStyle w:val="20"/>
                    <w:spacing w:before="31"/>
                    <w:rPr>
                      <w:color w:val="auto"/>
                      <w:highlight w:val="none"/>
                    </w:rPr>
                  </w:pPr>
                </w:p>
              </w:tc>
              <w:tc>
                <w:tcPr>
                  <w:tcW w:w="2620" w:type="pct"/>
                  <w:vAlign w:val="center"/>
                </w:tcPr>
                <w:p w14:paraId="76C38B3F">
                  <w:pPr>
                    <w:pStyle w:val="20"/>
                    <w:spacing w:before="31"/>
                    <w:jc w:val="both"/>
                    <w:rPr>
                      <w:color w:val="auto"/>
                      <w:highlight w:val="none"/>
                    </w:rPr>
                  </w:pPr>
                  <w:r>
                    <w:rPr>
                      <w:rFonts w:hint="eastAsia"/>
                      <w:color w:val="auto"/>
                      <w:highlight w:val="none"/>
                    </w:rPr>
                    <w:t>天然林商业性采伐。</w:t>
                  </w:r>
                </w:p>
              </w:tc>
              <w:tc>
                <w:tcPr>
                  <w:tcW w:w="1319" w:type="pct"/>
                  <w:vAlign w:val="center"/>
                </w:tcPr>
                <w:p w14:paraId="0FF6DEDC">
                  <w:pPr>
                    <w:pStyle w:val="20"/>
                    <w:spacing w:before="31"/>
                    <w:jc w:val="left"/>
                    <w:rPr>
                      <w:color w:val="auto"/>
                      <w:highlight w:val="none"/>
                    </w:rPr>
                  </w:pPr>
                  <w:r>
                    <w:rPr>
                      <w:rFonts w:hint="eastAsia"/>
                      <w:color w:val="auto"/>
                      <w:highlight w:val="none"/>
                    </w:rPr>
                    <w:t>不涉及。</w:t>
                  </w:r>
                </w:p>
              </w:tc>
              <w:tc>
                <w:tcPr>
                  <w:tcW w:w="332" w:type="pct"/>
                  <w:vAlign w:val="center"/>
                </w:tcPr>
                <w:p w14:paraId="564665FB">
                  <w:pPr>
                    <w:pStyle w:val="20"/>
                    <w:spacing w:before="31"/>
                    <w:jc w:val="left"/>
                    <w:rPr>
                      <w:color w:val="auto"/>
                      <w:highlight w:val="none"/>
                    </w:rPr>
                  </w:pPr>
                  <w:r>
                    <w:rPr>
                      <w:rFonts w:hint="eastAsia"/>
                      <w:color w:val="auto"/>
                      <w:highlight w:val="none"/>
                    </w:rPr>
                    <w:t>符合</w:t>
                  </w:r>
                </w:p>
              </w:tc>
            </w:tr>
            <w:tr w14:paraId="4E8ED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52" w:type="pct"/>
                  <w:vMerge w:val="continue"/>
                  <w:vAlign w:val="center"/>
                </w:tcPr>
                <w:p w14:paraId="0644B95B">
                  <w:pPr>
                    <w:pStyle w:val="20"/>
                    <w:spacing w:before="31"/>
                    <w:rPr>
                      <w:color w:val="auto"/>
                      <w:highlight w:val="none"/>
                    </w:rPr>
                  </w:pPr>
                </w:p>
              </w:tc>
              <w:tc>
                <w:tcPr>
                  <w:tcW w:w="475" w:type="pct"/>
                  <w:vMerge w:val="continue"/>
                  <w:vAlign w:val="center"/>
                </w:tcPr>
                <w:p w14:paraId="1C9058C6">
                  <w:pPr>
                    <w:pStyle w:val="20"/>
                    <w:spacing w:before="31"/>
                    <w:rPr>
                      <w:color w:val="auto"/>
                      <w:highlight w:val="none"/>
                    </w:rPr>
                  </w:pPr>
                </w:p>
              </w:tc>
              <w:tc>
                <w:tcPr>
                  <w:tcW w:w="2620" w:type="pct"/>
                  <w:vAlign w:val="center"/>
                </w:tcPr>
                <w:p w14:paraId="7B46A426">
                  <w:pPr>
                    <w:pStyle w:val="20"/>
                    <w:spacing w:before="31"/>
                    <w:jc w:val="both"/>
                    <w:rPr>
                      <w:color w:val="auto"/>
                      <w:highlight w:val="none"/>
                    </w:rPr>
                  </w:pPr>
                  <w:r>
                    <w:rPr>
                      <w:rFonts w:hint="eastAsia"/>
                      <w:color w:val="auto"/>
                      <w:highlight w:val="none"/>
                    </w:rPr>
                    <w:t>法律法规和相关政策明令不予准入的其他项目。</w:t>
                  </w:r>
                </w:p>
              </w:tc>
              <w:tc>
                <w:tcPr>
                  <w:tcW w:w="1319" w:type="pct"/>
                  <w:vAlign w:val="center"/>
                </w:tcPr>
                <w:p w14:paraId="21F5647D">
                  <w:pPr>
                    <w:pStyle w:val="20"/>
                    <w:spacing w:before="31"/>
                    <w:jc w:val="left"/>
                    <w:rPr>
                      <w:color w:val="auto"/>
                      <w:highlight w:val="none"/>
                    </w:rPr>
                  </w:pPr>
                  <w:r>
                    <w:rPr>
                      <w:rFonts w:hint="eastAsia"/>
                      <w:color w:val="auto"/>
                      <w:highlight w:val="none"/>
                      <w:lang w:eastAsia="zh-CN"/>
                    </w:rPr>
                    <w:t>扩建项目</w:t>
                  </w:r>
                  <w:r>
                    <w:rPr>
                      <w:rFonts w:hint="eastAsia"/>
                      <w:color w:val="auto"/>
                      <w:highlight w:val="none"/>
                    </w:rPr>
                    <w:t>不属于法律法规和相关政策明令不予准入的其他项目。</w:t>
                  </w:r>
                </w:p>
              </w:tc>
              <w:tc>
                <w:tcPr>
                  <w:tcW w:w="332" w:type="pct"/>
                  <w:vAlign w:val="center"/>
                </w:tcPr>
                <w:p w14:paraId="6A234526">
                  <w:pPr>
                    <w:pStyle w:val="20"/>
                    <w:spacing w:before="31"/>
                    <w:jc w:val="left"/>
                    <w:rPr>
                      <w:color w:val="auto"/>
                      <w:highlight w:val="none"/>
                    </w:rPr>
                  </w:pPr>
                  <w:r>
                    <w:rPr>
                      <w:rFonts w:hint="eastAsia"/>
                      <w:color w:val="auto"/>
                      <w:highlight w:val="none"/>
                    </w:rPr>
                    <w:t>符合</w:t>
                  </w:r>
                </w:p>
              </w:tc>
            </w:tr>
            <w:tr w14:paraId="553E8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52" w:type="pct"/>
                  <w:vMerge w:val="continue"/>
                  <w:vAlign w:val="center"/>
                </w:tcPr>
                <w:p w14:paraId="2209BE4B">
                  <w:pPr>
                    <w:pStyle w:val="20"/>
                    <w:spacing w:before="31"/>
                    <w:rPr>
                      <w:color w:val="auto"/>
                      <w:highlight w:val="none"/>
                    </w:rPr>
                  </w:pPr>
                </w:p>
              </w:tc>
              <w:tc>
                <w:tcPr>
                  <w:tcW w:w="475" w:type="pct"/>
                  <w:vMerge w:val="restart"/>
                  <w:vAlign w:val="center"/>
                </w:tcPr>
                <w:p w14:paraId="3CC5B690">
                  <w:pPr>
                    <w:pStyle w:val="20"/>
                    <w:spacing w:before="31"/>
                    <w:rPr>
                      <w:color w:val="auto"/>
                      <w:highlight w:val="none"/>
                    </w:rPr>
                  </w:pPr>
                  <w:r>
                    <w:rPr>
                      <w:rFonts w:hint="eastAsia"/>
                      <w:color w:val="auto"/>
                      <w:highlight w:val="none"/>
                    </w:rPr>
                    <w:t>重点区域不予准入的产业</w:t>
                  </w:r>
                </w:p>
              </w:tc>
              <w:tc>
                <w:tcPr>
                  <w:tcW w:w="2620" w:type="pct"/>
                  <w:vAlign w:val="center"/>
                </w:tcPr>
                <w:p w14:paraId="2E3481DB">
                  <w:pPr>
                    <w:pStyle w:val="20"/>
                    <w:spacing w:before="31"/>
                    <w:jc w:val="both"/>
                    <w:rPr>
                      <w:color w:val="auto"/>
                      <w:highlight w:val="none"/>
                    </w:rPr>
                  </w:pPr>
                  <w:r>
                    <w:rPr>
                      <w:rFonts w:hint="eastAsia"/>
                      <w:color w:val="auto"/>
                      <w:highlight w:val="none"/>
                    </w:rPr>
                    <w:t>外环绕城高速公路以内长江、嘉陵江水域采砂。</w:t>
                  </w:r>
                </w:p>
              </w:tc>
              <w:tc>
                <w:tcPr>
                  <w:tcW w:w="1319" w:type="pct"/>
                  <w:vAlign w:val="center"/>
                </w:tcPr>
                <w:p w14:paraId="0061D541">
                  <w:pPr>
                    <w:pStyle w:val="20"/>
                    <w:spacing w:before="31"/>
                    <w:jc w:val="left"/>
                    <w:rPr>
                      <w:color w:val="auto"/>
                      <w:highlight w:val="none"/>
                    </w:rPr>
                  </w:pPr>
                  <w:r>
                    <w:rPr>
                      <w:rFonts w:hint="eastAsia"/>
                      <w:color w:val="auto"/>
                      <w:highlight w:val="none"/>
                    </w:rPr>
                    <w:t>不涉及。</w:t>
                  </w:r>
                </w:p>
              </w:tc>
              <w:tc>
                <w:tcPr>
                  <w:tcW w:w="332" w:type="pct"/>
                  <w:vAlign w:val="center"/>
                </w:tcPr>
                <w:p w14:paraId="460D2A80">
                  <w:pPr>
                    <w:pStyle w:val="20"/>
                    <w:spacing w:before="31"/>
                    <w:jc w:val="left"/>
                    <w:rPr>
                      <w:color w:val="auto"/>
                      <w:highlight w:val="none"/>
                    </w:rPr>
                  </w:pPr>
                  <w:r>
                    <w:rPr>
                      <w:rFonts w:hint="eastAsia"/>
                      <w:color w:val="auto"/>
                      <w:highlight w:val="none"/>
                    </w:rPr>
                    <w:t>符合</w:t>
                  </w:r>
                </w:p>
              </w:tc>
            </w:tr>
            <w:tr w14:paraId="51B86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52" w:type="pct"/>
                  <w:vMerge w:val="continue"/>
                  <w:vAlign w:val="center"/>
                </w:tcPr>
                <w:p w14:paraId="4DBBEBE6">
                  <w:pPr>
                    <w:pStyle w:val="20"/>
                    <w:spacing w:before="31"/>
                    <w:rPr>
                      <w:color w:val="auto"/>
                      <w:highlight w:val="none"/>
                    </w:rPr>
                  </w:pPr>
                </w:p>
              </w:tc>
              <w:tc>
                <w:tcPr>
                  <w:tcW w:w="475" w:type="pct"/>
                  <w:vMerge w:val="continue"/>
                  <w:vAlign w:val="center"/>
                </w:tcPr>
                <w:p w14:paraId="4E792520">
                  <w:pPr>
                    <w:pStyle w:val="20"/>
                    <w:spacing w:before="31"/>
                    <w:rPr>
                      <w:color w:val="auto"/>
                      <w:highlight w:val="none"/>
                    </w:rPr>
                  </w:pPr>
                </w:p>
              </w:tc>
              <w:tc>
                <w:tcPr>
                  <w:tcW w:w="2620" w:type="pct"/>
                  <w:vAlign w:val="center"/>
                </w:tcPr>
                <w:p w14:paraId="60DCA58D">
                  <w:pPr>
                    <w:pStyle w:val="20"/>
                    <w:spacing w:before="31"/>
                    <w:jc w:val="both"/>
                    <w:rPr>
                      <w:color w:val="auto"/>
                      <w:highlight w:val="none"/>
                    </w:rPr>
                  </w:pPr>
                  <w:r>
                    <w:rPr>
                      <w:rFonts w:hint="eastAsia"/>
                      <w:color w:val="auto"/>
                      <w:highlight w:val="none"/>
                    </w:rPr>
                    <w:t>二十五度以上陡坡地开垦种植农作物。</w:t>
                  </w:r>
                </w:p>
              </w:tc>
              <w:tc>
                <w:tcPr>
                  <w:tcW w:w="1319" w:type="pct"/>
                  <w:vAlign w:val="center"/>
                </w:tcPr>
                <w:p w14:paraId="64FC6891">
                  <w:pPr>
                    <w:pStyle w:val="20"/>
                    <w:spacing w:before="31"/>
                    <w:jc w:val="left"/>
                    <w:rPr>
                      <w:color w:val="auto"/>
                      <w:highlight w:val="none"/>
                    </w:rPr>
                  </w:pPr>
                  <w:r>
                    <w:rPr>
                      <w:rFonts w:hint="eastAsia"/>
                      <w:color w:val="auto"/>
                      <w:highlight w:val="none"/>
                    </w:rPr>
                    <w:t>不涉及。</w:t>
                  </w:r>
                </w:p>
              </w:tc>
              <w:tc>
                <w:tcPr>
                  <w:tcW w:w="332" w:type="pct"/>
                  <w:vAlign w:val="center"/>
                </w:tcPr>
                <w:p w14:paraId="6F6CE87F">
                  <w:pPr>
                    <w:pStyle w:val="20"/>
                    <w:spacing w:before="31"/>
                    <w:jc w:val="left"/>
                    <w:rPr>
                      <w:color w:val="auto"/>
                      <w:highlight w:val="none"/>
                    </w:rPr>
                  </w:pPr>
                  <w:r>
                    <w:rPr>
                      <w:rFonts w:hint="eastAsia"/>
                      <w:color w:val="auto"/>
                      <w:highlight w:val="none"/>
                    </w:rPr>
                    <w:t>符合</w:t>
                  </w:r>
                </w:p>
              </w:tc>
            </w:tr>
            <w:tr w14:paraId="0792D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52" w:type="pct"/>
                  <w:vMerge w:val="continue"/>
                  <w:vAlign w:val="center"/>
                </w:tcPr>
                <w:p w14:paraId="12DFC785">
                  <w:pPr>
                    <w:pStyle w:val="20"/>
                    <w:spacing w:before="31"/>
                    <w:rPr>
                      <w:color w:val="auto"/>
                      <w:highlight w:val="none"/>
                    </w:rPr>
                  </w:pPr>
                </w:p>
              </w:tc>
              <w:tc>
                <w:tcPr>
                  <w:tcW w:w="475" w:type="pct"/>
                  <w:vMerge w:val="continue"/>
                  <w:vAlign w:val="center"/>
                </w:tcPr>
                <w:p w14:paraId="3E0F02F9">
                  <w:pPr>
                    <w:pStyle w:val="20"/>
                    <w:spacing w:before="31"/>
                    <w:rPr>
                      <w:color w:val="auto"/>
                      <w:highlight w:val="none"/>
                    </w:rPr>
                  </w:pPr>
                </w:p>
              </w:tc>
              <w:tc>
                <w:tcPr>
                  <w:tcW w:w="2620" w:type="pct"/>
                  <w:vAlign w:val="center"/>
                </w:tcPr>
                <w:p w14:paraId="42EBF7E1">
                  <w:pPr>
                    <w:pStyle w:val="20"/>
                    <w:spacing w:before="31"/>
                    <w:jc w:val="both"/>
                    <w:rPr>
                      <w:color w:val="auto"/>
                      <w:highlight w:val="none"/>
                    </w:rPr>
                  </w:pPr>
                  <w:r>
                    <w:rPr>
                      <w:rFonts w:hint="eastAsia"/>
                      <w:color w:val="auto"/>
                      <w:highlight w:val="none"/>
                    </w:rPr>
                    <w:t>在自然保护区核心区、缓冲区的岸线和河段范围内投资建设旅游和生产经营项目。</w:t>
                  </w:r>
                </w:p>
              </w:tc>
              <w:tc>
                <w:tcPr>
                  <w:tcW w:w="1319" w:type="pct"/>
                  <w:vAlign w:val="center"/>
                </w:tcPr>
                <w:p w14:paraId="19B0F46A">
                  <w:pPr>
                    <w:pStyle w:val="20"/>
                    <w:spacing w:before="31"/>
                    <w:jc w:val="left"/>
                    <w:rPr>
                      <w:color w:val="auto"/>
                      <w:highlight w:val="none"/>
                    </w:rPr>
                  </w:pPr>
                  <w:r>
                    <w:rPr>
                      <w:rFonts w:hint="eastAsia"/>
                      <w:color w:val="auto"/>
                      <w:highlight w:val="none"/>
                    </w:rPr>
                    <w:t>不涉及。</w:t>
                  </w:r>
                </w:p>
              </w:tc>
              <w:tc>
                <w:tcPr>
                  <w:tcW w:w="332" w:type="pct"/>
                  <w:vAlign w:val="center"/>
                </w:tcPr>
                <w:p w14:paraId="12B1528C">
                  <w:pPr>
                    <w:pStyle w:val="20"/>
                    <w:spacing w:before="31"/>
                    <w:jc w:val="left"/>
                    <w:rPr>
                      <w:color w:val="auto"/>
                      <w:highlight w:val="none"/>
                    </w:rPr>
                  </w:pPr>
                  <w:r>
                    <w:rPr>
                      <w:rFonts w:hint="eastAsia"/>
                      <w:color w:val="auto"/>
                      <w:highlight w:val="none"/>
                    </w:rPr>
                    <w:t>符合</w:t>
                  </w:r>
                </w:p>
              </w:tc>
            </w:tr>
            <w:tr w14:paraId="4E488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52" w:type="pct"/>
                  <w:vMerge w:val="continue"/>
                  <w:vAlign w:val="center"/>
                </w:tcPr>
                <w:p w14:paraId="76AAEC1F">
                  <w:pPr>
                    <w:pStyle w:val="20"/>
                    <w:spacing w:before="31"/>
                    <w:rPr>
                      <w:color w:val="auto"/>
                      <w:highlight w:val="none"/>
                    </w:rPr>
                  </w:pPr>
                </w:p>
              </w:tc>
              <w:tc>
                <w:tcPr>
                  <w:tcW w:w="475" w:type="pct"/>
                  <w:vMerge w:val="continue"/>
                  <w:vAlign w:val="center"/>
                </w:tcPr>
                <w:p w14:paraId="520064CE">
                  <w:pPr>
                    <w:pStyle w:val="20"/>
                    <w:spacing w:before="31"/>
                    <w:rPr>
                      <w:color w:val="auto"/>
                      <w:highlight w:val="none"/>
                    </w:rPr>
                  </w:pPr>
                </w:p>
              </w:tc>
              <w:tc>
                <w:tcPr>
                  <w:tcW w:w="2620" w:type="pct"/>
                  <w:vAlign w:val="center"/>
                </w:tcPr>
                <w:p w14:paraId="16CA6930">
                  <w:pPr>
                    <w:pStyle w:val="20"/>
                    <w:spacing w:before="31"/>
                    <w:jc w:val="both"/>
                    <w:rPr>
                      <w:color w:val="auto"/>
                      <w:highlight w:val="none"/>
                    </w:rPr>
                  </w:pPr>
                  <w:r>
                    <w:rPr>
                      <w:rFonts w:hint="eastAsia"/>
                      <w:color w:val="auto"/>
                      <w:highlight w:val="none"/>
                    </w:rPr>
                    <w:t>饮用水水源一级保护区的岸线和河段范围内新建、改建、扩建与供水设施和保护水源无关的项目，以及网箱养殖、畜禽养殖、放养畜禽、旅游等可能污染饮用水水体的投资建设项目。在饮用水水源二级保护区的岸线和河段范围内新建、改建、扩建排放污染物的投资建设项目。</w:t>
                  </w:r>
                </w:p>
              </w:tc>
              <w:tc>
                <w:tcPr>
                  <w:tcW w:w="1319" w:type="pct"/>
                  <w:vAlign w:val="center"/>
                </w:tcPr>
                <w:p w14:paraId="769F86A1">
                  <w:pPr>
                    <w:pStyle w:val="20"/>
                    <w:spacing w:before="31"/>
                    <w:jc w:val="left"/>
                    <w:rPr>
                      <w:color w:val="auto"/>
                      <w:highlight w:val="none"/>
                    </w:rPr>
                  </w:pPr>
                  <w:r>
                    <w:rPr>
                      <w:rFonts w:hint="eastAsia"/>
                      <w:color w:val="auto"/>
                      <w:highlight w:val="none"/>
                    </w:rPr>
                    <w:t>本项目</w:t>
                  </w:r>
                  <w:r>
                    <w:rPr>
                      <w:rFonts w:hint="eastAsia"/>
                      <w:color w:val="auto"/>
                      <w:highlight w:val="none"/>
                      <w:lang w:eastAsia="zh-CN"/>
                    </w:rPr>
                    <w:t>位于西彭工业园区西彭组团</w:t>
                  </w:r>
                  <w:r>
                    <w:rPr>
                      <w:rFonts w:hint="eastAsia"/>
                      <w:color w:val="auto"/>
                      <w:highlight w:val="none"/>
                    </w:rPr>
                    <w:t>，不属于饮用水水源一级、二级保护区的岸线和河段范围内。</w:t>
                  </w:r>
                </w:p>
              </w:tc>
              <w:tc>
                <w:tcPr>
                  <w:tcW w:w="332" w:type="pct"/>
                  <w:vAlign w:val="center"/>
                </w:tcPr>
                <w:p w14:paraId="5E095D23">
                  <w:pPr>
                    <w:pStyle w:val="20"/>
                    <w:spacing w:before="31"/>
                    <w:jc w:val="left"/>
                    <w:rPr>
                      <w:color w:val="auto"/>
                      <w:highlight w:val="none"/>
                    </w:rPr>
                  </w:pPr>
                  <w:r>
                    <w:rPr>
                      <w:rFonts w:hint="eastAsia"/>
                      <w:color w:val="auto"/>
                      <w:highlight w:val="none"/>
                    </w:rPr>
                    <w:t>符合</w:t>
                  </w:r>
                </w:p>
              </w:tc>
            </w:tr>
            <w:tr w14:paraId="2403C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52" w:type="pct"/>
                  <w:vMerge w:val="continue"/>
                  <w:vAlign w:val="center"/>
                </w:tcPr>
                <w:p w14:paraId="19416DB0">
                  <w:pPr>
                    <w:pStyle w:val="20"/>
                    <w:spacing w:before="31"/>
                    <w:rPr>
                      <w:color w:val="auto"/>
                      <w:highlight w:val="none"/>
                    </w:rPr>
                  </w:pPr>
                </w:p>
              </w:tc>
              <w:tc>
                <w:tcPr>
                  <w:tcW w:w="475" w:type="pct"/>
                  <w:vMerge w:val="continue"/>
                  <w:vAlign w:val="center"/>
                </w:tcPr>
                <w:p w14:paraId="1FF65AE4">
                  <w:pPr>
                    <w:pStyle w:val="20"/>
                    <w:spacing w:before="31"/>
                    <w:rPr>
                      <w:color w:val="auto"/>
                      <w:highlight w:val="none"/>
                    </w:rPr>
                  </w:pPr>
                </w:p>
              </w:tc>
              <w:tc>
                <w:tcPr>
                  <w:tcW w:w="2620" w:type="pct"/>
                  <w:vAlign w:val="center"/>
                </w:tcPr>
                <w:p w14:paraId="37DC98E4">
                  <w:pPr>
                    <w:pStyle w:val="20"/>
                    <w:spacing w:before="31"/>
                    <w:jc w:val="both"/>
                    <w:rPr>
                      <w:color w:val="auto"/>
                      <w:highlight w:val="none"/>
                    </w:rPr>
                  </w:pPr>
                  <w:r>
                    <w:rPr>
                      <w:rFonts w:hint="eastAsia"/>
                      <w:color w:val="auto"/>
                      <w:highlight w:val="none"/>
                    </w:rPr>
                    <w:t>长江干流岸线3公里范围内和重要支流岸线1公里范围内新建、改建、扩建尾矿库、冶炼渣库和磷石膏库（以提升安全、生态环境保护水平为目的的改建除外）。</w:t>
                  </w:r>
                </w:p>
              </w:tc>
              <w:tc>
                <w:tcPr>
                  <w:tcW w:w="1319" w:type="pct"/>
                  <w:vAlign w:val="center"/>
                </w:tcPr>
                <w:p w14:paraId="6BF9B75B">
                  <w:pPr>
                    <w:pStyle w:val="20"/>
                    <w:spacing w:before="31"/>
                    <w:jc w:val="left"/>
                    <w:rPr>
                      <w:color w:val="auto"/>
                      <w:highlight w:val="none"/>
                    </w:rPr>
                  </w:pPr>
                  <w:r>
                    <w:rPr>
                      <w:rFonts w:hint="eastAsia"/>
                      <w:color w:val="auto"/>
                      <w:highlight w:val="none"/>
                      <w:lang w:eastAsia="zh-CN"/>
                    </w:rPr>
                    <w:t>扩建项目</w:t>
                  </w:r>
                  <w:r>
                    <w:rPr>
                      <w:rFonts w:hint="eastAsia"/>
                      <w:color w:val="auto"/>
                      <w:highlight w:val="none"/>
                    </w:rPr>
                    <w:t>不属于尾矿库、冶炼渣库和磷石膏库项目。</w:t>
                  </w:r>
                </w:p>
              </w:tc>
              <w:tc>
                <w:tcPr>
                  <w:tcW w:w="332" w:type="pct"/>
                  <w:vAlign w:val="center"/>
                </w:tcPr>
                <w:p w14:paraId="18AC648E">
                  <w:pPr>
                    <w:pStyle w:val="20"/>
                    <w:spacing w:before="31"/>
                    <w:jc w:val="left"/>
                    <w:rPr>
                      <w:color w:val="auto"/>
                      <w:highlight w:val="none"/>
                    </w:rPr>
                  </w:pPr>
                  <w:r>
                    <w:rPr>
                      <w:rFonts w:hint="eastAsia"/>
                      <w:color w:val="auto"/>
                      <w:highlight w:val="none"/>
                    </w:rPr>
                    <w:t>符合</w:t>
                  </w:r>
                </w:p>
              </w:tc>
            </w:tr>
            <w:tr w14:paraId="6FD83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52" w:type="pct"/>
                  <w:vMerge w:val="continue"/>
                  <w:vAlign w:val="center"/>
                </w:tcPr>
                <w:p w14:paraId="7B4641A1">
                  <w:pPr>
                    <w:pStyle w:val="20"/>
                    <w:spacing w:before="31"/>
                    <w:rPr>
                      <w:color w:val="auto"/>
                      <w:highlight w:val="none"/>
                    </w:rPr>
                  </w:pPr>
                </w:p>
              </w:tc>
              <w:tc>
                <w:tcPr>
                  <w:tcW w:w="475" w:type="pct"/>
                  <w:vMerge w:val="continue"/>
                  <w:vAlign w:val="center"/>
                </w:tcPr>
                <w:p w14:paraId="3F873D9E">
                  <w:pPr>
                    <w:pStyle w:val="20"/>
                    <w:spacing w:before="31"/>
                    <w:rPr>
                      <w:color w:val="auto"/>
                      <w:highlight w:val="none"/>
                    </w:rPr>
                  </w:pPr>
                </w:p>
              </w:tc>
              <w:tc>
                <w:tcPr>
                  <w:tcW w:w="2620" w:type="pct"/>
                  <w:vAlign w:val="center"/>
                </w:tcPr>
                <w:p w14:paraId="57D62A77">
                  <w:pPr>
                    <w:pStyle w:val="20"/>
                    <w:spacing w:before="31"/>
                    <w:jc w:val="both"/>
                    <w:rPr>
                      <w:color w:val="auto"/>
                      <w:highlight w:val="none"/>
                    </w:rPr>
                  </w:pPr>
                  <w:r>
                    <w:rPr>
                      <w:rFonts w:hint="eastAsia"/>
                      <w:color w:val="auto"/>
                      <w:highlight w:val="none"/>
                    </w:rPr>
                    <w:t>在风景名胜区核心景区的岸线和河段范围内投资建设与风景名胜资源保护无关的项目。</w:t>
                  </w:r>
                </w:p>
              </w:tc>
              <w:tc>
                <w:tcPr>
                  <w:tcW w:w="1319" w:type="pct"/>
                  <w:vAlign w:val="center"/>
                </w:tcPr>
                <w:p w14:paraId="1FD6199B">
                  <w:pPr>
                    <w:pStyle w:val="20"/>
                    <w:spacing w:before="31"/>
                    <w:jc w:val="left"/>
                    <w:rPr>
                      <w:color w:val="auto"/>
                      <w:highlight w:val="none"/>
                    </w:rPr>
                  </w:pPr>
                  <w:r>
                    <w:rPr>
                      <w:rFonts w:hint="eastAsia"/>
                      <w:color w:val="auto"/>
                      <w:highlight w:val="none"/>
                    </w:rPr>
                    <w:t>不涉及。</w:t>
                  </w:r>
                </w:p>
              </w:tc>
              <w:tc>
                <w:tcPr>
                  <w:tcW w:w="332" w:type="pct"/>
                  <w:vAlign w:val="center"/>
                </w:tcPr>
                <w:p w14:paraId="4415156F">
                  <w:pPr>
                    <w:pStyle w:val="20"/>
                    <w:spacing w:before="31"/>
                    <w:jc w:val="left"/>
                    <w:rPr>
                      <w:color w:val="auto"/>
                      <w:highlight w:val="none"/>
                    </w:rPr>
                  </w:pPr>
                  <w:r>
                    <w:rPr>
                      <w:rFonts w:hint="eastAsia"/>
                      <w:color w:val="auto"/>
                      <w:highlight w:val="none"/>
                    </w:rPr>
                    <w:t>符合</w:t>
                  </w:r>
                </w:p>
              </w:tc>
            </w:tr>
            <w:tr w14:paraId="2F6B6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52" w:type="pct"/>
                  <w:vMerge w:val="continue"/>
                  <w:vAlign w:val="center"/>
                </w:tcPr>
                <w:p w14:paraId="02287E88">
                  <w:pPr>
                    <w:pStyle w:val="20"/>
                    <w:spacing w:before="31"/>
                    <w:rPr>
                      <w:color w:val="auto"/>
                      <w:highlight w:val="none"/>
                    </w:rPr>
                  </w:pPr>
                </w:p>
              </w:tc>
              <w:tc>
                <w:tcPr>
                  <w:tcW w:w="475" w:type="pct"/>
                  <w:vMerge w:val="continue"/>
                  <w:vAlign w:val="center"/>
                </w:tcPr>
                <w:p w14:paraId="2479AE1A">
                  <w:pPr>
                    <w:pStyle w:val="20"/>
                    <w:spacing w:before="31"/>
                    <w:rPr>
                      <w:color w:val="auto"/>
                      <w:highlight w:val="none"/>
                    </w:rPr>
                  </w:pPr>
                </w:p>
              </w:tc>
              <w:tc>
                <w:tcPr>
                  <w:tcW w:w="2620" w:type="pct"/>
                  <w:vAlign w:val="center"/>
                </w:tcPr>
                <w:p w14:paraId="19E09378">
                  <w:pPr>
                    <w:pStyle w:val="20"/>
                    <w:spacing w:before="31"/>
                    <w:jc w:val="both"/>
                    <w:rPr>
                      <w:color w:val="auto"/>
                      <w:highlight w:val="none"/>
                    </w:rPr>
                  </w:pPr>
                  <w:r>
                    <w:rPr>
                      <w:rFonts w:hint="eastAsia"/>
                      <w:color w:val="auto"/>
                      <w:highlight w:val="none"/>
                    </w:rPr>
                    <w:t>在国家湿地公园的岸线和河段范围内挖沙、采矿，以及任何不符合主体功能定位的投资建设项目。</w:t>
                  </w:r>
                </w:p>
              </w:tc>
              <w:tc>
                <w:tcPr>
                  <w:tcW w:w="1319" w:type="pct"/>
                  <w:vAlign w:val="center"/>
                </w:tcPr>
                <w:p w14:paraId="1AC566D8">
                  <w:pPr>
                    <w:pStyle w:val="20"/>
                    <w:spacing w:before="31"/>
                    <w:jc w:val="left"/>
                    <w:rPr>
                      <w:color w:val="auto"/>
                      <w:highlight w:val="none"/>
                    </w:rPr>
                  </w:pPr>
                  <w:r>
                    <w:rPr>
                      <w:rFonts w:hint="eastAsia"/>
                      <w:color w:val="auto"/>
                      <w:highlight w:val="none"/>
                    </w:rPr>
                    <w:t>不涉及。</w:t>
                  </w:r>
                </w:p>
              </w:tc>
              <w:tc>
                <w:tcPr>
                  <w:tcW w:w="332" w:type="pct"/>
                  <w:vAlign w:val="center"/>
                </w:tcPr>
                <w:p w14:paraId="0A7D1618">
                  <w:pPr>
                    <w:pStyle w:val="20"/>
                    <w:spacing w:before="31"/>
                    <w:jc w:val="left"/>
                    <w:rPr>
                      <w:color w:val="auto"/>
                      <w:highlight w:val="none"/>
                    </w:rPr>
                  </w:pPr>
                  <w:r>
                    <w:rPr>
                      <w:rFonts w:hint="eastAsia"/>
                      <w:color w:val="auto"/>
                      <w:highlight w:val="none"/>
                    </w:rPr>
                    <w:t>符合</w:t>
                  </w:r>
                </w:p>
              </w:tc>
            </w:tr>
            <w:tr w14:paraId="7244A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52" w:type="pct"/>
                  <w:vMerge w:val="continue"/>
                  <w:vAlign w:val="center"/>
                </w:tcPr>
                <w:p w14:paraId="1345184C">
                  <w:pPr>
                    <w:pStyle w:val="20"/>
                    <w:spacing w:before="31"/>
                    <w:rPr>
                      <w:color w:val="auto"/>
                      <w:highlight w:val="none"/>
                    </w:rPr>
                  </w:pPr>
                </w:p>
              </w:tc>
              <w:tc>
                <w:tcPr>
                  <w:tcW w:w="475" w:type="pct"/>
                  <w:vMerge w:val="continue"/>
                  <w:vAlign w:val="center"/>
                </w:tcPr>
                <w:p w14:paraId="39041C30">
                  <w:pPr>
                    <w:pStyle w:val="20"/>
                    <w:spacing w:before="31"/>
                    <w:rPr>
                      <w:color w:val="auto"/>
                      <w:highlight w:val="none"/>
                    </w:rPr>
                  </w:pPr>
                </w:p>
              </w:tc>
              <w:tc>
                <w:tcPr>
                  <w:tcW w:w="2620" w:type="pct"/>
                  <w:vAlign w:val="center"/>
                </w:tcPr>
                <w:p w14:paraId="58047003">
                  <w:pPr>
                    <w:pStyle w:val="20"/>
                    <w:spacing w:before="31"/>
                    <w:jc w:val="both"/>
                    <w:rPr>
                      <w:color w:val="auto"/>
                      <w:highlight w:val="none"/>
                    </w:rPr>
                  </w:pPr>
                  <w:r>
                    <w:rPr>
                      <w:rFonts w:hint="eastAsia"/>
                      <w:color w:val="auto"/>
                      <w:highlight w:val="none"/>
                    </w:rPr>
                    <w:t>在《长江岸线保护和开发利用总体规划》划定的岸线保护区和保留区内投资建设除事关公共安全及公众利益的防洪护岸、河道治理、供水、生态环境保护、航道整治、国家重要基础设施以外的项目。</w:t>
                  </w:r>
                </w:p>
              </w:tc>
              <w:tc>
                <w:tcPr>
                  <w:tcW w:w="1319" w:type="pct"/>
                  <w:vAlign w:val="center"/>
                </w:tcPr>
                <w:p w14:paraId="1B455722">
                  <w:pPr>
                    <w:pStyle w:val="20"/>
                    <w:spacing w:before="31"/>
                    <w:jc w:val="left"/>
                    <w:rPr>
                      <w:color w:val="auto"/>
                      <w:highlight w:val="none"/>
                    </w:rPr>
                  </w:pPr>
                  <w:r>
                    <w:rPr>
                      <w:rFonts w:hint="eastAsia"/>
                      <w:color w:val="auto"/>
                      <w:highlight w:val="none"/>
                      <w:lang w:eastAsia="zh-CN"/>
                    </w:rPr>
                    <w:t>扩建项目</w:t>
                  </w:r>
                  <w:r>
                    <w:rPr>
                      <w:rFonts w:hint="eastAsia"/>
                      <w:color w:val="auto"/>
                      <w:highlight w:val="none"/>
                    </w:rPr>
                    <w:t>不位于文件划定的岸线保护区和保留区内。</w:t>
                  </w:r>
                </w:p>
              </w:tc>
              <w:tc>
                <w:tcPr>
                  <w:tcW w:w="332" w:type="pct"/>
                  <w:vAlign w:val="center"/>
                </w:tcPr>
                <w:p w14:paraId="45FF9EE1">
                  <w:pPr>
                    <w:pStyle w:val="20"/>
                    <w:spacing w:before="31"/>
                    <w:jc w:val="left"/>
                    <w:rPr>
                      <w:color w:val="auto"/>
                      <w:highlight w:val="none"/>
                    </w:rPr>
                  </w:pPr>
                  <w:r>
                    <w:rPr>
                      <w:rFonts w:hint="eastAsia"/>
                      <w:color w:val="auto"/>
                      <w:highlight w:val="none"/>
                    </w:rPr>
                    <w:t>符合</w:t>
                  </w:r>
                </w:p>
              </w:tc>
            </w:tr>
            <w:tr w14:paraId="4A968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52" w:type="pct"/>
                  <w:vMerge w:val="continue"/>
                  <w:vAlign w:val="center"/>
                </w:tcPr>
                <w:p w14:paraId="0873B5C8">
                  <w:pPr>
                    <w:pStyle w:val="20"/>
                    <w:spacing w:before="31"/>
                    <w:rPr>
                      <w:color w:val="auto"/>
                      <w:highlight w:val="none"/>
                    </w:rPr>
                  </w:pPr>
                </w:p>
              </w:tc>
              <w:tc>
                <w:tcPr>
                  <w:tcW w:w="475" w:type="pct"/>
                  <w:vMerge w:val="continue"/>
                  <w:vAlign w:val="center"/>
                </w:tcPr>
                <w:p w14:paraId="5B6CE960">
                  <w:pPr>
                    <w:pStyle w:val="20"/>
                    <w:spacing w:before="31"/>
                    <w:rPr>
                      <w:color w:val="auto"/>
                      <w:highlight w:val="none"/>
                    </w:rPr>
                  </w:pPr>
                </w:p>
              </w:tc>
              <w:tc>
                <w:tcPr>
                  <w:tcW w:w="2620" w:type="pct"/>
                  <w:vAlign w:val="center"/>
                </w:tcPr>
                <w:p w14:paraId="2B542FF9">
                  <w:pPr>
                    <w:pStyle w:val="20"/>
                    <w:spacing w:before="31"/>
                    <w:jc w:val="both"/>
                    <w:rPr>
                      <w:color w:val="auto"/>
                      <w:highlight w:val="none"/>
                    </w:rPr>
                  </w:pPr>
                  <w:r>
                    <w:rPr>
                      <w:rFonts w:hint="eastAsia"/>
                      <w:color w:val="auto"/>
                      <w:highlight w:val="none"/>
                    </w:rPr>
                    <w:t>在《全国重要江河湖泊水功能区划》划定的河段及湖泊保护区、保留区内投资建设不利于水资源及自然生态保护的项目。</w:t>
                  </w:r>
                </w:p>
              </w:tc>
              <w:tc>
                <w:tcPr>
                  <w:tcW w:w="1319" w:type="pct"/>
                  <w:vAlign w:val="center"/>
                </w:tcPr>
                <w:p w14:paraId="12F45B1D">
                  <w:pPr>
                    <w:pStyle w:val="20"/>
                    <w:spacing w:before="31"/>
                    <w:jc w:val="left"/>
                    <w:rPr>
                      <w:color w:val="auto"/>
                      <w:highlight w:val="none"/>
                    </w:rPr>
                  </w:pPr>
                  <w:r>
                    <w:rPr>
                      <w:rFonts w:hint="eastAsia"/>
                      <w:color w:val="auto"/>
                      <w:highlight w:val="none"/>
                      <w:lang w:eastAsia="zh-CN"/>
                    </w:rPr>
                    <w:t>扩建项目</w:t>
                  </w:r>
                  <w:r>
                    <w:rPr>
                      <w:rFonts w:hint="eastAsia"/>
                      <w:color w:val="auto"/>
                      <w:highlight w:val="none"/>
                    </w:rPr>
                    <w:t>不位于文件划定的河段及湖泊保护区、保留区内。</w:t>
                  </w:r>
                </w:p>
              </w:tc>
              <w:tc>
                <w:tcPr>
                  <w:tcW w:w="332" w:type="pct"/>
                  <w:vAlign w:val="center"/>
                </w:tcPr>
                <w:p w14:paraId="38C8BEC0">
                  <w:pPr>
                    <w:pStyle w:val="20"/>
                    <w:spacing w:before="31"/>
                    <w:jc w:val="left"/>
                    <w:rPr>
                      <w:color w:val="auto"/>
                      <w:highlight w:val="none"/>
                    </w:rPr>
                  </w:pPr>
                  <w:r>
                    <w:rPr>
                      <w:rFonts w:hint="eastAsia"/>
                      <w:color w:val="auto"/>
                      <w:highlight w:val="none"/>
                    </w:rPr>
                    <w:t>符合</w:t>
                  </w:r>
                </w:p>
              </w:tc>
            </w:tr>
            <w:tr w14:paraId="4AB90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52" w:type="pct"/>
                  <w:vMerge w:val="restart"/>
                  <w:vAlign w:val="center"/>
                </w:tcPr>
                <w:p w14:paraId="0BE100A7">
                  <w:pPr>
                    <w:pStyle w:val="20"/>
                    <w:spacing w:before="31"/>
                    <w:rPr>
                      <w:color w:val="auto"/>
                      <w:highlight w:val="none"/>
                    </w:rPr>
                  </w:pPr>
                  <w:r>
                    <w:rPr>
                      <w:rFonts w:hint="eastAsia"/>
                      <w:color w:val="auto"/>
                      <w:highlight w:val="none"/>
                    </w:rPr>
                    <w:t>限制</w:t>
                  </w:r>
                  <w:r>
                    <w:rPr>
                      <w:color w:val="auto"/>
                      <w:highlight w:val="none"/>
                    </w:rPr>
                    <w:t>准入类</w:t>
                  </w:r>
                </w:p>
              </w:tc>
              <w:tc>
                <w:tcPr>
                  <w:tcW w:w="475" w:type="pct"/>
                  <w:vMerge w:val="restart"/>
                  <w:vAlign w:val="center"/>
                </w:tcPr>
                <w:p w14:paraId="19D2D6AF">
                  <w:pPr>
                    <w:pStyle w:val="20"/>
                    <w:spacing w:before="31"/>
                    <w:rPr>
                      <w:color w:val="auto"/>
                      <w:highlight w:val="none"/>
                    </w:rPr>
                  </w:pPr>
                  <w:r>
                    <w:rPr>
                      <w:rFonts w:hint="eastAsia"/>
                      <w:color w:val="auto"/>
                      <w:highlight w:val="none"/>
                    </w:rPr>
                    <w:t>全市范围内限制准入的产业</w:t>
                  </w:r>
                </w:p>
              </w:tc>
              <w:tc>
                <w:tcPr>
                  <w:tcW w:w="2620" w:type="pct"/>
                  <w:vAlign w:val="center"/>
                </w:tcPr>
                <w:p w14:paraId="70153477">
                  <w:pPr>
                    <w:pStyle w:val="20"/>
                    <w:spacing w:before="31"/>
                    <w:jc w:val="both"/>
                    <w:rPr>
                      <w:color w:val="auto"/>
                      <w:highlight w:val="none"/>
                    </w:rPr>
                  </w:pPr>
                  <w:r>
                    <w:rPr>
                      <w:rFonts w:hint="eastAsia"/>
                      <w:color w:val="auto"/>
                      <w:highlight w:val="none"/>
                    </w:rPr>
                    <w:t>新建、扩建不符合国家产能置换要求的严重过剩产能行业的项目。新建、扩建不符合要求的高耗能高排放项目。</w:t>
                  </w:r>
                </w:p>
              </w:tc>
              <w:tc>
                <w:tcPr>
                  <w:tcW w:w="1319" w:type="pct"/>
                  <w:vAlign w:val="center"/>
                </w:tcPr>
                <w:p w14:paraId="3EFB591A">
                  <w:pPr>
                    <w:pStyle w:val="20"/>
                    <w:spacing w:before="31"/>
                    <w:jc w:val="left"/>
                    <w:rPr>
                      <w:color w:val="auto"/>
                      <w:highlight w:val="none"/>
                    </w:rPr>
                  </w:pPr>
                  <w:r>
                    <w:rPr>
                      <w:rFonts w:hint="eastAsia"/>
                      <w:color w:val="auto"/>
                      <w:highlight w:val="none"/>
                      <w:lang w:eastAsia="zh-CN"/>
                    </w:rPr>
                    <w:t>扩建项目</w:t>
                  </w:r>
                  <w:r>
                    <w:rPr>
                      <w:rFonts w:hint="eastAsia"/>
                      <w:color w:val="auto"/>
                      <w:highlight w:val="none"/>
                    </w:rPr>
                    <w:t>不属于严重过剩产能行业的项目、不属于高耗能高排放项目。</w:t>
                  </w:r>
                </w:p>
              </w:tc>
              <w:tc>
                <w:tcPr>
                  <w:tcW w:w="332" w:type="pct"/>
                  <w:vAlign w:val="center"/>
                </w:tcPr>
                <w:p w14:paraId="7828C145">
                  <w:pPr>
                    <w:pStyle w:val="20"/>
                    <w:spacing w:before="31"/>
                    <w:jc w:val="left"/>
                    <w:rPr>
                      <w:color w:val="auto"/>
                      <w:highlight w:val="none"/>
                    </w:rPr>
                  </w:pPr>
                  <w:r>
                    <w:rPr>
                      <w:rFonts w:hint="eastAsia"/>
                      <w:color w:val="auto"/>
                      <w:highlight w:val="none"/>
                    </w:rPr>
                    <w:t>符合</w:t>
                  </w:r>
                </w:p>
              </w:tc>
            </w:tr>
            <w:tr w14:paraId="11315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52" w:type="pct"/>
                  <w:vMerge w:val="continue"/>
                  <w:vAlign w:val="center"/>
                </w:tcPr>
                <w:p w14:paraId="1BE7C693">
                  <w:pPr>
                    <w:pStyle w:val="20"/>
                    <w:spacing w:before="31"/>
                    <w:rPr>
                      <w:color w:val="auto"/>
                      <w:highlight w:val="none"/>
                    </w:rPr>
                  </w:pPr>
                </w:p>
              </w:tc>
              <w:tc>
                <w:tcPr>
                  <w:tcW w:w="475" w:type="pct"/>
                  <w:vMerge w:val="continue"/>
                  <w:vAlign w:val="center"/>
                </w:tcPr>
                <w:p w14:paraId="2F3C2177">
                  <w:pPr>
                    <w:pStyle w:val="20"/>
                    <w:spacing w:before="31"/>
                    <w:rPr>
                      <w:color w:val="auto"/>
                      <w:highlight w:val="none"/>
                    </w:rPr>
                  </w:pPr>
                </w:p>
              </w:tc>
              <w:tc>
                <w:tcPr>
                  <w:tcW w:w="2620" w:type="pct"/>
                  <w:vAlign w:val="center"/>
                </w:tcPr>
                <w:p w14:paraId="4DE7E3E9">
                  <w:pPr>
                    <w:pStyle w:val="20"/>
                    <w:spacing w:before="31"/>
                    <w:jc w:val="both"/>
                    <w:rPr>
                      <w:color w:val="auto"/>
                      <w:highlight w:val="none"/>
                    </w:rPr>
                  </w:pPr>
                  <w:r>
                    <w:rPr>
                      <w:rFonts w:hint="eastAsia"/>
                      <w:color w:val="auto"/>
                      <w:highlight w:val="none"/>
                    </w:rPr>
                    <w:t>新建、扩建不符合国家石化、现代煤化工等产业布局规划的项目。</w:t>
                  </w:r>
                </w:p>
              </w:tc>
              <w:tc>
                <w:tcPr>
                  <w:tcW w:w="1319" w:type="pct"/>
                  <w:vAlign w:val="center"/>
                </w:tcPr>
                <w:p w14:paraId="7181570F">
                  <w:pPr>
                    <w:pStyle w:val="20"/>
                    <w:spacing w:before="31"/>
                    <w:jc w:val="left"/>
                    <w:rPr>
                      <w:color w:val="auto"/>
                      <w:highlight w:val="none"/>
                    </w:rPr>
                  </w:pPr>
                  <w:r>
                    <w:rPr>
                      <w:rFonts w:hint="eastAsia"/>
                      <w:color w:val="auto"/>
                      <w:highlight w:val="none"/>
                    </w:rPr>
                    <w:t>不涉及。</w:t>
                  </w:r>
                </w:p>
              </w:tc>
              <w:tc>
                <w:tcPr>
                  <w:tcW w:w="332" w:type="pct"/>
                  <w:vAlign w:val="center"/>
                </w:tcPr>
                <w:p w14:paraId="1F61E877">
                  <w:pPr>
                    <w:pStyle w:val="20"/>
                    <w:spacing w:before="31"/>
                    <w:jc w:val="left"/>
                    <w:rPr>
                      <w:color w:val="auto"/>
                      <w:highlight w:val="none"/>
                    </w:rPr>
                  </w:pPr>
                  <w:r>
                    <w:rPr>
                      <w:rFonts w:hint="eastAsia"/>
                      <w:color w:val="auto"/>
                      <w:highlight w:val="none"/>
                    </w:rPr>
                    <w:t>符合</w:t>
                  </w:r>
                </w:p>
              </w:tc>
            </w:tr>
            <w:tr w14:paraId="05C89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52" w:type="pct"/>
                  <w:vMerge w:val="continue"/>
                  <w:vAlign w:val="center"/>
                </w:tcPr>
                <w:p w14:paraId="5B4BEC85">
                  <w:pPr>
                    <w:pStyle w:val="20"/>
                    <w:spacing w:before="31"/>
                    <w:rPr>
                      <w:color w:val="auto"/>
                      <w:highlight w:val="none"/>
                    </w:rPr>
                  </w:pPr>
                </w:p>
              </w:tc>
              <w:tc>
                <w:tcPr>
                  <w:tcW w:w="475" w:type="pct"/>
                  <w:vMerge w:val="continue"/>
                  <w:vAlign w:val="center"/>
                </w:tcPr>
                <w:p w14:paraId="2398DC63">
                  <w:pPr>
                    <w:pStyle w:val="20"/>
                    <w:spacing w:before="31"/>
                    <w:rPr>
                      <w:color w:val="auto"/>
                      <w:highlight w:val="none"/>
                    </w:rPr>
                  </w:pPr>
                </w:p>
              </w:tc>
              <w:tc>
                <w:tcPr>
                  <w:tcW w:w="2620" w:type="pct"/>
                  <w:vAlign w:val="center"/>
                </w:tcPr>
                <w:p w14:paraId="4A42625D">
                  <w:pPr>
                    <w:pStyle w:val="20"/>
                    <w:spacing w:before="31"/>
                    <w:jc w:val="both"/>
                    <w:rPr>
                      <w:color w:val="auto"/>
                      <w:highlight w:val="none"/>
                    </w:rPr>
                  </w:pPr>
                  <w:r>
                    <w:rPr>
                      <w:rFonts w:hint="eastAsia"/>
                      <w:color w:val="auto"/>
                      <w:highlight w:val="none"/>
                    </w:rPr>
                    <w:t>在合规园区外新建、扩建钢铁、石化、化工、焦化、建材、有色、制浆造纸等高污染项目。</w:t>
                  </w:r>
                </w:p>
              </w:tc>
              <w:tc>
                <w:tcPr>
                  <w:tcW w:w="1319" w:type="pct"/>
                  <w:vAlign w:val="center"/>
                </w:tcPr>
                <w:p w14:paraId="29FC4E6A">
                  <w:pPr>
                    <w:pStyle w:val="20"/>
                    <w:spacing w:before="31"/>
                    <w:jc w:val="left"/>
                    <w:rPr>
                      <w:color w:val="auto"/>
                      <w:highlight w:val="none"/>
                    </w:rPr>
                  </w:pPr>
                  <w:r>
                    <w:rPr>
                      <w:rFonts w:hint="eastAsia"/>
                      <w:color w:val="auto"/>
                      <w:highlight w:val="none"/>
                      <w:lang w:eastAsia="zh-CN"/>
                    </w:rPr>
                    <w:t>扩建项目</w:t>
                  </w:r>
                  <w:r>
                    <w:rPr>
                      <w:rFonts w:hint="eastAsia"/>
                      <w:color w:val="auto"/>
                      <w:highlight w:val="none"/>
                    </w:rPr>
                    <w:t>不属于文件所列高污染项目。</w:t>
                  </w:r>
                </w:p>
              </w:tc>
              <w:tc>
                <w:tcPr>
                  <w:tcW w:w="332" w:type="pct"/>
                  <w:vAlign w:val="center"/>
                </w:tcPr>
                <w:p w14:paraId="0990D1EA">
                  <w:pPr>
                    <w:pStyle w:val="20"/>
                    <w:spacing w:before="31"/>
                    <w:jc w:val="left"/>
                    <w:rPr>
                      <w:color w:val="auto"/>
                      <w:highlight w:val="none"/>
                    </w:rPr>
                  </w:pPr>
                  <w:r>
                    <w:rPr>
                      <w:rFonts w:hint="eastAsia"/>
                      <w:color w:val="auto"/>
                      <w:highlight w:val="none"/>
                    </w:rPr>
                    <w:t>符合</w:t>
                  </w:r>
                </w:p>
              </w:tc>
            </w:tr>
            <w:tr w14:paraId="3C0C9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52" w:type="pct"/>
                  <w:vMerge w:val="continue"/>
                  <w:vAlign w:val="center"/>
                </w:tcPr>
                <w:p w14:paraId="3024DBCE">
                  <w:pPr>
                    <w:pStyle w:val="20"/>
                    <w:spacing w:before="31"/>
                    <w:rPr>
                      <w:color w:val="auto"/>
                      <w:highlight w:val="none"/>
                    </w:rPr>
                  </w:pPr>
                </w:p>
              </w:tc>
              <w:tc>
                <w:tcPr>
                  <w:tcW w:w="475" w:type="pct"/>
                  <w:vMerge w:val="continue"/>
                  <w:vAlign w:val="center"/>
                </w:tcPr>
                <w:p w14:paraId="2E044178">
                  <w:pPr>
                    <w:pStyle w:val="20"/>
                    <w:spacing w:before="31"/>
                    <w:rPr>
                      <w:color w:val="auto"/>
                      <w:highlight w:val="none"/>
                    </w:rPr>
                  </w:pPr>
                </w:p>
              </w:tc>
              <w:tc>
                <w:tcPr>
                  <w:tcW w:w="2620" w:type="pct"/>
                  <w:vAlign w:val="center"/>
                </w:tcPr>
                <w:p w14:paraId="3ED4CFB8">
                  <w:pPr>
                    <w:pStyle w:val="20"/>
                    <w:spacing w:before="31"/>
                    <w:jc w:val="both"/>
                    <w:rPr>
                      <w:color w:val="auto"/>
                      <w:highlight w:val="none"/>
                    </w:rPr>
                  </w:pPr>
                  <w:r>
                    <w:rPr>
                      <w:rFonts w:hint="eastAsia"/>
                      <w:color w:val="auto"/>
                      <w:highlight w:val="none"/>
                    </w:rPr>
                    <w:t>《汽车产业投资管理规定》（国家发展和改革委员会令第22号）明确禁止建设的汽车投资项目。</w:t>
                  </w:r>
                </w:p>
              </w:tc>
              <w:tc>
                <w:tcPr>
                  <w:tcW w:w="1319" w:type="pct"/>
                  <w:vAlign w:val="center"/>
                </w:tcPr>
                <w:p w14:paraId="64347E38">
                  <w:pPr>
                    <w:pStyle w:val="20"/>
                    <w:spacing w:before="31"/>
                    <w:jc w:val="left"/>
                    <w:rPr>
                      <w:color w:val="auto"/>
                      <w:highlight w:val="none"/>
                    </w:rPr>
                  </w:pPr>
                  <w:r>
                    <w:rPr>
                      <w:rFonts w:hint="eastAsia"/>
                      <w:color w:val="auto"/>
                      <w:highlight w:val="none"/>
                    </w:rPr>
                    <w:t>不涉及。</w:t>
                  </w:r>
                </w:p>
              </w:tc>
              <w:tc>
                <w:tcPr>
                  <w:tcW w:w="332" w:type="pct"/>
                  <w:vAlign w:val="center"/>
                </w:tcPr>
                <w:p w14:paraId="1E8CBA59">
                  <w:pPr>
                    <w:pStyle w:val="20"/>
                    <w:spacing w:before="31"/>
                    <w:jc w:val="left"/>
                    <w:rPr>
                      <w:color w:val="auto"/>
                      <w:highlight w:val="none"/>
                    </w:rPr>
                  </w:pPr>
                  <w:r>
                    <w:rPr>
                      <w:rFonts w:hint="eastAsia"/>
                      <w:color w:val="auto"/>
                      <w:highlight w:val="none"/>
                    </w:rPr>
                    <w:t>符合</w:t>
                  </w:r>
                </w:p>
              </w:tc>
            </w:tr>
            <w:tr w14:paraId="74163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52" w:type="pct"/>
                  <w:vMerge w:val="continue"/>
                  <w:vAlign w:val="center"/>
                </w:tcPr>
                <w:p w14:paraId="698671D6">
                  <w:pPr>
                    <w:pStyle w:val="20"/>
                    <w:spacing w:before="31"/>
                    <w:rPr>
                      <w:color w:val="auto"/>
                      <w:highlight w:val="none"/>
                    </w:rPr>
                  </w:pPr>
                </w:p>
              </w:tc>
              <w:tc>
                <w:tcPr>
                  <w:tcW w:w="475" w:type="pct"/>
                  <w:vMerge w:val="restart"/>
                  <w:vAlign w:val="center"/>
                </w:tcPr>
                <w:p w14:paraId="017334F9">
                  <w:pPr>
                    <w:pStyle w:val="20"/>
                    <w:spacing w:before="31"/>
                    <w:rPr>
                      <w:color w:val="auto"/>
                      <w:highlight w:val="none"/>
                    </w:rPr>
                  </w:pPr>
                  <w:r>
                    <w:rPr>
                      <w:rFonts w:hint="eastAsia"/>
                      <w:color w:val="auto"/>
                      <w:highlight w:val="none"/>
                    </w:rPr>
                    <w:t>重点区域范围内限制准入的产业</w:t>
                  </w:r>
                </w:p>
              </w:tc>
              <w:tc>
                <w:tcPr>
                  <w:tcW w:w="2620" w:type="pct"/>
                  <w:vAlign w:val="center"/>
                </w:tcPr>
                <w:p w14:paraId="39FD60C0">
                  <w:pPr>
                    <w:pStyle w:val="20"/>
                    <w:spacing w:before="31"/>
                    <w:jc w:val="both"/>
                    <w:rPr>
                      <w:color w:val="auto"/>
                      <w:highlight w:val="none"/>
                    </w:rPr>
                  </w:pPr>
                  <w:r>
                    <w:rPr>
                      <w:rFonts w:hint="eastAsia"/>
                      <w:color w:val="auto"/>
                      <w:highlight w:val="none"/>
                    </w:rPr>
                    <w:t>长江干支流、重要湖泊岸线1公里范围内新建、扩建化工园区和化工项目，长江、嘉陵江、乌江岸线1公里范围内布局新建纸浆制造、印染等存在环境风险的项目。</w:t>
                  </w:r>
                </w:p>
              </w:tc>
              <w:tc>
                <w:tcPr>
                  <w:tcW w:w="1319" w:type="pct"/>
                  <w:vAlign w:val="center"/>
                </w:tcPr>
                <w:p w14:paraId="016F5919">
                  <w:pPr>
                    <w:pStyle w:val="20"/>
                    <w:spacing w:before="31"/>
                    <w:jc w:val="left"/>
                    <w:rPr>
                      <w:color w:val="auto"/>
                      <w:highlight w:val="none"/>
                    </w:rPr>
                  </w:pPr>
                  <w:r>
                    <w:rPr>
                      <w:rFonts w:hint="eastAsia"/>
                      <w:color w:val="auto"/>
                      <w:highlight w:val="none"/>
                      <w:lang w:eastAsia="zh-CN"/>
                    </w:rPr>
                    <w:t>扩建项目</w:t>
                  </w:r>
                  <w:r>
                    <w:rPr>
                      <w:rFonts w:hint="eastAsia"/>
                      <w:color w:val="auto"/>
                      <w:highlight w:val="none"/>
                    </w:rPr>
                    <w:t>不属于文件所列项目。</w:t>
                  </w:r>
                </w:p>
              </w:tc>
              <w:tc>
                <w:tcPr>
                  <w:tcW w:w="332" w:type="pct"/>
                  <w:vAlign w:val="center"/>
                </w:tcPr>
                <w:p w14:paraId="1A51F4EB">
                  <w:pPr>
                    <w:pStyle w:val="20"/>
                    <w:spacing w:before="31"/>
                    <w:jc w:val="left"/>
                    <w:rPr>
                      <w:color w:val="auto"/>
                      <w:highlight w:val="none"/>
                    </w:rPr>
                  </w:pPr>
                  <w:r>
                    <w:rPr>
                      <w:rFonts w:hint="eastAsia"/>
                      <w:color w:val="auto"/>
                      <w:highlight w:val="none"/>
                    </w:rPr>
                    <w:t>符合</w:t>
                  </w:r>
                </w:p>
              </w:tc>
            </w:tr>
            <w:tr w14:paraId="2838A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52" w:type="pct"/>
                  <w:vMerge w:val="continue"/>
                  <w:vAlign w:val="center"/>
                </w:tcPr>
                <w:p w14:paraId="08A2D380">
                  <w:pPr>
                    <w:pStyle w:val="20"/>
                    <w:spacing w:before="31"/>
                    <w:rPr>
                      <w:color w:val="auto"/>
                      <w:highlight w:val="none"/>
                    </w:rPr>
                  </w:pPr>
                </w:p>
              </w:tc>
              <w:tc>
                <w:tcPr>
                  <w:tcW w:w="475" w:type="pct"/>
                  <w:vMerge w:val="continue"/>
                  <w:vAlign w:val="center"/>
                </w:tcPr>
                <w:p w14:paraId="19D9C982">
                  <w:pPr>
                    <w:pStyle w:val="20"/>
                    <w:spacing w:before="31"/>
                    <w:rPr>
                      <w:color w:val="auto"/>
                      <w:highlight w:val="none"/>
                    </w:rPr>
                  </w:pPr>
                </w:p>
              </w:tc>
              <w:tc>
                <w:tcPr>
                  <w:tcW w:w="2620" w:type="pct"/>
                  <w:vAlign w:val="center"/>
                </w:tcPr>
                <w:p w14:paraId="1F599021">
                  <w:pPr>
                    <w:pStyle w:val="20"/>
                    <w:spacing w:before="31"/>
                    <w:jc w:val="both"/>
                    <w:rPr>
                      <w:color w:val="auto"/>
                      <w:highlight w:val="none"/>
                    </w:rPr>
                  </w:pPr>
                  <w:r>
                    <w:rPr>
                      <w:rFonts w:hint="eastAsia"/>
                      <w:color w:val="auto"/>
                      <w:highlight w:val="none"/>
                    </w:rPr>
                    <w:t>在水产种质资源保护区的岸线和河段范围内新建围湖造田等投资建设项目。</w:t>
                  </w:r>
                </w:p>
              </w:tc>
              <w:tc>
                <w:tcPr>
                  <w:tcW w:w="1319" w:type="pct"/>
                  <w:vAlign w:val="center"/>
                </w:tcPr>
                <w:p w14:paraId="71E811D3">
                  <w:pPr>
                    <w:pStyle w:val="20"/>
                    <w:spacing w:before="31"/>
                    <w:jc w:val="left"/>
                    <w:rPr>
                      <w:color w:val="auto"/>
                      <w:highlight w:val="none"/>
                    </w:rPr>
                  </w:pPr>
                  <w:r>
                    <w:rPr>
                      <w:rFonts w:hint="eastAsia" w:cs="Times New Roman"/>
                      <w:color w:val="auto"/>
                      <w:szCs w:val="24"/>
                      <w:highlight w:val="none"/>
                    </w:rPr>
                    <w:t>不涉及。</w:t>
                  </w:r>
                </w:p>
              </w:tc>
              <w:tc>
                <w:tcPr>
                  <w:tcW w:w="332" w:type="pct"/>
                  <w:vAlign w:val="center"/>
                </w:tcPr>
                <w:p w14:paraId="3F24D028">
                  <w:pPr>
                    <w:pStyle w:val="20"/>
                    <w:spacing w:before="31"/>
                    <w:jc w:val="left"/>
                    <w:rPr>
                      <w:color w:val="auto"/>
                      <w:highlight w:val="none"/>
                    </w:rPr>
                  </w:pPr>
                  <w:r>
                    <w:rPr>
                      <w:rFonts w:hint="eastAsia"/>
                      <w:color w:val="auto"/>
                      <w:highlight w:val="none"/>
                    </w:rPr>
                    <w:t>符合</w:t>
                  </w:r>
                </w:p>
              </w:tc>
            </w:tr>
          </w:tbl>
          <w:p w14:paraId="1F760D57">
            <w:pPr>
              <w:pStyle w:val="18"/>
              <w:rPr>
                <w:color w:val="auto"/>
                <w:highlight w:val="none"/>
              </w:rPr>
            </w:pPr>
            <w:r>
              <w:rPr>
                <w:rFonts w:hint="eastAsia"/>
                <w:color w:val="auto"/>
                <w:highlight w:val="none"/>
              </w:rPr>
              <w:t>综上，</w:t>
            </w:r>
            <w:r>
              <w:rPr>
                <w:rFonts w:hint="eastAsia"/>
                <w:color w:val="auto"/>
                <w:highlight w:val="none"/>
                <w:lang w:eastAsia="zh-CN"/>
              </w:rPr>
              <w:t>扩建项目</w:t>
            </w:r>
            <w:r>
              <w:rPr>
                <w:rFonts w:hint="eastAsia"/>
                <w:color w:val="auto"/>
                <w:highlight w:val="none"/>
              </w:rPr>
              <w:t>符合《</w:t>
            </w:r>
            <w:r>
              <w:rPr>
                <w:color w:val="auto"/>
                <w:highlight w:val="none"/>
              </w:rPr>
              <w:t>重庆市发展和改革委员会关于印发重庆市产业投资准入工作手册的通知</w:t>
            </w:r>
            <w:r>
              <w:rPr>
                <w:rFonts w:hint="eastAsia"/>
                <w:color w:val="auto"/>
                <w:highlight w:val="none"/>
              </w:rPr>
              <w:t>》（</w:t>
            </w:r>
            <w:r>
              <w:rPr>
                <w:color w:val="auto"/>
                <w:highlight w:val="none"/>
              </w:rPr>
              <w:t>渝发改投资〔2022〕1436号</w:t>
            </w:r>
            <w:r>
              <w:rPr>
                <w:rFonts w:hint="eastAsia"/>
                <w:color w:val="auto"/>
                <w:highlight w:val="none"/>
              </w:rPr>
              <w:t>）文件相关要求。</w:t>
            </w:r>
          </w:p>
          <w:p w14:paraId="12C512E9">
            <w:pPr>
              <w:pStyle w:val="2"/>
              <w:keepNext w:val="0"/>
              <w:keepLines w:val="0"/>
              <w:pageBreakBefore w:val="0"/>
              <w:widowControl w:val="0"/>
              <w:numPr>
                <w:ilvl w:val="0"/>
                <w:numId w:val="2"/>
              </w:numPr>
              <w:kinsoku/>
              <w:wordWrap/>
              <w:overflowPunct w:val="0"/>
              <w:topLinePunct w:val="0"/>
              <w:autoSpaceDE/>
              <w:autoSpaceDN/>
              <w:bidi w:val="0"/>
              <w:adjustRightInd/>
              <w:snapToGrid w:val="0"/>
              <w:ind w:left="0" w:firstLine="0"/>
              <w:textAlignment w:val="auto"/>
              <w:rPr>
                <w:rFonts w:hint="eastAsia"/>
                <w:color w:val="auto"/>
                <w:highlight w:val="none"/>
              </w:rPr>
            </w:pPr>
            <w:r>
              <w:rPr>
                <w:rFonts w:hint="eastAsia"/>
                <w:color w:val="auto"/>
                <w:highlight w:val="none"/>
              </w:rPr>
              <w:t>与《四川省、重庆市长江经济带发展负面清单实施细则（试行，2022年版）》（川长江办〔2022〕17号）符合性分析</w:t>
            </w:r>
          </w:p>
          <w:p w14:paraId="45709E9B">
            <w:pPr>
              <w:pStyle w:val="18"/>
              <w:rPr>
                <w:color w:val="auto"/>
                <w:highlight w:val="none"/>
              </w:rPr>
            </w:pPr>
            <w:r>
              <w:rPr>
                <w:rFonts w:hint="eastAsia"/>
                <w:color w:val="auto"/>
                <w:highlight w:val="none"/>
                <w:lang w:eastAsia="zh-CN"/>
              </w:rPr>
              <w:t>扩建项目</w:t>
            </w:r>
            <w:r>
              <w:rPr>
                <w:rFonts w:hint="eastAsia"/>
                <w:color w:val="auto"/>
                <w:highlight w:val="none"/>
              </w:rPr>
              <w:t>与《四川省、重庆市长江经济带发展负面清单实施细则（试行，2022年版）》（川长江办〔2022〕17号）文件符合性分析详见</w:t>
            </w:r>
            <w:r>
              <w:rPr>
                <w:rFonts w:hint="eastAsia"/>
                <w:color w:val="auto"/>
                <w:highlight w:val="none"/>
              </w:rPr>
              <w:fldChar w:fldCharType="begin"/>
            </w:r>
            <w:r>
              <w:rPr>
                <w:rFonts w:hint="eastAsia"/>
                <w:color w:val="auto"/>
                <w:highlight w:val="none"/>
              </w:rPr>
              <w:instrText xml:space="preserve"> REF _Ref21690 \h </w:instrText>
            </w:r>
            <w:r>
              <w:rPr>
                <w:rFonts w:hint="eastAsia"/>
                <w:color w:val="auto"/>
                <w:highlight w:val="none"/>
              </w:rPr>
              <w:fldChar w:fldCharType="separate"/>
            </w:r>
            <w:r>
              <w:rPr>
                <w:color w:val="auto"/>
                <w:highlight w:val="none"/>
              </w:rPr>
              <w:t>表1-7</w:t>
            </w:r>
            <w:r>
              <w:rPr>
                <w:rFonts w:hint="eastAsia"/>
                <w:color w:val="auto"/>
                <w:highlight w:val="none"/>
              </w:rPr>
              <w:fldChar w:fldCharType="end"/>
            </w:r>
            <w:r>
              <w:rPr>
                <w:rFonts w:hint="eastAsia"/>
                <w:color w:val="auto"/>
                <w:highlight w:val="none"/>
              </w:rPr>
              <w:t>。</w:t>
            </w:r>
          </w:p>
          <w:p w14:paraId="7645D812">
            <w:pPr>
              <w:pStyle w:val="19"/>
              <w:spacing w:before="156"/>
              <w:rPr>
                <w:color w:val="auto"/>
                <w:highlight w:val="none"/>
              </w:rPr>
            </w:pPr>
            <w:bookmarkStart w:id="6" w:name="_Ref21690"/>
            <w:r>
              <w:rPr>
                <w:color w:val="auto"/>
                <w:highlight w:val="none"/>
              </w:rPr>
              <w:t>表1-</w:t>
            </w:r>
            <w:r>
              <w:rPr>
                <w:color w:val="auto"/>
                <w:highlight w:val="none"/>
              </w:rPr>
              <w:fldChar w:fldCharType="begin"/>
            </w:r>
            <w:r>
              <w:rPr>
                <w:color w:val="auto"/>
                <w:highlight w:val="none"/>
              </w:rPr>
              <w:instrText xml:space="preserve"> SEQ 表1- \* ARABIC </w:instrText>
            </w:r>
            <w:r>
              <w:rPr>
                <w:color w:val="auto"/>
                <w:highlight w:val="none"/>
              </w:rPr>
              <w:fldChar w:fldCharType="separate"/>
            </w:r>
            <w:r>
              <w:rPr>
                <w:color w:val="auto"/>
                <w:highlight w:val="none"/>
              </w:rPr>
              <w:t>7</w:t>
            </w:r>
            <w:r>
              <w:rPr>
                <w:color w:val="auto"/>
                <w:highlight w:val="none"/>
              </w:rPr>
              <w:fldChar w:fldCharType="end"/>
            </w:r>
            <w:bookmarkEnd w:id="6"/>
            <w:r>
              <w:rPr>
                <w:rFonts w:hint="eastAsia"/>
                <w:color w:val="auto"/>
                <w:highlight w:val="none"/>
              </w:rPr>
              <w:t xml:space="preserve"> 与《四川省、重庆市长江经济带发展负面清单实施细则（试行，2022年版）》（川长江办〔2022〕17号）符合性分析一览表</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80"/>
              <w:gridCol w:w="5530"/>
              <w:gridCol w:w="1684"/>
              <w:gridCol w:w="576"/>
            </w:tblGrid>
            <w:tr w14:paraId="33D7C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290" w:type="pct"/>
                  <w:vAlign w:val="center"/>
                </w:tcPr>
                <w:p w14:paraId="2273E078">
                  <w:pPr>
                    <w:pStyle w:val="20"/>
                    <w:spacing w:before="31"/>
                    <w:rPr>
                      <w:b/>
                      <w:bCs/>
                      <w:color w:val="auto"/>
                      <w:highlight w:val="none"/>
                    </w:rPr>
                  </w:pPr>
                  <w:r>
                    <w:rPr>
                      <w:rFonts w:hint="eastAsia"/>
                      <w:b/>
                      <w:bCs/>
                      <w:color w:val="auto"/>
                      <w:highlight w:val="none"/>
                    </w:rPr>
                    <w:t>序号</w:t>
                  </w:r>
                </w:p>
              </w:tc>
              <w:tc>
                <w:tcPr>
                  <w:tcW w:w="3342" w:type="pct"/>
                  <w:vAlign w:val="center"/>
                </w:tcPr>
                <w:p w14:paraId="32C19548">
                  <w:pPr>
                    <w:pStyle w:val="20"/>
                    <w:spacing w:before="31"/>
                    <w:rPr>
                      <w:b/>
                      <w:bCs/>
                      <w:color w:val="auto"/>
                      <w:highlight w:val="none"/>
                    </w:rPr>
                  </w:pPr>
                  <w:r>
                    <w:rPr>
                      <w:b/>
                      <w:bCs/>
                      <w:color w:val="auto"/>
                      <w:highlight w:val="none"/>
                    </w:rPr>
                    <w:t>相关内容</w:t>
                  </w:r>
                </w:p>
              </w:tc>
              <w:tc>
                <w:tcPr>
                  <w:tcW w:w="1018" w:type="pct"/>
                  <w:vAlign w:val="center"/>
                </w:tcPr>
                <w:p w14:paraId="63647F47">
                  <w:pPr>
                    <w:pStyle w:val="20"/>
                    <w:spacing w:before="31"/>
                    <w:rPr>
                      <w:b/>
                      <w:bCs/>
                      <w:color w:val="auto"/>
                      <w:highlight w:val="none"/>
                    </w:rPr>
                  </w:pPr>
                  <w:r>
                    <w:rPr>
                      <w:b/>
                      <w:bCs/>
                      <w:color w:val="auto"/>
                      <w:highlight w:val="none"/>
                    </w:rPr>
                    <w:t>本项目情况</w:t>
                  </w:r>
                </w:p>
              </w:tc>
              <w:tc>
                <w:tcPr>
                  <w:tcW w:w="348" w:type="pct"/>
                  <w:vAlign w:val="center"/>
                </w:tcPr>
                <w:p w14:paraId="56199CB8">
                  <w:pPr>
                    <w:pStyle w:val="20"/>
                    <w:spacing w:before="31"/>
                    <w:rPr>
                      <w:b/>
                      <w:bCs/>
                      <w:color w:val="auto"/>
                      <w:highlight w:val="none"/>
                    </w:rPr>
                  </w:pPr>
                  <w:r>
                    <w:rPr>
                      <w:b/>
                      <w:bCs/>
                      <w:color w:val="auto"/>
                      <w:highlight w:val="none"/>
                    </w:rPr>
                    <w:t>符合性</w:t>
                  </w:r>
                </w:p>
              </w:tc>
            </w:tr>
            <w:tr w14:paraId="3CB3F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0" w:type="pct"/>
                  <w:vAlign w:val="center"/>
                </w:tcPr>
                <w:p w14:paraId="4A41795F">
                  <w:pPr>
                    <w:pStyle w:val="20"/>
                    <w:spacing w:before="31"/>
                    <w:rPr>
                      <w:color w:val="auto"/>
                      <w:highlight w:val="none"/>
                    </w:rPr>
                  </w:pPr>
                  <w:r>
                    <w:rPr>
                      <w:rFonts w:hint="eastAsia"/>
                      <w:color w:val="auto"/>
                      <w:highlight w:val="none"/>
                    </w:rPr>
                    <w:t>1</w:t>
                  </w:r>
                </w:p>
              </w:tc>
              <w:tc>
                <w:tcPr>
                  <w:tcW w:w="3342" w:type="pct"/>
                  <w:vAlign w:val="center"/>
                </w:tcPr>
                <w:p w14:paraId="6419C0FF">
                  <w:pPr>
                    <w:pStyle w:val="20"/>
                    <w:spacing w:before="31"/>
                    <w:jc w:val="both"/>
                    <w:rPr>
                      <w:color w:val="auto"/>
                      <w:highlight w:val="none"/>
                    </w:rPr>
                  </w:pPr>
                  <w:r>
                    <w:rPr>
                      <w:rFonts w:hint="eastAsia"/>
                      <w:color w:val="auto"/>
                      <w:highlight w:val="none"/>
                    </w:rPr>
                    <w:t>禁止新建、改建和扩建不符合全国港口布局规划，以及《四川省内河水运发展规划》《泸州—宜宾—乐山港口群布局规划》《重庆港总体规划（2035年）》等省级港口布局规划及市级港口总体规划的码头项目。</w:t>
                  </w:r>
                </w:p>
              </w:tc>
              <w:tc>
                <w:tcPr>
                  <w:tcW w:w="1018" w:type="pct"/>
                  <w:vAlign w:val="center"/>
                </w:tcPr>
                <w:p w14:paraId="3E507451">
                  <w:pPr>
                    <w:pStyle w:val="20"/>
                    <w:spacing w:before="31"/>
                    <w:jc w:val="both"/>
                    <w:rPr>
                      <w:color w:val="auto"/>
                      <w:highlight w:val="none"/>
                    </w:rPr>
                  </w:pPr>
                  <w:r>
                    <w:rPr>
                      <w:rFonts w:hint="eastAsia"/>
                      <w:color w:val="auto"/>
                      <w:highlight w:val="none"/>
                    </w:rPr>
                    <w:t>不涉及。</w:t>
                  </w:r>
                </w:p>
              </w:tc>
              <w:tc>
                <w:tcPr>
                  <w:tcW w:w="348" w:type="pct"/>
                  <w:vAlign w:val="center"/>
                </w:tcPr>
                <w:p w14:paraId="52F9FC89">
                  <w:pPr>
                    <w:pStyle w:val="20"/>
                    <w:spacing w:before="31"/>
                    <w:rPr>
                      <w:color w:val="auto"/>
                      <w:highlight w:val="none"/>
                    </w:rPr>
                  </w:pPr>
                  <w:r>
                    <w:rPr>
                      <w:rFonts w:hint="eastAsia"/>
                      <w:color w:val="auto"/>
                      <w:highlight w:val="none"/>
                    </w:rPr>
                    <w:t>符合</w:t>
                  </w:r>
                </w:p>
              </w:tc>
            </w:tr>
            <w:tr w14:paraId="64F04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0" w:type="pct"/>
                  <w:vAlign w:val="center"/>
                </w:tcPr>
                <w:p w14:paraId="5A2E2D01">
                  <w:pPr>
                    <w:pStyle w:val="20"/>
                    <w:spacing w:before="31"/>
                    <w:rPr>
                      <w:color w:val="auto"/>
                      <w:highlight w:val="none"/>
                    </w:rPr>
                  </w:pPr>
                  <w:r>
                    <w:rPr>
                      <w:rFonts w:hint="eastAsia"/>
                      <w:color w:val="auto"/>
                      <w:highlight w:val="none"/>
                    </w:rPr>
                    <w:t>2</w:t>
                  </w:r>
                </w:p>
              </w:tc>
              <w:tc>
                <w:tcPr>
                  <w:tcW w:w="3342" w:type="pct"/>
                  <w:vAlign w:val="center"/>
                </w:tcPr>
                <w:p w14:paraId="774DBEB8">
                  <w:pPr>
                    <w:pStyle w:val="20"/>
                    <w:spacing w:before="31"/>
                    <w:jc w:val="both"/>
                    <w:rPr>
                      <w:color w:val="auto"/>
                      <w:highlight w:val="none"/>
                    </w:rPr>
                  </w:pPr>
                  <w:r>
                    <w:rPr>
                      <w:rFonts w:hint="eastAsia"/>
                      <w:color w:val="auto"/>
                      <w:highlight w:val="none"/>
                    </w:rPr>
                    <w:t>禁止新建、改建和扩建不符合《长江干线过江通道布局规划（2020—2035年）》的过长江通道项目（含桥梁、隧道），国家发展改革委同意过长江通道线位调整的除外。</w:t>
                  </w:r>
                </w:p>
              </w:tc>
              <w:tc>
                <w:tcPr>
                  <w:tcW w:w="1018" w:type="pct"/>
                  <w:vAlign w:val="center"/>
                </w:tcPr>
                <w:p w14:paraId="7C4BE968">
                  <w:pPr>
                    <w:pStyle w:val="20"/>
                    <w:spacing w:before="31"/>
                    <w:jc w:val="both"/>
                    <w:rPr>
                      <w:color w:val="auto"/>
                      <w:highlight w:val="none"/>
                    </w:rPr>
                  </w:pPr>
                  <w:r>
                    <w:rPr>
                      <w:rFonts w:hint="eastAsia"/>
                      <w:color w:val="auto"/>
                      <w:highlight w:val="none"/>
                    </w:rPr>
                    <w:t>不涉及。</w:t>
                  </w:r>
                </w:p>
              </w:tc>
              <w:tc>
                <w:tcPr>
                  <w:tcW w:w="348" w:type="pct"/>
                  <w:vAlign w:val="center"/>
                </w:tcPr>
                <w:p w14:paraId="40A05A12">
                  <w:pPr>
                    <w:pStyle w:val="20"/>
                    <w:spacing w:before="31"/>
                    <w:rPr>
                      <w:color w:val="auto"/>
                      <w:highlight w:val="none"/>
                    </w:rPr>
                  </w:pPr>
                  <w:r>
                    <w:rPr>
                      <w:rFonts w:hint="eastAsia"/>
                      <w:color w:val="auto"/>
                      <w:highlight w:val="none"/>
                    </w:rPr>
                    <w:t>符合</w:t>
                  </w:r>
                </w:p>
              </w:tc>
            </w:tr>
            <w:tr w14:paraId="7E3AF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0" w:type="pct"/>
                  <w:vAlign w:val="center"/>
                </w:tcPr>
                <w:p w14:paraId="1B5E1668">
                  <w:pPr>
                    <w:pStyle w:val="20"/>
                    <w:spacing w:before="31"/>
                    <w:rPr>
                      <w:color w:val="auto"/>
                      <w:highlight w:val="none"/>
                    </w:rPr>
                  </w:pPr>
                  <w:r>
                    <w:rPr>
                      <w:rFonts w:hint="eastAsia"/>
                      <w:color w:val="auto"/>
                      <w:highlight w:val="none"/>
                    </w:rPr>
                    <w:t>3</w:t>
                  </w:r>
                </w:p>
              </w:tc>
              <w:tc>
                <w:tcPr>
                  <w:tcW w:w="3342" w:type="pct"/>
                  <w:vAlign w:val="center"/>
                </w:tcPr>
                <w:p w14:paraId="5999E01A">
                  <w:pPr>
                    <w:pStyle w:val="20"/>
                    <w:spacing w:before="31"/>
                    <w:jc w:val="both"/>
                    <w:rPr>
                      <w:color w:val="auto"/>
                      <w:highlight w:val="none"/>
                    </w:rPr>
                  </w:pPr>
                  <w:r>
                    <w:rPr>
                      <w:rFonts w:hint="eastAsia"/>
                      <w:color w:val="auto"/>
                      <w:highlight w:val="none"/>
                    </w:rPr>
                    <w:t>禁止在自然保护区核心区、缓冲区的岸线和河段范围内投资建设旅游和生产经营项目。自然保护区的内部未分区的，依照核心区和缓冲区的规定管控。</w:t>
                  </w:r>
                </w:p>
              </w:tc>
              <w:tc>
                <w:tcPr>
                  <w:tcW w:w="1018" w:type="pct"/>
                  <w:vAlign w:val="center"/>
                </w:tcPr>
                <w:p w14:paraId="64E451B1">
                  <w:pPr>
                    <w:pStyle w:val="20"/>
                    <w:spacing w:before="31"/>
                    <w:jc w:val="both"/>
                    <w:rPr>
                      <w:color w:val="auto"/>
                      <w:highlight w:val="none"/>
                    </w:rPr>
                  </w:pPr>
                  <w:r>
                    <w:rPr>
                      <w:rFonts w:hint="eastAsia"/>
                      <w:color w:val="auto"/>
                      <w:highlight w:val="none"/>
                    </w:rPr>
                    <w:t>不涉及。</w:t>
                  </w:r>
                </w:p>
              </w:tc>
              <w:tc>
                <w:tcPr>
                  <w:tcW w:w="348" w:type="pct"/>
                  <w:vAlign w:val="center"/>
                </w:tcPr>
                <w:p w14:paraId="0E70D0F1">
                  <w:pPr>
                    <w:pStyle w:val="20"/>
                    <w:spacing w:before="31"/>
                    <w:rPr>
                      <w:b/>
                      <w:bCs/>
                      <w:color w:val="auto"/>
                      <w:highlight w:val="none"/>
                    </w:rPr>
                  </w:pPr>
                  <w:r>
                    <w:rPr>
                      <w:rFonts w:hint="eastAsia"/>
                      <w:color w:val="auto"/>
                      <w:highlight w:val="none"/>
                    </w:rPr>
                    <w:t>符合</w:t>
                  </w:r>
                </w:p>
              </w:tc>
            </w:tr>
            <w:tr w14:paraId="6B989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0" w:type="pct"/>
                  <w:vAlign w:val="center"/>
                </w:tcPr>
                <w:p w14:paraId="0A25821A">
                  <w:pPr>
                    <w:pStyle w:val="20"/>
                    <w:spacing w:before="31"/>
                    <w:rPr>
                      <w:color w:val="auto"/>
                      <w:highlight w:val="none"/>
                    </w:rPr>
                  </w:pPr>
                  <w:r>
                    <w:rPr>
                      <w:rFonts w:hint="eastAsia"/>
                      <w:color w:val="auto"/>
                      <w:highlight w:val="none"/>
                    </w:rPr>
                    <w:t>4</w:t>
                  </w:r>
                </w:p>
              </w:tc>
              <w:tc>
                <w:tcPr>
                  <w:tcW w:w="3342" w:type="pct"/>
                  <w:vAlign w:val="center"/>
                </w:tcPr>
                <w:p w14:paraId="32C6B867">
                  <w:pPr>
                    <w:pStyle w:val="20"/>
                    <w:spacing w:before="31"/>
                    <w:jc w:val="both"/>
                    <w:rPr>
                      <w:color w:val="auto"/>
                      <w:highlight w:val="none"/>
                    </w:rPr>
                  </w:pPr>
                  <w:r>
                    <w:rPr>
                      <w:rFonts w:hint="eastAsia"/>
                      <w:color w:val="auto"/>
                      <w:highlight w:val="none"/>
                    </w:rPr>
                    <w:t>禁止违反风景名胜区规划，在风景名胜区内设立各类开发区。禁止在风景名胜区核心景区的岸线和河段范围内建设宾馆、招待所、培训中心、疗养院以及与风景名胜资源保护无关的项目。</w:t>
                  </w:r>
                </w:p>
              </w:tc>
              <w:tc>
                <w:tcPr>
                  <w:tcW w:w="1018" w:type="pct"/>
                  <w:vAlign w:val="center"/>
                </w:tcPr>
                <w:p w14:paraId="7F234557">
                  <w:pPr>
                    <w:pStyle w:val="20"/>
                    <w:spacing w:before="31"/>
                    <w:jc w:val="both"/>
                    <w:rPr>
                      <w:b/>
                      <w:bCs/>
                      <w:color w:val="auto"/>
                      <w:highlight w:val="none"/>
                    </w:rPr>
                  </w:pPr>
                  <w:r>
                    <w:rPr>
                      <w:rFonts w:hint="eastAsia"/>
                      <w:color w:val="auto"/>
                      <w:highlight w:val="none"/>
                    </w:rPr>
                    <w:t>不涉及。</w:t>
                  </w:r>
                </w:p>
              </w:tc>
              <w:tc>
                <w:tcPr>
                  <w:tcW w:w="348" w:type="pct"/>
                  <w:vAlign w:val="center"/>
                </w:tcPr>
                <w:p w14:paraId="706AEA7C">
                  <w:pPr>
                    <w:pStyle w:val="20"/>
                    <w:spacing w:before="31"/>
                    <w:rPr>
                      <w:color w:val="auto"/>
                      <w:highlight w:val="none"/>
                    </w:rPr>
                  </w:pPr>
                  <w:r>
                    <w:rPr>
                      <w:rFonts w:hint="eastAsia"/>
                      <w:color w:val="auto"/>
                      <w:highlight w:val="none"/>
                    </w:rPr>
                    <w:t>符合</w:t>
                  </w:r>
                </w:p>
              </w:tc>
            </w:tr>
            <w:tr w14:paraId="38E48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0" w:type="pct"/>
                  <w:vAlign w:val="center"/>
                </w:tcPr>
                <w:p w14:paraId="58589C77">
                  <w:pPr>
                    <w:pStyle w:val="20"/>
                    <w:spacing w:before="31"/>
                    <w:rPr>
                      <w:color w:val="auto"/>
                      <w:highlight w:val="none"/>
                    </w:rPr>
                  </w:pPr>
                  <w:r>
                    <w:rPr>
                      <w:rFonts w:hint="eastAsia"/>
                      <w:color w:val="auto"/>
                      <w:highlight w:val="none"/>
                    </w:rPr>
                    <w:t>5</w:t>
                  </w:r>
                </w:p>
              </w:tc>
              <w:tc>
                <w:tcPr>
                  <w:tcW w:w="3342" w:type="pct"/>
                  <w:vAlign w:val="center"/>
                </w:tcPr>
                <w:p w14:paraId="421C7F51">
                  <w:pPr>
                    <w:pStyle w:val="20"/>
                    <w:spacing w:before="31"/>
                    <w:jc w:val="both"/>
                    <w:rPr>
                      <w:color w:val="auto"/>
                      <w:highlight w:val="none"/>
                    </w:rPr>
                  </w:pPr>
                  <w:r>
                    <w:rPr>
                      <w:rFonts w:hint="eastAsia"/>
                      <w:color w:val="auto"/>
                      <w:highlight w:val="none"/>
                    </w:rPr>
                    <w:t>禁止在饮用水水源准保护区的岸线和河段范围内新建、扩建对水体污染严重的建设项目，禁止改建增加排污量的建设项目。</w:t>
                  </w:r>
                </w:p>
              </w:tc>
              <w:tc>
                <w:tcPr>
                  <w:tcW w:w="1018" w:type="pct"/>
                  <w:vMerge w:val="restart"/>
                  <w:vAlign w:val="center"/>
                </w:tcPr>
                <w:p w14:paraId="2DBEFFF0">
                  <w:pPr>
                    <w:pStyle w:val="20"/>
                    <w:spacing w:before="31"/>
                    <w:jc w:val="both"/>
                    <w:rPr>
                      <w:color w:val="auto"/>
                      <w:highlight w:val="none"/>
                    </w:rPr>
                  </w:pPr>
                  <w:r>
                    <w:rPr>
                      <w:rFonts w:hint="eastAsia"/>
                      <w:color w:val="auto"/>
                      <w:highlight w:val="none"/>
                      <w:lang w:eastAsia="zh-CN"/>
                    </w:rPr>
                    <w:t>扩建项目位于西彭工业园区西彭组团</w:t>
                  </w:r>
                  <w:r>
                    <w:rPr>
                      <w:rFonts w:hint="eastAsia"/>
                      <w:color w:val="auto"/>
                      <w:highlight w:val="none"/>
                    </w:rPr>
                    <w:t>，不在文件所列保护区内</w:t>
                  </w:r>
                  <w:r>
                    <w:rPr>
                      <w:rFonts w:hint="eastAsia"/>
                      <w:color w:val="auto"/>
                      <w:highlight w:val="none"/>
                      <w:lang w:eastAsia="zh-CN"/>
                    </w:rPr>
                    <w:t>，</w:t>
                  </w:r>
                  <w:r>
                    <w:rPr>
                      <w:rFonts w:hint="eastAsia"/>
                      <w:color w:val="auto"/>
                      <w:highlight w:val="none"/>
                      <w:lang w:val="en-US" w:eastAsia="zh-CN"/>
                    </w:rPr>
                    <w:t>不属于文件所列项目</w:t>
                  </w:r>
                  <w:r>
                    <w:rPr>
                      <w:rFonts w:hint="eastAsia"/>
                      <w:color w:val="auto"/>
                      <w:highlight w:val="none"/>
                    </w:rPr>
                    <w:t>。</w:t>
                  </w:r>
                </w:p>
              </w:tc>
              <w:tc>
                <w:tcPr>
                  <w:tcW w:w="348" w:type="pct"/>
                  <w:vMerge w:val="restart"/>
                  <w:vAlign w:val="center"/>
                </w:tcPr>
                <w:p w14:paraId="40D0DF74">
                  <w:pPr>
                    <w:pStyle w:val="20"/>
                    <w:spacing w:before="31"/>
                    <w:rPr>
                      <w:color w:val="auto"/>
                      <w:highlight w:val="none"/>
                    </w:rPr>
                  </w:pPr>
                  <w:r>
                    <w:rPr>
                      <w:rFonts w:hint="eastAsia"/>
                      <w:color w:val="auto"/>
                      <w:highlight w:val="none"/>
                    </w:rPr>
                    <w:t>符合</w:t>
                  </w:r>
                </w:p>
              </w:tc>
            </w:tr>
            <w:tr w14:paraId="1AAEF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0" w:type="pct"/>
                  <w:vAlign w:val="center"/>
                </w:tcPr>
                <w:p w14:paraId="1DA210EA">
                  <w:pPr>
                    <w:pStyle w:val="20"/>
                    <w:spacing w:before="31"/>
                    <w:rPr>
                      <w:color w:val="auto"/>
                      <w:highlight w:val="none"/>
                    </w:rPr>
                  </w:pPr>
                  <w:r>
                    <w:rPr>
                      <w:rFonts w:hint="eastAsia"/>
                      <w:color w:val="auto"/>
                      <w:highlight w:val="none"/>
                    </w:rPr>
                    <w:t>6</w:t>
                  </w:r>
                </w:p>
              </w:tc>
              <w:tc>
                <w:tcPr>
                  <w:tcW w:w="3342" w:type="pct"/>
                  <w:vAlign w:val="center"/>
                </w:tcPr>
                <w:p w14:paraId="3656A264">
                  <w:pPr>
                    <w:pStyle w:val="20"/>
                    <w:spacing w:before="31"/>
                    <w:jc w:val="both"/>
                    <w:rPr>
                      <w:color w:val="auto"/>
                      <w:highlight w:val="none"/>
                    </w:rPr>
                  </w:pPr>
                  <w:r>
                    <w:rPr>
                      <w:rFonts w:hint="eastAsia"/>
                      <w:color w:val="auto"/>
                      <w:highlight w:val="none"/>
                    </w:rPr>
                    <w:t>饮用水水源二级保护区的岸线和河段范围内，除遵守准保护区规定外，禁止新建、改建、扩建排放污染物的投资建设项目；禁止从事对水体有污染的水产养殖等活动。</w:t>
                  </w:r>
                </w:p>
              </w:tc>
              <w:tc>
                <w:tcPr>
                  <w:tcW w:w="1018" w:type="pct"/>
                  <w:vMerge w:val="continue"/>
                  <w:vAlign w:val="center"/>
                </w:tcPr>
                <w:p w14:paraId="32504C2A">
                  <w:pPr>
                    <w:pStyle w:val="20"/>
                    <w:spacing w:before="31"/>
                    <w:jc w:val="both"/>
                    <w:rPr>
                      <w:color w:val="auto"/>
                      <w:highlight w:val="none"/>
                    </w:rPr>
                  </w:pPr>
                </w:p>
              </w:tc>
              <w:tc>
                <w:tcPr>
                  <w:tcW w:w="348" w:type="pct"/>
                  <w:vMerge w:val="continue"/>
                  <w:vAlign w:val="center"/>
                </w:tcPr>
                <w:p w14:paraId="67A5F23E">
                  <w:pPr>
                    <w:pStyle w:val="20"/>
                    <w:spacing w:before="31"/>
                    <w:rPr>
                      <w:color w:val="auto"/>
                      <w:highlight w:val="none"/>
                    </w:rPr>
                  </w:pPr>
                </w:p>
              </w:tc>
            </w:tr>
            <w:tr w14:paraId="67E33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0" w:type="pct"/>
                  <w:vAlign w:val="center"/>
                </w:tcPr>
                <w:p w14:paraId="2FB20FA6">
                  <w:pPr>
                    <w:pStyle w:val="20"/>
                    <w:spacing w:before="31"/>
                    <w:rPr>
                      <w:color w:val="auto"/>
                      <w:highlight w:val="none"/>
                    </w:rPr>
                  </w:pPr>
                  <w:r>
                    <w:rPr>
                      <w:rFonts w:hint="eastAsia"/>
                      <w:color w:val="auto"/>
                      <w:highlight w:val="none"/>
                    </w:rPr>
                    <w:t>7</w:t>
                  </w:r>
                </w:p>
              </w:tc>
              <w:tc>
                <w:tcPr>
                  <w:tcW w:w="3342" w:type="pct"/>
                  <w:vAlign w:val="center"/>
                </w:tcPr>
                <w:p w14:paraId="0301726A">
                  <w:pPr>
                    <w:pStyle w:val="20"/>
                    <w:spacing w:before="31"/>
                    <w:jc w:val="both"/>
                    <w:rPr>
                      <w:color w:val="auto"/>
                      <w:highlight w:val="none"/>
                    </w:rPr>
                  </w:pPr>
                  <w:r>
                    <w:rPr>
                      <w:rFonts w:hint="eastAsia"/>
                      <w:color w:val="auto"/>
                      <w:highlight w:val="none"/>
                    </w:rP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1018" w:type="pct"/>
                  <w:vMerge w:val="continue"/>
                  <w:vAlign w:val="center"/>
                </w:tcPr>
                <w:p w14:paraId="410676AA">
                  <w:pPr>
                    <w:pStyle w:val="20"/>
                    <w:spacing w:before="31"/>
                    <w:jc w:val="both"/>
                    <w:rPr>
                      <w:color w:val="auto"/>
                      <w:highlight w:val="none"/>
                    </w:rPr>
                  </w:pPr>
                </w:p>
              </w:tc>
              <w:tc>
                <w:tcPr>
                  <w:tcW w:w="348" w:type="pct"/>
                  <w:vMerge w:val="continue"/>
                  <w:vAlign w:val="center"/>
                </w:tcPr>
                <w:p w14:paraId="61FF2733">
                  <w:pPr>
                    <w:pStyle w:val="20"/>
                    <w:spacing w:before="31"/>
                    <w:rPr>
                      <w:color w:val="auto"/>
                      <w:highlight w:val="none"/>
                    </w:rPr>
                  </w:pPr>
                </w:p>
              </w:tc>
            </w:tr>
            <w:tr w14:paraId="360DD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0" w:type="pct"/>
                  <w:vAlign w:val="center"/>
                </w:tcPr>
                <w:p w14:paraId="5F85EB05">
                  <w:pPr>
                    <w:pStyle w:val="20"/>
                    <w:spacing w:before="31"/>
                    <w:rPr>
                      <w:color w:val="auto"/>
                      <w:highlight w:val="none"/>
                    </w:rPr>
                  </w:pPr>
                  <w:r>
                    <w:rPr>
                      <w:rFonts w:hint="eastAsia"/>
                      <w:color w:val="auto"/>
                      <w:highlight w:val="none"/>
                    </w:rPr>
                    <w:t>8</w:t>
                  </w:r>
                </w:p>
              </w:tc>
              <w:tc>
                <w:tcPr>
                  <w:tcW w:w="3342" w:type="pct"/>
                  <w:vAlign w:val="center"/>
                </w:tcPr>
                <w:p w14:paraId="2C041451">
                  <w:pPr>
                    <w:pStyle w:val="20"/>
                    <w:spacing w:before="31"/>
                    <w:jc w:val="both"/>
                    <w:rPr>
                      <w:color w:val="auto"/>
                      <w:highlight w:val="none"/>
                    </w:rPr>
                  </w:pPr>
                  <w:r>
                    <w:rPr>
                      <w:rFonts w:hint="eastAsia"/>
                      <w:color w:val="auto"/>
                      <w:highlight w:val="none"/>
                    </w:rPr>
                    <w:t>禁止在水产种质资源保护区岸线和河段范围内新建围湖造田、围湖造地或挖沙采石等投资建设项目。</w:t>
                  </w:r>
                </w:p>
              </w:tc>
              <w:tc>
                <w:tcPr>
                  <w:tcW w:w="1018" w:type="pct"/>
                  <w:vAlign w:val="center"/>
                </w:tcPr>
                <w:p w14:paraId="69AF9FBC">
                  <w:pPr>
                    <w:pStyle w:val="20"/>
                    <w:spacing w:before="31"/>
                    <w:jc w:val="both"/>
                    <w:rPr>
                      <w:color w:val="auto"/>
                      <w:highlight w:val="none"/>
                    </w:rPr>
                  </w:pPr>
                  <w:r>
                    <w:rPr>
                      <w:rFonts w:hint="eastAsia"/>
                      <w:color w:val="auto"/>
                      <w:highlight w:val="none"/>
                    </w:rPr>
                    <w:t>不涉及。</w:t>
                  </w:r>
                </w:p>
              </w:tc>
              <w:tc>
                <w:tcPr>
                  <w:tcW w:w="348" w:type="pct"/>
                  <w:vAlign w:val="center"/>
                </w:tcPr>
                <w:p w14:paraId="7E720175">
                  <w:pPr>
                    <w:pStyle w:val="20"/>
                    <w:spacing w:before="31"/>
                    <w:rPr>
                      <w:color w:val="auto"/>
                      <w:highlight w:val="none"/>
                    </w:rPr>
                  </w:pPr>
                  <w:r>
                    <w:rPr>
                      <w:rFonts w:hint="eastAsia"/>
                      <w:color w:val="auto"/>
                      <w:highlight w:val="none"/>
                    </w:rPr>
                    <w:t>符合</w:t>
                  </w:r>
                </w:p>
              </w:tc>
            </w:tr>
            <w:tr w14:paraId="19506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0" w:type="pct"/>
                  <w:vAlign w:val="center"/>
                </w:tcPr>
                <w:p w14:paraId="53067859">
                  <w:pPr>
                    <w:pStyle w:val="20"/>
                    <w:spacing w:before="31"/>
                    <w:rPr>
                      <w:color w:val="auto"/>
                      <w:highlight w:val="none"/>
                    </w:rPr>
                  </w:pPr>
                  <w:r>
                    <w:rPr>
                      <w:rFonts w:hint="eastAsia"/>
                      <w:color w:val="auto"/>
                      <w:highlight w:val="none"/>
                    </w:rPr>
                    <w:t>9</w:t>
                  </w:r>
                </w:p>
              </w:tc>
              <w:tc>
                <w:tcPr>
                  <w:tcW w:w="3342" w:type="pct"/>
                  <w:vAlign w:val="center"/>
                </w:tcPr>
                <w:p w14:paraId="2AB4EA03">
                  <w:pPr>
                    <w:pStyle w:val="20"/>
                    <w:spacing w:before="31"/>
                    <w:jc w:val="both"/>
                    <w:rPr>
                      <w:color w:val="auto"/>
                      <w:highlight w:val="none"/>
                    </w:rPr>
                  </w:pPr>
                  <w:r>
                    <w:rPr>
                      <w:rFonts w:hint="eastAsia"/>
                      <w:color w:val="auto"/>
                      <w:highlight w:val="none"/>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1018" w:type="pct"/>
                  <w:vAlign w:val="center"/>
                </w:tcPr>
                <w:p w14:paraId="37DD9CE7">
                  <w:pPr>
                    <w:pStyle w:val="20"/>
                    <w:spacing w:before="31"/>
                    <w:jc w:val="both"/>
                    <w:rPr>
                      <w:color w:val="auto"/>
                      <w:highlight w:val="none"/>
                    </w:rPr>
                  </w:pPr>
                  <w:r>
                    <w:rPr>
                      <w:rFonts w:hint="eastAsia"/>
                      <w:color w:val="auto"/>
                      <w:highlight w:val="none"/>
                    </w:rPr>
                    <w:t>不涉及。</w:t>
                  </w:r>
                </w:p>
              </w:tc>
              <w:tc>
                <w:tcPr>
                  <w:tcW w:w="348" w:type="pct"/>
                  <w:vAlign w:val="center"/>
                </w:tcPr>
                <w:p w14:paraId="1E1EBCE8">
                  <w:pPr>
                    <w:pStyle w:val="20"/>
                    <w:spacing w:before="31"/>
                    <w:rPr>
                      <w:color w:val="auto"/>
                      <w:highlight w:val="none"/>
                    </w:rPr>
                  </w:pPr>
                  <w:r>
                    <w:rPr>
                      <w:rFonts w:hint="eastAsia"/>
                      <w:color w:val="auto"/>
                      <w:highlight w:val="none"/>
                    </w:rPr>
                    <w:t>符合</w:t>
                  </w:r>
                </w:p>
              </w:tc>
            </w:tr>
            <w:tr w14:paraId="1A0F6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0" w:type="pct"/>
                  <w:vAlign w:val="center"/>
                </w:tcPr>
                <w:p w14:paraId="048107F0">
                  <w:pPr>
                    <w:pStyle w:val="20"/>
                    <w:spacing w:before="31"/>
                    <w:rPr>
                      <w:color w:val="auto"/>
                      <w:highlight w:val="none"/>
                    </w:rPr>
                  </w:pPr>
                  <w:r>
                    <w:rPr>
                      <w:rFonts w:hint="eastAsia"/>
                      <w:color w:val="auto"/>
                      <w:highlight w:val="none"/>
                    </w:rPr>
                    <w:t>10</w:t>
                  </w:r>
                </w:p>
              </w:tc>
              <w:tc>
                <w:tcPr>
                  <w:tcW w:w="3342" w:type="pct"/>
                  <w:vAlign w:val="center"/>
                </w:tcPr>
                <w:p w14:paraId="00C2FC88">
                  <w:pPr>
                    <w:pStyle w:val="20"/>
                    <w:spacing w:before="31"/>
                    <w:jc w:val="both"/>
                    <w:rPr>
                      <w:color w:val="auto"/>
                      <w:highlight w:val="none"/>
                    </w:rPr>
                  </w:pPr>
                  <w:r>
                    <w:rPr>
                      <w:rFonts w:hint="eastAsia"/>
                      <w:color w:val="auto"/>
                      <w:highlight w:val="none"/>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018" w:type="pct"/>
                  <w:vMerge w:val="restart"/>
                  <w:vAlign w:val="center"/>
                </w:tcPr>
                <w:p w14:paraId="51C4DEF6">
                  <w:pPr>
                    <w:pStyle w:val="20"/>
                    <w:spacing w:before="31"/>
                    <w:jc w:val="both"/>
                    <w:rPr>
                      <w:color w:val="auto"/>
                      <w:highlight w:val="none"/>
                    </w:rPr>
                  </w:pPr>
                  <w:r>
                    <w:rPr>
                      <w:rFonts w:hint="eastAsia"/>
                      <w:color w:val="auto"/>
                      <w:highlight w:val="none"/>
                      <w:lang w:eastAsia="zh-CN"/>
                    </w:rPr>
                    <w:t>扩建项目位于西彭工业园区西彭组团</w:t>
                  </w:r>
                  <w:r>
                    <w:rPr>
                      <w:rFonts w:hint="eastAsia"/>
                      <w:color w:val="auto"/>
                      <w:highlight w:val="none"/>
                    </w:rPr>
                    <w:t>，不在文件划定的岸线保护区和保留区内，不在文件划定的河段及湖泊保护区、保留区内。</w:t>
                  </w:r>
                </w:p>
              </w:tc>
              <w:tc>
                <w:tcPr>
                  <w:tcW w:w="348" w:type="pct"/>
                  <w:vMerge w:val="restart"/>
                  <w:vAlign w:val="center"/>
                </w:tcPr>
                <w:p w14:paraId="6B531050">
                  <w:pPr>
                    <w:pStyle w:val="20"/>
                    <w:spacing w:before="31"/>
                    <w:rPr>
                      <w:color w:val="auto"/>
                      <w:highlight w:val="none"/>
                    </w:rPr>
                  </w:pPr>
                  <w:r>
                    <w:rPr>
                      <w:rFonts w:hint="eastAsia"/>
                      <w:color w:val="auto"/>
                      <w:highlight w:val="none"/>
                    </w:rPr>
                    <w:t>符合</w:t>
                  </w:r>
                </w:p>
              </w:tc>
            </w:tr>
            <w:tr w14:paraId="4FFB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0" w:type="pct"/>
                  <w:vAlign w:val="center"/>
                </w:tcPr>
                <w:p w14:paraId="7DA38A3F">
                  <w:pPr>
                    <w:pStyle w:val="20"/>
                    <w:spacing w:before="31"/>
                    <w:rPr>
                      <w:color w:val="auto"/>
                      <w:highlight w:val="none"/>
                    </w:rPr>
                  </w:pPr>
                  <w:r>
                    <w:rPr>
                      <w:rFonts w:hint="eastAsia"/>
                      <w:color w:val="auto"/>
                      <w:highlight w:val="none"/>
                    </w:rPr>
                    <w:t>11</w:t>
                  </w:r>
                </w:p>
              </w:tc>
              <w:tc>
                <w:tcPr>
                  <w:tcW w:w="3342" w:type="pct"/>
                  <w:vAlign w:val="center"/>
                </w:tcPr>
                <w:p w14:paraId="4D99DE84">
                  <w:pPr>
                    <w:pStyle w:val="20"/>
                    <w:spacing w:before="31"/>
                    <w:jc w:val="both"/>
                    <w:rPr>
                      <w:color w:val="auto"/>
                      <w:highlight w:val="none"/>
                    </w:rPr>
                  </w:pPr>
                  <w:r>
                    <w:rPr>
                      <w:rFonts w:hint="eastAsia"/>
                      <w:color w:val="auto"/>
                      <w:highlight w:val="none"/>
                    </w:rPr>
                    <w:t>禁止在《全国重要江河湖泊水功能区划》划定的河段及湖泊保护区、保留区内投资建设不利于水资源及自然生态保护的项目。</w:t>
                  </w:r>
                </w:p>
              </w:tc>
              <w:tc>
                <w:tcPr>
                  <w:tcW w:w="1018" w:type="pct"/>
                  <w:vMerge w:val="continue"/>
                  <w:vAlign w:val="center"/>
                </w:tcPr>
                <w:p w14:paraId="4FD5FBB6">
                  <w:pPr>
                    <w:pStyle w:val="20"/>
                    <w:spacing w:before="31"/>
                    <w:jc w:val="both"/>
                    <w:rPr>
                      <w:color w:val="auto"/>
                      <w:highlight w:val="none"/>
                    </w:rPr>
                  </w:pPr>
                </w:p>
              </w:tc>
              <w:tc>
                <w:tcPr>
                  <w:tcW w:w="348" w:type="pct"/>
                  <w:vMerge w:val="continue"/>
                  <w:vAlign w:val="center"/>
                </w:tcPr>
                <w:p w14:paraId="497DCA31">
                  <w:pPr>
                    <w:pStyle w:val="20"/>
                    <w:spacing w:before="31"/>
                    <w:rPr>
                      <w:color w:val="auto"/>
                      <w:highlight w:val="none"/>
                    </w:rPr>
                  </w:pPr>
                </w:p>
              </w:tc>
            </w:tr>
            <w:tr w14:paraId="4C3AF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0" w:type="pct"/>
                  <w:vAlign w:val="center"/>
                </w:tcPr>
                <w:p w14:paraId="295239D8">
                  <w:pPr>
                    <w:pStyle w:val="20"/>
                    <w:spacing w:before="31"/>
                    <w:rPr>
                      <w:color w:val="auto"/>
                      <w:highlight w:val="none"/>
                    </w:rPr>
                  </w:pPr>
                  <w:r>
                    <w:rPr>
                      <w:rFonts w:hint="eastAsia"/>
                      <w:color w:val="auto"/>
                      <w:highlight w:val="none"/>
                    </w:rPr>
                    <w:t>12</w:t>
                  </w:r>
                </w:p>
              </w:tc>
              <w:tc>
                <w:tcPr>
                  <w:tcW w:w="3342" w:type="pct"/>
                  <w:vAlign w:val="center"/>
                </w:tcPr>
                <w:p w14:paraId="289AD519">
                  <w:pPr>
                    <w:pStyle w:val="20"/>
                    <w:spacing w:before="31"/>
                    <w:jc w:val="both"/>
                    <w:rPr>
                      <w:color w:val="auto"/>
                      <w:highlight w:val="none"/>
                    </w:rPr>
                  </w:pPr>
                  <w:r>
                    <w:rPr>
                      <w:rFonts w:hint="eastAsia"/>
                      <w:color w:val="auto"/>
                      <w:highlight w:val="none"/>
                    </w:rPr>
                    <w:t>禁止在长江流域江河、湖泊新设、改设或者扩大排污口，经有管辖权的生态环境主管部门或者长江流域生态环境监督管理机构同意的除外。</w:t>
                  </w:r>
                </w:p>
              </w:tc>
              <w:tc>
                <w:tcPr>
                  <w:tcW w:w="1018" w:type="pct"/>
                  <w:vAlign w:val="center"/>
                </w:tcPr>
                <w:p w14:paraId="215BD05A">
                  <w:pPr>
                    <w:pStyle w:val="20"/>
                    <w:spacing w:before="31"/>
                    <w:jc w:val="both"/>
                    <w:rPr>
                      <w:color w:val="auto"/>
                      <w:highlight w:val="none"/>
                    </w:rPr>
                  </w:pPr>
                  <w:r>
                    <w:rPr>
                      <w:rFonts w:hint="eastAsia"/>
                      <w:color w:val="auto"/>
                      <w:highlight w:val="none"/>
                      <w:lang w:eastAsia="zh-CN"/>
                    </w:rPr>
                    <w:t>扩建项目</w:t>
                  </w:r>
                  <w:r>
                    <w:rPr>
                      <w:rFonts w:hint="eastAsia"/>
                      <w:color w:val="auto"/>
                      <w:highlight w:val="none"/>
                    </w:rPr>
                    <w:t>废水进入</w:t>
                  </w:r>
                  <w:r>
                    <w:rPr>
                      <w:rFonts w:hint="eastAsia"/>
                      <w:color w:val="auto"/>
                      <w:highlight w:val="none"/>
                      <w:lang w:val="en-US" w:eastAsia="zh-CN"/>
                    </w:rPr>
                    <w:t>园区</w:t>
                  </w:r>
                  <w:r>
                    <w:rPr>
                      <w:rFonts w:hint="eastAsia"/>
                      <w:color w:val="auto"/>
                      <w:highlight w:val="none"/>
                    </w:rPr>
                    <w:t>污水处理厂达标排放。</w:t>
                  </w:r>
                </w:p>
              </w:tc>
              <w:tc>
                <w:tcPr>
                  <w:tcW w:w="348" w:type="pct"/>
                  <w:vAlign w:val="center"/>
                </w:tcPr>
                <w:p w14:paraId="1C2C8522">
                  <w:pPr>
                    <w:pStyle w:val="20"/>
                    <w:spacing w:before="31"/>
                    <w:rPr>
                      <w:color w:val="auto"/>
                      <w:highlight w:val="none"/>
                    </w:rPr>
                  </w:pPr>
                  <w:r>
                    <w:rPr>
                      <w:rFonts w:hint="eastAsia"/>
                      <w:color w:val="auto"/>
                      <w:highlight w:val="none"/>
                    </w:rPr>
                    <w:t>符合</w:t>
                  </w:r>
                </w:p>
              </w:tc>
            </w:tr>
            <w:tr w14:paraId="257F2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0" w:type="pct"/>
                  <w:vAlign w:val="center"/>
                </w:tcPr>
                <w:p w14:paraId="14534B1C">
                  <w:pPr>
                    <w:pStyle w:val="20"/>
                    <w:spacing w:before="31"/>
                    <w:rPr>
                      <w:color w:val="auto"/>
                      <w:highlight w:val="none"/>
                    </w:rPr>
                  </w:pPr>
                  <w:r>
                    <w:rPr>
                      <w:rFonts w:hint="eastAsia"/>
                      <w:color w:val="auto"/>
                      <w:highlight w:val="none"/>
                    </w:rPr>
                    <w:t>13</w:t>
                  </w:r>
                </w:p>
              </w:tc>
              <w:tc>
                <w:tcPr>
                  <w:tcW w:w="3342" w:type="pct"/>
                  <w:vAlign w:val="center"/>
                </w:tcPr>
                <w:p w14:paraId="750ED955">
                  <w:pPr>
                    <w:pStyle w:val="20"/>
                    <w:spacing w:before="31"/>
                    <w:jc w:val="both"/>
                    <w:rPr>
                      <w:color w:val="auto"/>
                      <w:highlight w:val="none"/>
                    </w:rPr>
                  </w:pPr>
                  <w:r>
                    <w:rPr>
                      <w:rFonts w:hint="eastAsia"/>
                      <w:color w:val="auto"/>
                      <w:highlight w:val="none"/>
                    </w:rPr>
                    <w:t>禁止在长江干流、大渡河、</w:t>
                  </w:r>
                  <w:r>
                    <w:rPr>
                      <w:rFonts w:hint="eastAsia"/>
                      <w:color w:val="auto"/>
                      <w:highlight w:val="none"/>
                      <w:lang w:eastAsia="zh-CN"/>
                    </w:rPr>
                    <w:t>岷江</w:t>
                  </w:r>
                  <w:r>
                    <w:rPr>
                      <w:rFonts w:hint="eastAsia"/>
                      <w:color w:val="auto"/>
                      <w:highlight w:val="none"/>
                    </w:rPr>
                    <w:t>、赤水河、汜江、嘉陵江、乌江、汉江和51个（四川省45个、重庆市6个）水生生物保护区开展生产性捕捞。</w:t>
                  </w:r>
                </w:p>
              </w:tc>
              <w:tc>
                <w:tcPr>
                  <w:tcW w:w="1018" w:type="pct"/>
                  <w:vAlign w:val="center"/>
                </w:tcPr>
                <w:p w14:paraId="29B4A252">
                  <w:pPr>
                    <w:pStyle w:val="20"/>
                    <w:spacing w:before="31"/>
                    <w:jc w:val="both"/>
                    <w:rPr>
                      <w:color w:val="auto"/>
                      <w:highlight w:val="none"/>
                    </w:rPr>
                  </w:pPr>
                  <w:r>
                    <w:rPr>
                      <w:rFonts w:hint="eastAsia"/>
                      <w:color w:val="auto"/>
                      <w:highlight w:val="none"/>
                    </w:rPr>
                    <w:t>不涉及。</w:t>
                  </w:r>
                </w:p>
              </w:tc>
              <w:tc>
                <w:tcPr>
                  <w:tcW w:w="348" w:type="pct"/>
                  <w:vAlign w:val="center"/>
                </w:tcPr>
                <w:p w14:paraId="467181A2">
                  <w:pPr>
                    <w:pStyle w:val="20"/>
                    <w:spacing w:before="31"/>
                    <w:rPr>
                      <w:color w:val="auto"/>
                      <w:highlight w:val="none"/>
                    </w:rPr>
                  </w:pPr>
                  <w:r>
                    <w:rPr>
                      <w:rFonts w:hint="eastAsia"/>
                      <w:color w:val="auto"/>
                      <w:highlight w:val="none"/>
                    </w:rPr>
                    <w:t>符合</w:t>
                  </w:r>
                </w:p>
              </w:tc>
            </w:tr>
            <w:tr w14:paraId="29CD2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0" w:type="pct"/>
                  <w:vAlign w:val="center"/>
                </w:tcPr>
                <w:p w14:paraId="066D2923">
                  <w:pPr>
                    <w:pStyle w:val="20"/>
                    <w:spacing w:before="31"/>
                    <w:rPr>
                      <w:color w:val="auto"/>
                      <w:highlight w:val="none"/>
                    </w:rPr>
                  </w:pPr>
                  <w:r>
                    <w:rPr>
                      <w:rFonts w:hint="eastAsia"/>
                      <w:color w:val="auto"/>
                      <w:highlight w:val="none"/>
                    </w:rPr>
                    <w:t>14</w:t>
                  </w:r>
                </w:p>
              </w:tc>
              <w:tc>
                <w:tcPr>
                  <w:tcW w:w="3342" w:type="pct"/>
                  <w:vAlign w:val="center"/>
                </w:tcPr>
                <w:p w14:paraId="7F05563B">
                  <w:pPr>
                    <w:pStyle w:val="20"/>
                    <w:spacing w:before="31"/>
                    <w:jc w:val="both"/>
                    <w:rPr>
                      <w:color w:val="auto"/>
                      <w:highlight w:val="none"/>
                    </w:rPr>
                  </w:pPr>
                  <w:r>
                    <w:rPr>
                      <w:rFonts w:hint="eastAsia"/>
                      <w:color w:val="auto"/>
                      <w:highlight w:val="none"/>
                    </w:rPr>
                    <w:t>禁止在长江干支流、重要湖泊岸线一公里范围内新建、扩建化工园区和化工项目。</w:t>
                  </w:r>
                </w:p>
              </w:tc>
              <w:tc>
                <w:tcPr>
                  <w:tcW w:w="1018" w:type="pct"/>
                  <w:vAlign w:val="center"/>
                </w:tcPr>
                <w:p w14:paraId="09C6D827">
                  <w:pPr>
                    <w:pStyle w:val="20"/>
                    <w:spacing w:before="31"/>
                    <w:jc w:val="both"/>
                    <w:rPr>
                      <w:color w:val="auto"/>
                      <w:highlight w:val="none"/>
                    </w:rPr>
                  </w:pPr>
                  <w:r>
                    <w:rPr>
                      <w:rFonts w:hint="eastAsia"/>
                      <w:color w:val="auto"/>
                      <w:highlight w:val="none"/>
                    </w:rPr>
                    <w:t>不涉及。</w:t>
                  </w:r>
                </w:p>
              </w:tc>
              <w:tc>
                <w:tcPr>
                  <w:tcW w:w="348" w:type="pct"/>
                  <w:vAlign w:val="center"/>
                </w:tcPr>
                <w:p w14:paraId="378F1854">
                  <w:pPr>
                    <w:pStyle w:val="20"/>
                    <w:spacing w:before="31"/>
                    <w:rPr>
                      <w:color w:val="auto"/>
                      <w:highlight w:val="none"/>
                    </w:rPr>
                  </w:pPr>
                  <w:r>
                    <w:rPr>
                      <w:rFonts w:hint="eastAsia"/>
                      <w:color w:val="auto"/>
                      <w:highlight w:val="none"/>
                    </w:rPr>
                    <w:t>符合</w:t>
                  </w:r>
                </w:p>
              </w:tc>
            </w:tr>
            <w:tr w14:paraId="60B52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0" w:type="pct"/>
                  <w:vAlign w:val="center"/>
                </w:tcPr>
                <w:p w14:paraId="20B55394">
                  <w:pPr>
                    <w:pStyle w:val="20"/>
                    <w:spacing w:before="31"/>
                    <w:rPr>
                      <w:color w:val="auto"/>
                      <w:highlight w:val="none"/>
                    </w:rPr>
                  </w:pPr>
                  <w:r>
                    <w:rPr>
                      <w:rFonts w:hint="eastAsia"/>
                      <w:color w:val="auto"/>
                      <w:highlight w:val="none"/>
                    </w:rPr>
                    <w:t>15</w:t>
                  </w:r>
                </w:p>
              </w:tc>
              <w:tc>
                <w:tcPr>
                  <w:tcW w:w="3342" w:type="pct"/>
                  <w:vAlign w:val="center"/>
                </w:tcPr>
                <w:p w14:paraId="40BD75EC">
                  <w:pPr>
                    <w:pStyle w:val="20"/>
                    <w:spacing w:before="31"/>
                    <w:jc w:val="both"/>
                    <w:rPr>
                      <w:color w:val="auto"/>
                      <w:highlight w:val="none"/>
                    </w:rPr>
                  </w:pPr>
                  <w:r>
                    <w:rPr>
                      <w:rFonts w:hint="eastAsia"/>
                      <w:color w:val="auto"/>
                      <w:highlight w:val="none"/>
                    </w:rPr>
                    <w:t>禁止在长江干流岸线三公里范围内和重要支流岸线一公里范围内新建、改建、扩建尾矿库、冶炼渣库、磷石膏库，以提升安全、生态环境保护水平为目的的改建除外。</w:t>
                  </w:r>
                </w:p>
              </w:tc>
              <w:tc>
                <w:tcPr>
                  <w:tcW w:w="1018" w:type="pct"/>
                  <w:vAlign w:val="center"/>
                </w:tcPr>
                <w:p w14:paraId="59B958FD">
                  <w:pPr>
                    <w:pStyle w:val="20"/>
                    <w:spacing w:before="31"/>
                    <w:jc w:val="both"/>
                    <w:rPr>
                      <w:color w:val="auto"/>
                      <w:highlight w:val="none"/>
                    </w:rPr>
                  </w:pPr>
                  <w:r>
                    <w:rPr>
                      <w:rFonts w:hint="eastAsia"/>
                      <w:color w:val="auto"/>
                      <w:highlight w:val="none"/>
                      <w:lang w:eastAsia="zh-CN"/>
                    </w:rPr>
                    <w:t>扩建项目</w:t>
                  </w:r>
                  <w:r>
                    <w:rPr>
                      <w:rFonts w:hint="eastAsia"/>
                      <w:color w:val="auto"/>
                      <w:highlight w:val="none"/>
                    </w:rPr>
                    <w:t>不属于尾矿库、冶炼渣库和磷石膏库项目。</w:t>
                  </w:r>
                </w:p>
              </w:tc>
              <w:tc>
                <w:tcPr>
                  <w:tcW w:w="348" w:type="pct"/>
                  <w:vAlign w:val="center"/>
                </w:tcPr>
                <w:p w14:paraId="07E93151">
                  <w:pPr>
                    <w:pStyle w:val="20"/>
                    <w:spacing w:before="31"/>
                    <w:rPr>
                      <w:color w:val="auto"/>
                      <w:highlight w:val="none"/>
                    </w:rPr>
                  </w:pPr>
                  <w:r>
                    <w:rPr>
                      <w:rFonts w:hint="eastAsia"/>
                      <w:color w:val="auto"/>
                      <w:highlight w:val="none"/>
                    </w:rPr>
                    <w:t>符合</w:t>
                  </w:r>
                </w:p>
              </w:tc>
            </w:tr>
            <w:tr w14:paraId="4B349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0" w:type="pct"/>
                  <w:vAlign w:val="center"/>
                </w:tcPr>
                <w:p w14:paraId="65A2EA39">
                  <w:pPr>
                    <w:pStyle w:val="20"/>
                    <w:spacing w:before="31"/>
                    <w:rPr>
                      <w:color w:val="auto"/>
                      <w:highlight w:val="none"/>
                    </w:rPr>
                  </w:pPr>
                  <w:r>
                    <w:rPr>
                      <w:rFonts w:hint="eastAsia"/>
                      <w:color w:val="auto"/>
                      <w:highlight w:val="none"/>
                    </w:rPr>
                    <w:t>16</w:t>
                  </w:r>
                </w:p>
              </w:tc>
              <w:tc>
                <w:tcPr>
                  <w:tcW w:w="3342" w:type="pct"/>
                  <w:vAlign w:val="center"/>
                </w:tcPr>
                <w:p w14:paraId="3485E2BB">
                  <w:pPr>
                    <w:pStyle w:val="20"/>
                    <w:spacing w:before="31"/>
                    <w:jc w:val="both"/>
                    <w:rPr>
                      <w:color w:val="auto"/>
                      <w:highlight w:val="none"/>
                    </w:rPr>
                  </w:pPr>
                  <w:r>
                    <w:rPr>
                      <w:rFonts w:hint="eastAsia"/>
                      <w:color w:val="auto"/>
                      <w:highlight w:val="none"/>
                    </w:rPr>
                    <w:t>禁止在生态保护红线区域、永久基本农田集中区域和其他需要特别保护的区域内选址建设尾矿库、冶炼渣库、磷石膏库。</w:t>
                  </w:r>
                </w:p>
              </w:tc>
              <w:tc>
                <w:tcPr>
                  <w:tcW w:w="1018" w:type="pct"/>
                  <w:vAlign w:val="center"/>
                </w:tcPr>
                <w:p w14:paraId="3D955D02">
                  <w:pPr>
                    <w:pStyle w:val="20"/>
                    <w:spacing w:before="31"/>
                    <w:jc w:val="both"/>
                    <w:rPr>
                      <w:color w:val="auto"/>
                      <w:highlight w:val="none"/>
                    </w:rPr>
                  </w:pPr>
                  <w:r>
                    <w:rPr>
                      <w:rFonts w:hint="eastAsia"/>
                      <w:color w:val="auto"/>
                      <w:highlight w:val="none"/>
                    </w:rPr>
                    <w:t>不涉及。</w:t>
                  </w:r>
                </w:p>
              </w:tc>
              <w:tc>
                <w:tcPr>
                  <w:tcW w:w="348" w:type="pct"/>
                  <w:vAlign w:val="center"/>
                </w:tcPr>
                <w:p w14:paraId="51904BF0">
                  <w:pPr>
                    <w:pStyle w:val="20"/>
                    <w:spacing w:before="31"/>
                    <w:rPr>
                      <w:color w:val="auto"/>
                      <w:highlight w:val="none"/>
                    </w:rPr>
                  </w:pPr>
                  <w:r>
                    <w:rPr>
                      <w:rFonts w:hint="eastAsia"/>
                      <w:color w:val="auto"/>
                      <w:highlight w:val="none"/>
                    </w:rPr>
                    <w:t>符合</w:t>
                  </w:r>
                </w:p>
              </w:tc>
            </w:tr>
            <w:tr w14:paraId="5C440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0" w:type="pct"/>
                  <w:vAlign w:val="center"/>
                </w:tcPr>
                <w:p w14:paraId="35D71C92">
                  <w:pPr>
                    <w:pStyle w:val="20"/>
                    <w:spacing w:before="31"/>
                    <w:rPr>
                      <w:color w:val="auto"/>
                      <w:highlight w:val="none"/>
                    </w:rPr>
                  </w:pPr>
                  <w:r>
                    <w:rPr>
                      <w:rFonts w:hint="eastAsia"/>
                      <w:color w:val="auto"/>
                      <w:highlight w:val="none"/>
                    </w:rPr>
                    <w:t>17</w:t>
                  </w:r>
                </w:p>
              </w:tc>
              <w:tc>
                <w:tcPr>
                  <w:tcW w:w="3342" w:type="pct"/>
                  <w:vAlign w:val="center"/>
                </w:tcPr>
                <w:p w14:paraId="2E34014C">
                  <w:pPr>
                    <w:pStyle w:val="20"/>
                    <w:spacing w:before="31"/>
                    <w:jc w:val="both"/>
                    <w:rPr>
                      <w:color w:val="auto"/>
                      <w:highlight w:val="none"/>
                    </w:rPr>
                  </w:pPr>
                  <w:r>
                    <w:rPr>
                      <w:rFonts w:hint="eastAsia"/>
                      <w:color w:val="auto"/>
                      <w:highlight w:val="none"/>
                    </w:rPr>
                    <w:t>禁止在合规园区外新建、扩建钢铁、石化、化工、焦化、建材、有色、制浆造纸等高污染项目。</w:t>
                  </w:r>
                </w:p>
              </w:tc>
              <w:tc>
                <w:tcPr>
                  <w:tcW w:w="1018" w:type="pct"/>
                  <w:vAlign w:val="center"/>
                </w:tcPr>
                <w:p w14:paraId="79EBD4B1">
                  <w:pPr>
                    <w:pStyle w:val="20"/>
                    <w:spacing w:before="31"/>
                    <w:jc w:val="both"/>
                    <w:rPr>
                      <w:color w:val="auto"/>
                      <w:highlight w:val="none"/>
                    </w:rPr>
                  </w:pPr>
                  <w:r>
                    <w:rPr>
                      <w:rFonts w:hint="eastAsia"/>
                      <w:color w:val="auto"/>
                      <w:highlight w:val="none"/>
                    </w:rPr>
                    <w:t>不涉及。</w:t>
                  </w:r>
                </w:p>
              </w:tc>
              <w:tc>
                <w:tcPr>
                  <w:tcW w:w="348" w:type="pct"/>
                  <w:vAlign w:val="center"/>
                </w:tcPr>
                <w:p w14:paraId="64C4DF74">
                  <w:pPr>
                    <w:pStyle w:val="20"/>
                    <w:spacing w:before="31"/>
                    <w:rPr>
                      <w:color w:val="auto"/>
                      <w:highlight w:val="none"/>
                    </w:rPr>
                  </w:pPr>
                  <w:r>
                    <w:rPr>
                      <w:rFonts w:hint="eastAsia"/>
                      <w:color w:val="auto"/>
                      <w:highlight w:val="none"/>
                    </w:rPr>
                    <w:t>符合</w:t>
                  </w:r>
                </w:p>
              </w:tc>
            </w:tr>
            <w:tr w14:paraId="29442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0" w:type="pct"/>
                  <w:vAlign w:val="center"/>
                </w:tcPr>
                <w:p w14:paraId="2DB32064">
                  <w:pPr>
                    <w:pStyle w:val="20"/>
                    <w:spacing w:before="31"/>
                    <w:rPr>
                      <w:color w:val="auto"/>
                      <w:highlight w:val="none"/>
                    </w:rPr>
                  </w:pPr>
                  <w:r>
                    <w:rPr>
                      <w:rFonts w:hint="eastAsia"/>
                      <w:color w:val="auto"/>
                      <w:highlight w:val="none"/>
                    </w:rPr>
                    <w:t>18</w:t>
                  </w:r>
                </w:p>
              </w:tc>
              <w:tc>
                <w:tcPr>
                  <w:tcW w:w="3342" w:type="pct"/>
                  <w:vAlign w:val="center"/>
                </w:tcPr>
                <w:p w14:paraId="570844ED">
                  <w:pPr>
                    <w:pStyle w:val="20"/>
                    <w:spacing w:before="31"/>
                    <w:jc w:val="both"/>
                    <w:rPr>
                      <w:color w:val="auto"/>
                      <w:highlight w:val="none"/>
                    </w:rPr>
                  </w:pPr>
                  <w:r>
                    <w:rPr>
                      <w:rFonts w:hint="eastAsia"/>
                      <w:color w:val="auto"/>
                      <w:highlight w:val="none"/>
                    </w:rPr>
                    <w:t>禁止新建、扩建不符合国家石化、现代煤化工等产业布局规划的项目。</w:t>
                  </w:r>
                </w:p>
              </w:tc>
              <w:tc>
                <w:tcPr>
                  <w:tcW w:w="1018" w:type="pct"/>
                  <w:vAlign w:val="center"/>
                </w:tcPr>
                <w:p w14:paraId="2CD88A25">
                  <w:pPr>
                    <w:pStyle w:val="20"/>
                    <w:spacing w:before="31"/>
                    <w:jc w:val="both"/>
                    <w:rPr>
                      <w:color w:val="auto"/>
                      <w:highlight w:val="none"/>
                    </w:rPr>
                  </w:pPr>
                  <w:r>
                    <w:rPr>
                      <w:rFonts w:hint="eastAsia"/>
                      <w:color w:val="auto"/>
                      <w:highlight w:val="none"/>
                    </w:rPr>
                    <w:t>不涉及。</w:t>
                  </w:r>
                </w:p>
              </w:tc>
              <w:tc>
                <w:tcPr>
                  <w:tcW w:w="348" w:type="pct"/>
                  <w:vAlign w:val="center"/>
                </w:tcPr>
                <w:p w14:paraId="07499343">
                  <w:pPr>
                    <w:pStyle w:val="20"/>
                    <w:spacing w:before="31"/>
                    <w:rPr>
                      <w:color w:val="auto"/>
                      <w:highlight w:val="none"/>
                    </w:rPr>
                  </w:pPr>
                  <w:r>
                    <w:rPr>
                      <w:rFonts w:hint="eastAsia"/>
                      <w:color w:val="auto"/>
                      <w:highlight w:val="none"/>
                    </w:rPr>
                    <w:t>符合</w:t>
                  </w:r>
                </w:p>
              </w:tc>
            </w:tr>
            <w:tr w14:paraId="1374C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0" w:type="pct"/>
                  <w:vAlign w:val="center"/>
                </w:tcPr>
                <w:p w14:paraId="7B3573E8">
                  <w:pPr>
                    <w:pStyle w:val="20"/>
                    <w:spacing w:before="31"/>
                    <w:rPr>
                      <w:color w:val="auto"/>
                      <w:highlight w:val="none"/>
                    </w:rPr>
                  </w:pPr>
                  <w:r>
                    <w:rPr>
                      <w:rFonts w:hint="eastAsia"/>
                      <w:color w:val="auto"/>
                      <w:highlight w:val="none"/>
                    </w:rPr>
                    <w:t>19</w:t>
                  </w:r>
                </w:p>
              </w:tc>
              <w:tc>
                <w:tcPr>
                  <w:tcW w:w="3342" w:type="pct"/>
                  <w:vAlign w:val="center"/>
                </w:tcPr>
                <w:p w14:paraId="3D805157">
                  <w:pPr>
                    <w:pStyle w:val="20"/>
                    <w:spacing w:before="31"/>
                    <w:jc w:val="both"/>
                    <w:rPr>
                      <w:color w:val="auto"/>
                      <w:highlight w:val="none"/>
                    </w:rPr>
                  </w:pPr>
                  <w:r>
                    <w:rPr>
                      <w:rFonts w:hint="eastAsia"/>
                      <w:color w:val="auto"/>
                      <w:highlight w:val="none"/>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018" w:type="pct"/>
                  <w:vAlign w:val="center"/>
                </w:tcPr>
                <w:p w14:paraId="440DAF4E">
                  <w:pPr>
                    <w:pStyle w:val="20"/>
                    <w:spacing w:before="31"/>
                    <w:jc w:val="both"/>
                    <w:rPr>
                      <w:color w:val="auto"/>
                      <w:highlight w:val="none"/>
                    </w:rPr>
                  </w:pPr>
                  <w:r>
                    <w:rPr>
                      <w:rFonts w:hint="eastAsia"/>
                      <w:color w:val="auto"/>
                      <w:highlight w:val="none"/>
                      <w:lang w:eastAsia="zh-CN"/>
                    </w:rPr>
                    <w:t>扩建项目</w:t>
                  </w:r>
                  <w:r>
                    <w:rPr>
                      <w:color w:val="auto"/>
                      <w:highlight w:val="none"/>
                    </w:rPr>
                    <w:t>不属于鼓励类、限制类、淘汰类项目，属于允许类项目</w:t>
                  </w:r>
                  <w:r>
                    <w:rPr>
                      <w:rFonts w:hint="eastAsia"/>
                      <w:color w:val="auto"/>
                      <w:highlight w:val="none"/>
                    </w:rPr>
                    <w:t>。</w:t>
                  </w:r>
                </w:p>
              </w:tc>
              <w:tc>
                <w:tcPr>
                  <w:tcW w:w="348" w:type="pct"/>
                  <w:vAlign w:val="center"/>
                </w:tcPr>
                <w:p w14:paraId="452ACB4D">
                  <w:pPr>
                    <w:pStyle w:val="20"/>
                    <w:spacing w:before="31"/>
                    <w:rPr>
                      <w:color w:val="auto"/>
                      <w:highlight w:val="none"/>
                    </w:rPr>
                  </w:pPr>
                  <w:r>
                    <w:rPr>
                      <w:rFonts w:hint="eastAsia"/>
                      <w:color w:val="auto"/>
                      <w:highlight w:val="none"/>
                    </w:rPr>
                    <w:t>符合</w:t>
                  </w:r>
                </w:p>
              </w:tc>
            </w:tr>
            <w:tr w14:paraId="7E283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0" w:type="pct"/>
                  <w:vAlign w:val="center"/>
                </w:tcPr>
                <w:p w14:paraId="488C77F7">
                  <w:pPr>
                    <w:pStyle w:val="20"/>
                    <w:spacing w:before="31"/>
                    <w:rPr>
                      <w:color w:val="auto"/>
                      <w:highlight w:val="none"/>
                    </w:rPr>
                  </w:pPr>
                  <w:r>
                    <w:rPr>
                      <w:rFonts w:hint="eastAsia"/>
                      <w:color w:val="auto"/>
                      <w:highlight w:val="none"/>
                    </w:rPr>
                    <w:t>20</w:t>
                  </w:r>
                </w:p>
              </w:tc>
              <w:tc>
                <w:tcPr>
                  <w:tcW w:w="3342" w:type="pct"/>
                  <w:vAlign w:val="center"/>
                </w:tcPr>
                <w:p w14:paraId="27495BEA">
                  <w:pPr>
                    <w:pStyle w:val="20"/>
                    <w:spacing w:before="31"/>
                    <w:jc w:val="both"/>
                    <w:rPr>
                      <w:color w:val="auto"/>
                      <w:highlight w:val="none"/>
                    </w:rPr>
                  </w:pPr>
                  <w:r>
                    <w:rPr>
                      <w:rFonts w:hint="eastAsia"/>
                      <w:color w:val="auto"/>
                      <w:highlight w:val="none"/>
                    </w:rPr>
                    <w:t>禁止新建、扩建不符合国家产能置换要求的严重过剩产能行业的项目。对于不符合国家产能置换要求的严重过剩产能行业，不得以其他任何名义、任何方式备案新增产能项目。</w:t>
                  </w:r>
                </w:p>
              </w:tc>
              <w:tc>
                <w:tcPr>
                  <w:tcW w:w="1018" w:type="pct"/>
                  <w:vAlign w:val="center"/>
                </w:tcPr>
                <w:p w14:paraId="3F5D8851">
                  <w:pPr>
                    <w:pStyle w:val="20"/>
                    <w:spacing w:before="31"/>
                    <w:jc w:val="both"/>
                    <w:rPr>
                      <w:color w:val="auto"/>
                      <w:highlight w:val="none"/>
                    </w:rPr>
                  </w:pPr>
                  <w:r>
                    <w:rPr>
                      <w:rFonts w:hint="eastAsia"/>
                      <w:color w:val="auto"/>
                      <w:highlight w:val="none"/>
                      <w:lang w:eastAsia="zh-CN"/>
                    </w:rPr>
                    <w:t>扩建项目</w:t>
                  </w:r>
                  <w:r>
                    <w:rPr>
                      <w:rFonts w:hint="eastAsia"/>
                      <w:color w:val="auto"/>
                      <w:highlight w:val="none"/>
                    </w:rPr>
                    <w:t>不属于严重过剩产能行业的项目。</w:t>
                  </w:r>
                </w:p>
              </w:tc>
              <w:tc>
                <w:tcPr>
                  <w:tcW w:w="348" w:type="pct"/>
                  <w:vAlign w:val="center"/>
                </w:tcPr>
                <w:p w14:paraId="2287C848">
                  <w:pPr>
                    <w:pStyle w:val="20"/>
                    <w:spacing w:before="31"/>
                    <w:rPr>
                      <w:color w:val="auto"/>
                      <w:highlight w:val="none"/>
                    </w:rPr>
                  </w:pPr>
                  <w:r>
                    <w:rPr>
                      <w:rFonts w:hint="eastAsia"/>
                      <w:color w:val="auto"/>
                      <w:highlight w:val="none"/>
                    </w:rPr>
                    <w:t>符合</w:t>
                  </w:r>
                </w:p>
              </w:tc>
            </w:tr>
            <w:tr w14:paraId="2B64E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0" w:type="pct"/>
                  <w:vAlign w:val="center"/>
                </w:tcPr>
                <w:p w14:paraId="6A5D0CBD">
                  <w:pPr>
                    <w:pStyle w:val="20"/>
                    <w:spacing w:before="31"/>
                    <w:rPr>
                      <w:color w:val="auto"/>
                      <w:highlight w:val="none"/>
                    </w:rPr>
                  </w:pPr>
                  <w:r>
                    <w:rPr>
                      <w:rFonts w:hint="eastAsia"/>
                      <w:color w:val="auto"/>
                      <w:highlight w:val="none"/>
                    </w:rPr>
                    <w:t>21</w:t>
                  </w:r>
                </w:p>
              </w:tc>
              <w:tc>
                <w:tcPr>
                  <w:tcW w:w="3342" w:type="pct"/>
                  <w:vAlign w:val="center"/>
                </w:tcPr>
                <w:p w14:paraId="3A454A0B">
                  <w:pPr>
                    <w:pStyle w:val="20"/>
                    <w:spacing w:before="31"/>
                    <w:jc w:val="both"/>
                    <w:rPr>
                      <w:color w:val="auto"/>
                      <w:highlight w:val="none"/>
                    </w:rPr>
                  </w:pPr>
                  <w:r>
                    <w:rPr>
                      <w:rFonts w:hint="eastAsia"/>
                      <w:color w:val="auto"/>
                      <w:highlight w:val="none"/>
                    </w:rPr>
                    <w:t>禁止建设以下燃油汽车投资项目（不在中国境内销售产品的投资项目除外）：</w:t>
                  </w:r>
                </w:p>
                <w:p w14:paraId="49AE4E88">
                  <w:pPr>
                    <w:pStyle w:val="20"/>
                    <w:spacing w:before="31"/>
                    <w:jc w:val="both"/>
                    <w:rPr>
                      <w:color w:val="auto"/>
                      <w:highlight w:val="none"/>
                    </w:rPr>
                  </w:pPr>
                  <w:r>
                    <w:rPr>
                      <w:rFonts w:hint="eastAsia"/>
                      <w:color w:val="auto"/>
                      <w:highlight w:val="none"/>
                    </w:rPr>
                    <w:t>（一）新建独立燃油汽车企业；</w:t>
                  </w:r>
                </w:p>
                <w:p w14:paraId="16293FF9">
                  <w:pPr>
                    <w:pStyle w:val="20"/>
                    <w:spacing w:before="31"/>
                    <w:jc w:val="both"/>
                    <w:rPr>
                      <w:color w:val="auto"/>
                      <w:highlight w:val="none"/>
                    </w:rPr>
                  </w:pPr>
                  <w:r>
                    <w:rPr>
                      <w:rFonts w:hint="eastAsia"/>
                      <w:color w:val="auto"/>
                      <w:highlight w:val="none"/>
                    </w:rPr>
                    <w:t>（二）现有汽车企业跨乘用车、商用车类别建设燃油汽车生产能力；</w:t>
                  </w:r>
                </w:p>
                <w:p w14:paraId="61A3AAED">
                  <w:pPr>
                    <w:pStyle w:val="20"/>
                    <w:spacing w:before="31"/>
                    <w:jc w:val="both"/>
                    <w:rPr>
                      <w:color w:val="auto"/>
                      <w:highlight w:val="none"/>
                    </w:rPr>
                  </w:pPr>
                  <w:r>
                    <w:rPr>
                      <w:rFonts w:hint="eastAsia"/>
                      <w:color w:val="auto"/>
                      <w:highlight w:val="none"/>
                    </w:rPr>
                    <w:t>（三）外省现有燃油汽车企业整体搬迁至本省（列入国家级区域发展规划或不改变企业股权结构的项目除外）；</w:t>
                  </w:r>
                </w:p>
                <w:p w14:paraId="7C712142">
                  <w:pPr>
                    <w:pStyle w:val="20"/>
                    <w:spacing w:before="31"/>
                    <w:jc w:val="both"/>
                    <w:rPr>
                      <w:color w:val="auto"/>
                      <w:highlight w:val="none"/>
                    </w:rPr>
                  </w:pPr>
                  <w:r>
                    <w:rPr>
                      <w:rFonts w:hint="eastAsia"/>
                      <w:color w:val="auto"/>
                      <w:highlight w:val="none"/>
                    </w:rPr>
                    <w:t>（四）对行业管理部门特别公示的燃油汽车企业进行投资（企业原有股东投资或将该企业转为非独立法人的投资项目除外）。</w:t>
                  </w:r>
                </w:p>
              </w:tc>
              <w:tc>
                <w:tcPr>
                  <w:tcW w:w="1018" w:type="pct"/>
                  <w:vAlign w:val="center"/>
                </w:tcPr>
                <w:p w14:paraId="5969C391">
                  <w:pPr>
                    <w:pStyle w:val="20"/>
                    <w:spacing w:before="31"/>
                    <w:jc w:val="both"/>
                    <w:rPr>
                      <w:color w:val="auto"/>
                      <w:highlight w:val="none"/>
                    </w:rPr>
                  </w:pPr>
                  <w:r>
                    <w:rPr>
                      <w:rFonts w:hint="eastAsia"/>
                      <w:color w:val="auto"/>
                      <w:highlight w:val="none"/>
                    </w:rPr>
                    <w:t>不涉及。</w:t>
                  </w:r>
                </w:p>
              </w:tc>
              <w:tc>
                <w:tcPr>
                  <w:tcW w:w="348" w:type="pct"/>
                  <w:vAlign w:val="center"/>
                </w:tcPr>
                <w:p w14:paraId="0FEF2182">
                  <w:pPr>
                    <w:pStyle w:val="20"/>
                    <w:spacing w:before="31"/>
                    <w:rPr>
                      <w:color w:val="auto"/>
                      <w:highlight w:val="none"/>
                    </w:rPr>
                  </w:pPr>
                  <w:r>
                    <w:rPr>
                      <w:rFonts w:hint="eastAsia"/>
                      <w:color w:val="auto"/>
                      <w:highlight w:val="none"/>
                    </w:rPr>
                    <w:t>符合</w:t>
                  </w:r>
                </w:p>
              </w:tc>
            </w:tr>
            <w:tr w14:paraId="766B0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0" w:type="pct"/>
                  <w:vAlign w:val="center"/>
                </w:tcPr>
                <w:p w14:paraId="2200C952">
                  <w:pPr>
                    <w:pStyle w:val="20"/>
                    <w:spacing w:before="31"/>
                    <w:rPr>
                      <w:color w:val="auto"/>
                      <w:highlight w:val="none"/>
                    </w:rPr>
                  </w:pPr>
                  <w:r>
                    <w:rPr>
                      <w:rFonts w:hint="eastAsia"/>
                      <w:color w:val="auto"/>
                      <w:highlight w:val="none"/>
                    </w:rPr>
                    <w:t>22</w:t>
                  </w:r>
                </w:p>
              </w:tc>
              <w:tc>
                <w:tcPr>
                  <w:tcW w:w="3342" w:type="pct"/>
                  <w:vAlign w:val="center"/>
                </w:tcPr>
                <w:p w14:paraId="26A68830">
                  <w:pPr>
                    <w:pStyle w:val="20"/>
                    <w:spacing w:before="31"/>
                    <w:jc w:val="both"/>
                    <w:rPr>
                      <w:color w:val="auto"/>
                      <w:highlight w:val="none"/>
                    </w:rPr>
                  </w:pPr>
                  <w:r>
                    <w:rPr>
                      <w:rFonts w:hint="eastAsia"/>
                      <w:color w:val="auto"/>
                      <w:highlight w:val="none"/>
                    </w:rPr>
                    <w:t>禁止新建、扩建不符合要求的高耗能、高排放、低水平项目。</w:t>
                  </w:r>
                </w:p>
              </w:tc>
              <w:tc>
                <w:tcPr>
                  <w:tcW w:w="1018" w:type="pct"/>
                  <w:vAlign w:val="center"/>
                </w:tcPr>
                <w:p w14:paraId="3780AEBB">
                  <w:pPr>
                    <w:pStyle w:val="20"/>
                    <w:spacing w:before="31"/>
                    <w:jc w:val="both"/>
                    <w:rPr>
                      <w:color w:val="auto"/>
                      <w:highlight w:val="none"/>
                    </w:rPr>
                  </w:pPr>
                  <w:r>
                    <w:rPr>
                      <w:rFonts w:hint="eastAsia"/>
                      <w:color w:val="auto"/>
                      <w:highlight w:val="none"/>
                      <w:lang w:eastAsia="zh-CN"/>
                    </w:rPr>
                    <w:t>扩建项目</w:t>
                  </w:r>
                  <w:r>
                    <w:rPr>
                      <w:rFonts w:hint="eastAsia"/>
                      <w:color w:val="auto"/>
                      <w:highlight w:val="none"/>
                    </w:rPr>
                    <w:t>不属于高耗能、高排放、低水平项目。</w:t>
                  </w:r>
                </w:p>
              </w:tc>
              <w:tc>
                <w:tcPr>
                  <w:tcW w:w="348" w:type="pct"/>
                  <w:vAlign w:val="center"/>
                </w:tcPr>
                <w:p w14:paraId="0A6F5B51">
                  <w:pPr>
                    <w:pStyle w:val="20"/>
                    <w:spacing w:before="31"/>
                    <w:rPr>
                      <w:color w:val="auto"/>
                      <w:highlight w:val="none"/>
                    </w:rPr>
                  </w:pPr>
                  <w:r>
                    <w:rPr>
                      <w:rFonts w:hint="eastAsia"/>
                      <w:color w:val="auto"/>
                      <w:highlight w:val="none"/>
                    </w:rPr>
                    <w:t>符合</w:t>
                  </w:r>
                </w:p>
              </w:tc>
            </w:tr>
          </w:tbl>
          <w:p w14:paraId="0A669ADA">
            <w:pPr>
              <w:pStyle w:val="18"/>
              <w:rPr>
                <w:rFonts w:hint="default"/>
                <w:color w:val="auto"/>
                <w:highlight w:val="none"/>
              </w:rPr>
            </w:pPr>
            <w:r>
              <w:rPr>
                <w:rFonts w:hint="eastAsia"/>
                <w:color w:val="auto"/>
                <w:highlight w:val="none"/>
              </w:rPr>
              <w:t>综上，</w:t>
            </w:r>
            <w:r>
              <w:rPr>
                <w:rFonts w:hint="eastAsia"/>
                <w:color w:val="auto"/>
                <w:highlight w:val="none"/>
                <w:lang w:eastAsia="zh-CN"/>
              </w:rPr>
              <w:t>扩建项目</w:t>
            </w:r>
            <w:r>
              <w:rPr>
                <w:rFonts w:hint="eastAsia"/>
                <w:color w:val="auto"/>
                <w:highlight w:val="none"/>
              </w:rPr>
              <w:t>符合《四川省、重庆市长江经济带发展负面清单实施细则（试行，2022年版）》（川长江办〔2022〕17号）文件相关要求。</w:t>
            </w:r>
          </w:p>
          <w:p w14:paraId="37D292FE">
            <w:pPr>
              <w:pStyle w:val="2"/>
              <w:keepNext w:val="0"/>
              <w:keepLines w:val="0"/>
              <w:pageBreakBefore w:val="0"/>
              <w:widowControl w:val="0"/>
              <w:numPr>
                <w:ilvl w:val="0"/>
                <w:numId w:val="2"/>
              </w:numPr>
              <w:kinsoku/>
              <w:wordWrap/>
              <w:overflowPunct w:val="0"/>
              <w:topLinePunct w:val="0"/>
              <w:autoSpaceDE/>
              <w:autoSpaceDN/>
              <w:bidi w:val="0"/>
              <w:adjustRightInd/>
              <w:snapToGrid w:val="0"/>
              <w:ind w:left="0" w:firstLine="0"/>
              <w:textAlignment w:val="auto"/>
              <w:rPr>
                <w:rFonts w:hint="default"/>
                <w:color w:val="auto"/>
                <w:highlight w:val="none"/>
              </w:rPr>
            </w:pPr>
            <w:r>
              <w:rPr>
                <w:rFonts w:hint="eastAsia"/>
                <w:color w:val="auto"/>
                <w:highlight w:val="none"/>
              </w:rPr>
              <w:t>与《重庆市生态环境保护“十四五”规划（2021-2025）》（渝府发〔2022〕11号）的符合性</w:t>
            </w:r>
          </w:p>
          <w:p w14:paraId="5F53E5CA">
            <w:pPr>
              <w:pStyle w:val="18"/>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rPr>
              <w:t>本项目与《重庆市生态环境保护“十四五”规划（2021</w:t>
            </w:r>
            <w:r>
              <w:rPr>
                <w:rFonts w:hint="eastAsia"/>
                <w:color w:val="auto"/>
                <w:highlight w:val="none"/>
                <w:lang w:val="en-US" w:eastAsia="zh-CN"/>
              </w:rPr>
              <w:t>-</w:t>
            </w:r>
            <w:r>
              <w:rPr>
                <w:rFonts w:hint="eastAsia"/>
                <w:color w:val="auto"/>
                <w:highlight w:val="none"/>
              </w:rPr>
              <w:t>2025年）》（渝府发〔2022〕11号）符合性分析见</w:t>
            </w:r>
            <w:r>
              <w:rPr>
                <w:rFonts w:hint="eastAsia"/>
                <w:color w:val="auto"/>
                <w:highlight w:val="none"/>
              </w:rPr>
              <w:fldChar w:fldCharType="begin"/>
            </w:r>
            <w:r>
              <w:rPr>
                <w:rFonts w:hint="eastAsia"/>
                <w:color w:val="auto"/>
                <w:highlight w:val="none"/>
              </w:rPr>
              <w:instrText xml:space="preserve"> REF _Ref21805 \h </w:instrText>
            </w:r>
            <w:r>
              <w:rPr>
                <w:rFonts w:hint="eastAsia"/>
                <w:color w:val="auto"/>
                <w:highlight w:val="none"/>
              </w:rPr>
              <w:fldChar w:fldCharType="separate"/>
            </w:r>
            <w:r>
              <w:rPr>
                <w:rFonts w:hint="default"/>
                <w:color w:val="auto"/>
                <w:highlight w:val="none"/>
              </w:rPr>
              <w:t>表1-8</w:t>
            </w:r>
            <w:r>
              <w:rPr>
                <w:rFonts w:hint="eastAsia"/>
                <w:color w:val="auto"/>
                <w:highlight w:val="none"/>
              </w:rPr>
              <w:fldChar w:fldCharType="end"/>
            </w:r>
            <w:r>
              <w:rPr>
                <w:rFonts w:hint="eastAsia"/>
                <w:color w:val="auto"/>
                <w:highlight w:val="none"/>
              </w:rPr>
              <w:t>。</w:t>
            </w:r>
          </w:p>
          <w:p w14:paraId="60805696">
            <w:pPr>
              <w:pStyle w:val="19"/>
              <w:keepNext w:val="0"/>
              <w:keepLines w:val="0"/>
              <w:suppressLineNumbers w:val="0"/>
              <w:spacing w:before="156" w:beforeAutospacing="0" w:after="0" w:afterAutospacing="0"/>
              <w:ind w:left="0" w:right="0"/>
              <w:rPr>
                <w:rFonts w:hint="default"/>
                <w:color w:val="auto"/>
                <w:highlight w:val="none"/>
              </w:rPr>
            </w:pPr>
            <w:bookmarkStart w:id="7" w:name="_Ref21805"/>
            <w:r>
              <w:rPr>
                <w:rFonts w:hint="default"/>
                <w:color w:val="auto"/>
                <w:highlight w:val="none"/>
              </w:rPr>
              <w:t>表1-</w:t>
            </w:r>
            <w:r>
              <w:rPr>
                <w:rFonts w:hint="default"/>
                <w:color w:val="auto"/>
                <w:highlight w:val="none"/>
              </w:rPr>
              <w:fldChar w:fldCharType="begin"/>
            </w:r>
            <w:r>
              <w:rPr>
                <w:rFonts w:hint="default"/>
                <w:color w:val="auto"/>
                <w:highlight w:val="none"/>
              </w:rPr>
              <w:instrText xml:space="preserve"> SEQ 表1- \* ARABIC </w:instrText>
            </w:r>
            <w:r>
              <w:rPr>
                <w:rFonts w:hint="default"/>
                <w:color w:val="auto"/>
                <w:highlight w:val="none"/>
              </w:rPr>
              <w:fldChar w:fldCharType="separate"/>
            </w:r>
            <w:r>
              <w:rPr>
                <w:rFonts w:hint="default"/>
                <w:color w:val="auto"/>
                <w:highlight w:val="none"/>
              </w:rPr>
              <w:t>8</w:t>
            </w:r>
            <w:r>
              <w:rPr>
                <w:rFonts w:hint="default"/>
                <w:color w:val="auto"/>
                <w:highlight w:val="none"/>
              </w:rPr>
              <w:fldChar w:fldCharType="end"/>
            </w:r>
            <w:bookmarkEnd w:id="7"/>
            <w:r>
              <w:rPr>
                <w:rFonts w:hint="eastAsia"/>
                <w:color w:val="auto"/>
                <w:highlight w:val="none"/>
              </w:rPr>
              <w:t xml:space="preserve"> 与《重庆市生态环境保护“十四五”规划（2021—2025年）》（渝府发〔2022〕11号）符合性分析一览表</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44"/>
              <w:gridCol w:w="594"/>
              <w:gridCol w:w="5267"/>
              <w:gridCol w:w="1368"/>
              <w:gridCol w:w="594"/>
            </w:tblGrid>
            <w:tr w14:paraId="5461F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69" w:type="pct"/>
                  <w:vAlign w:val="center"/>
                </w:tcPr>
                <w:p w14:paraId="14095C20">
                  <w:pPr>
                    <w:pStyle w:val="20"/>
                    <w:keepNext w:val="0"/>
                    <w:keepLines w:val="0"/>
                    <w:suppressLineNumbers w:val="0"/>
                    <w:spacing w:before="31" w:beforeAutospacing="0" w:after="0" w:afterAutospacing="0"/>
                    <w:ind w:left="0" w:right="0"/>
                    <w:rPr>
                      <w:rFonts w:hint="default"/>
                      <w:b/>
                      <w:bCs/>
                      <w:color w:val="auto"/>
                      <w:highlight w:val="none"/>
                    </w:rPr>
                  </w:pPr>
                  <w:r>
                    <w:rPr>
                      <w:rFonts w:hint="eastAsia"/>
                      <w:b/>
                      <w:bCs/>
                      <w:color w:val="auto"/>
                      <w:highlight w:val="none"/>
                    </w:rPr>
                    <w:t>序号</w:t>
                  </w:r>
                </w:p>
              </w:tc>
              <w:tc>
                <w:tcPr>
                  <w:tcW w:w="3544" w:type="pct"/>
                  <w:gridSpan w:val="2"/>
                  <w:vAlign w:val="center"/>
                </w:tcPr>
                <w:p w14:paraId="41418359">
                  <w:pPr>
                    <w:pStyle w:val="20"/>
                    <w:keepNext w:val="0"/>
                    <w:keepLines w:val="0"/>
                    <w:suppressLineNumbers w:val="0"/>
                    <w:spacing w:before="31" w:beforeAutospacing="0" w:after="0" w:afterAutospacing="0"/>
                    <w:ind w:left="0" w:right="0"/>
                    <w:rPr>
                      <w:rFonts w:hint="default"/>
                      <w:b/>
                      <w:bCs/>
                      <w:color w:val="auto"/>
                      <w:highlight w:val="none"/>
                    </w:rPr>
                  </w:pPr>
                  <w:r>
                    <w:rPr>
                      <w:rFonts w:hint="eastAsia"/>
                      <w:b/>
                      <w:bCs/>
                      <w:color w:val="auto"/>
                      <w:highlight w:val="none"/>
                    </w:rPr>
                    <w:t>与项目相关要求（节选）</w:t>
                  </w:r>
                </w:p>
              </w:tc>
              <w:tc>
                <w:tcPr>
                  <w:tcW w:w="827" w:type="pct"/>
                  <w:vAlign w:val="center"/>
                </w:tcPr>
                <w:p w14:paraId="53C06E3C">
                  <w:pPr>
                    <w:pStyle w:val="20"/>
                    <w:keepNext w:val="0"/>
                    <w:keepLines w:val="0"/>
                    <w:suppressLineNumbers w:val="0"/>
                    <w:spacing w:before="31" w:beforeAutospacing="0" w:after="0" w:afterAutospacing="0"/>
                    <w:ind w:left="0" w:right="0"/>
                    <w:rPr>
                      <w:rFonts w:hint="default"/>
                      <w:b/>
                      <w:bCs/>
                      <w:color w:val="auto"/>
                      <w:highlight w:val="none"/>
                    </w:rPr>
                  </w:pPr>
                  <w:r>
                    <w:rPr>
                      <w:rFonts w:hint="eastAsia"/>
                      <w:b/>
                      <w:bCs/>
                      <w:color w:val="auto"/>
                      <w:highlight w:val="none"/>
                    </w:rPr>
                    <w:t>本项目</w:t>
                  </w:r>
                </w:p>
              </w:tc>
              <w:tc>
                <w:tcPr>
                  <w:tcW w:w="359" w:type="pct"/>
                  <w:vAlign w:val="center"/>
                </w:tcPr>
                <w:p w14:paraId="49ECCCD7">
                  <w:pPr>
                    <w:pStyle w:val="20"/>
                    <w:keepNext w:val="0"/>
                    <w:keepLines w:val="0"/>
                    <w:suppressLineNumbers w:val="0"/>
                    <w:spacing w:before="31" w:beforeAutospacing="0" w:after="0" w:afterAutospacing="0"/>
                    <w:ind w:left="0" w:right="0"/>
                    <w:rPr>
                      <w:rFonts w:hint="default"/>
                      <w:b/>
                      <w:bCs/>
                      <w:color w:val="auto"/>
                      <w:highlight w:val="none"/>
                    </w:rPr>
                  </w:pPr>
                  <w:r>
                    <w:rPr>
                      <w:rFonts w:hint="eastAsia"/>
                      <w:b/>
                      <w:bCs/>
                      <w:color w:val="auto"/>
                      <w:highlight w:val="none"/>
                    </w:rPr>
                    <w:t>符合性</w:t>
                  </w:r>
                </w:p>
              </w:tc>
            </w:tr>
            <w:tr w14:paraId="44D66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69" w:type="pct"/>
                  <w:vAlign w:val="center"/>
                </w:tcPr>
                <w:p w14:paraId="7F717FCA">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1</w:t>
                  </w:r>
                </w:p>
              </w:tc>
              <w:tc>
                <w:tcPr>
                  <w:tcW w:w="359" w:type="pct"/>
                  <w:vAlign w:val="center"/>
                </w:tcPr>
                <w:p w14:paraId="26ED6461">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改善水环境质量</w:t>
                  </w:r>
                </w:p>
              </w:tc>
              <w:tc>
                <w:tcPr>
                  <w:tcW w:w="3185" w:type="pct"/>
                  <w:vAlign w:val="center"/>
                </w:tcPr>
                <w:p w14:paraId="2E468D40">
                  <w:pPr>
                    <w:pStyle w:val="20"/>
                    <w:keepNext w:val="0"/>
                    <w:keepLines w:val="0"/>
                    <w:suppressLineNumbers w:val="0"/>
                    <w:spacing w:before="31" w:beforeAutospacing="0" w:after="0" w:afterAutospacing="0"/>
                    <w:ind w:left="0" w:right="0"/>
                    <w:jc w:val="both"/>
                    <w:rPr>
                      <w:rFonts w:hint="default"/>
                      <w:color w:val="auto"/>
                      <w:highlight w:val="none"/>
                    </w:rPr>
                  </w:pPr>
                  <w:r>
                    <w:rPr>
                      <w:rFonts w:hint="eastAsia"/>
                      <w:color w:val="auto"/>
                      <w:highlight w:val="none"/>
                    </w:rPr>
                    <w:t>加强河流水质目标管理。加强重点水环境综合治理。修复水生态扩大水环境容量。严格保护饮用水水源地水质安全。</w:t>
                  </w:r>
                </w:p>
              </w:tc>
              <w:tc>
                <w:tcPr>
                  <w:tcW w:w="827" w:type="pct"/>
                  <w:vAlign w:val="center"/>
                </w:tcPr>
                <w:p w14:paraId="595D26FF">
                  <w:pPr>
                    <w:pStyle w:val="20"/>
                    <w:keepNext w:val="0"/>
                    <w:keepLines w:val="0"/>
                    <w:suppressLineNumbers w:val="0"/>
                    <w:spacing w:before="31" w:beforeAutospacing="0" w:after="0" w:afterAutospacing="0"/>
                    <w:ind w:left="0" w:right="0"/>
                    <w:jc w:val="both"/>
                    <w:rPr>
                      <w:rFonts w:hint="default"/>
                      <w:color w:val="auto"/>
                      <w:highlight w:val="none"/>
                    </w:rPr>
                  </w:pPr>
                  <w:r>
                    <w:rPr>
                      <w:rFonts w:hint="eastAsia"/>
                      <w:color w:val="auto"/>
                      <w:highlight w:val="none"/>
                    </w:rPr>
                    <w:t>本项目废水经</w:t>
                  </w:r>
                  <w:r>
                    <w:rPr>
                      <w:rFonts w:hint="eastAsia"/>
                      <w:color w:val="auto"/>
                      <w:highlight w:val="none"/>
                      <w:lang w:val="en-US" w:eastAsia="zh-CN"/>
                    </w:rPr>
                    <w:t>西彭工业园区污水处理厂</w:t>
                  </w:r>
                  <w:r>
                    <w:rPr>
                      <w:rFonts w:hint="eastAsia"/>
                      <w:color w:val="auto"/>
                      <w:highlight w:val="none"/>
                    </w:rPr>
                    <w:t>处理达标排放。</w:t>
                  </w:r>
                </w:p>
              </w:tc>
              <w:tc>
                <w:tcPr>
                  <w:tcW w:w="359" w:type="pct"/>
                  <w:vAlign w:val="center"/>
                </w:tcPr>
                <w:p w14:paraId="3418F2E7">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符合</w:t>
                  </w:r>
                </w:p>
              </w:tc>
            </w:tr>
            <w:tr w14:paraId="34E7E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69" w:type="pct"/>
                  <w:vAlign w:val="center"/>
                </w:tcPr>
                <w:p w14:paraId="4B999A96">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2</w:t>
                  </w:r>
                </w:p>
              </w:tc>
              <w:tc>
                <w:tcPr>
                  <w:tcW w:w="359" w:type="pct"/>
                  <w:vAlign w:val="center"/>
                </w:tcPr>
                <w:p w14:paraId="20696A6A">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提升大气环境质量</w:t>
                  </w:r>
                </w:p>
              </w:tc>
              <w:tc>
                <w:tcPr>
                  <w:tcW w:w="3185" w:type="pct"/>
                  <w:vAlign w:val="center"/>
                </w:tcPr>
                <w:p w14:paraId="7D30C04C">
                  <w:pPr>
                    <w:pStyle w:val="20"/>
                    <w:keepNext w:val="0"/>
                    <w:keepLines w:val="0"/>
                    <w:suppressLineNumbers w:val="0"/>
                    <w:spacing w:before="31" w:beforeAutospacing="0" w:after="0" w:afterAutospacing="0"/>
                    <w:ind w:left="0" w:right="0"/>
                    <w:jc w:val="both"/>
                    <w:rPr>
                      <w:rFonts w:hint="eastAsia"/>
                      <w:color w:val="auto"/>
                      <w:highlight w:val="none"/>
                    </w:rPr>
                  </w:pPr>
                  <w:r>
                    <w:rPr>
                      <w:rFonts w:hint="eastAsia"/>
                      <w:color w:val="auto"/>
                      <w:highlight w:val="none"/>
                    </w:rPr>
                    <w:t>以挥发性有机物治理和工业炉窑整治为重点深化工业废气污染控制。完成钢铁行业大气污染物超低排放改造。推进实施水泥行业产能等量或减量替代，推动工业炉窑深度治理和升级改造、垃圾焚烧发电厂氮氧化物深度治理。加大化工园区及制药、造纸、化工、燃煤锅炉等集中整治力度。加强火电、水泥、砖瓦、陶瓷、建材加工等行业废气无组织排放监管。严格落实</w:t>
                  </w:r>
                  <w:r>
                    <w:rPr>
                      <w:rFonts w:hint="default"/>
                      <w:color w:val="auto"/>
                      <w:highlight w:val="none"/>
                    </w:rPr>
                    <w:t>VOC</w:t>
                  </w:r>
                  <w:r>
                    <w:rPr>
                      <w:rFonts w:hint="eastAsia"/>
                      <w:color w:val="auto"/>
                      <w:highlight w:val="none"/>
                      <w:vertAlign w:val="subscript"/>
                      <w:lang w:val="en-US" w:eastAsia="zh-CN"/>
                    </w:rPr>
                    <w:t>S</w:t>
                  </w:r>
                  <w:r>
                    <w:rPr>
                      <w:rFonts w:hint="eastAsia"/>
                      <w:color w:val="auto"/>
                      <w:highlight w:val="none"/>
                    </w:rPr>
                    <w:t>（挥发性有机物）含量限值标准，大力推进低（无）</w:t>
                  </w:r>
                  <w:r>
                    <w:rPr>
                      <w:rFonts w:hint="default"/>
                      <w:color w:val="auto"/>
                      <w:highlight w:val="none"/>
                    </w:rPr>
                    <w:t>VOC</w:t>
                  </w:r>
                  <w:r>
                    <w:rPr>
                      <w:rFonts w:hint="eastAsia"/>
                      <w:color w:val="auto"/>
                      <w:highlight w:val="none"/>
                      <w:vertAlign w:val="subscript"/>
                      <w:lang w:val="en-US" w:eastAsia="zh-CN"/>
                    </w:rPr>
                    <w:t>S</w:t>
                  </w:r>
                  <w:r>
                    <w:rPr>
                      <w:rFonts w:hint="eastAsia"/>
                      <w:color w:val="auto"/>
                      <w:highlight w:val="none"/>
                    </w:rPr>
                    <w:t>原辅材料替代，将生产和使用高</w:t>
                  </w:r>
                  <w:r>
                    <w:rPr>
                      <w:rFonts w:hint="default"/>
                      <w:color w:val="auto"/>
                      <w:highlight w:val="none"/>
                    </w:rPr>
                    <w:t>VOC</w:t>
                  </w:r>
                  <w:r>
                    <w:rPr>
                      <w:rFonts w:hint="eastAsia"/>
                      <w:color w:val="auto"/>
                      <w:highlight w:val="none"/>
                      <w:vertAlign w:val="subscript"/>
                      <w:lang w:val="en-US" w:eastAsia="zh-CN"/>
                    </w:rPr>
                    <w:t>S</w:t>
                  </w:r>
                  <w:r>
                    <w:rPr>
                      <w:rFonts w:hint="eastAsia"/>
                      <w:color w:val="auto"/>
                      <w:highlight w:val="none"/>
                    </w:rPr>
                    <w:t>含量产品的企业列入强制性清洁生产审核名单。以工业涂装、包装印刷、家具制造、电子、石化、化工、油品储运销等行业为重点，强化</w:t>
                  </w:r>
                  <w:r>
                    <w:rPr>
                      <w:rFonts w:hint="default"/>
                      <w:color w:val="auto"/>
                      <w:highlight w:val="none"/>
                    </w:rPr>
                    <w:t>VOC</w:t>
                  </w:r>
                  <w:r>
                    <w:rPr>
                      <w:rFonts w:hint="eastAsia"/>
                      <w:color w:val="auto"/>
                      <w:highlight w:val="none"/>
                      <w:vertAlign w:val="subscript"/>
                      <w:lang w:val="en-US" w:eastAsia="zh-CN"/>
                    </w:rPr>
                    <w:t>S</w:t>
                  </w:r>
                  <w:r>
                    <w:rPr>
                      <w:rFonts w:hint="eastAsia"/>
                      <w:color w:val="auto"/>
                      <w:highlight w:val="none"/>
                    </w:rPr>
                    <w:t>无组织排放管控。推动适时把挥发性有机物纳入环境保护税征收范围。</w:t>
                  </w:r>
                </w:p>
                <w:p w14:paraId="44EB3418">
                  <w:pPr>
                    <w:pStyle w:val="20"/>
                    <w:keepNext w:val="0"/>
                    <w:keepLines w:val="0"/>
                    <w:suppressLineNumbers w:val="0"/>
                    <w:spacing w:before="31" w:beforeAutospacing="0" w:after="0" w:afterAutospacing="0"/>
                    <w:ind w:left="0" w:right="0"/>
                    <w:jc w:val="both"/>
                    <w:rPr>
                      <w:rFonts w:hint="default"/>
                      <w:color w:val="auto"/>
                      <w:highlight w:val="none"/>
                    </w:rPr>
                  </w:pPr>
                  <w:r>
                    <w:rPr>
                      <w:rFonts w:hint="default"/>
                      <w:color w:val="auto"/>
                      <w:highlight w:val="none"/>
                    </w:rPr>
                    <w:t>以绿色示范创建和智能监管为重点深化扬尘污染控制。出台并实施建筑施工现场扬尘控制管理标准，持续推行</w:t>
                  </w:r>
                  <w:r>
                    <w:rPr>
                      <w:rFonts w:hint="eastAsia"/>
                      <w:color w:val="auto"/>
                      <w:highlight w:val="none"/>
                      <w:lang w:eastAsia="zh-CN"/>
                    </w:rPr>
                    <w:t>“</w:t>
                  </w:r>
                  <w:r>
                    <w:rPr>
                      <w:rFonts w:hint="default"/>
                      <w:color w:val="auto"/>
                      <w:highlight w:val="none"/>
                    </w:rPr>
                    <w:t>红黄绿</w:t>
                  </w:r>
                  <w:r>
                    <w:rPr>
                      <w:rFonts w:hint="eastAsia"/>
                      <w:color w:val="auto"/>
                      <w:highlight w:val="none"/>
                      <w:lang w:eastAsia="zh-CN"/>
                    </w:rPr>
                    <w:t>”</w:t>
                  </w:r>
                  <w:r>
                    <w:rPr>
                      <w:rFonts w:hint="default"/>
                      <w:color w:val="auto"/>
                      <w:highlight w:val="none"/>
                    </w:rPr>
                    <w:t>名单分级管控制度，建设扬尘控制示范工地。开展建筑施工扬尘排放标准和控尘技术规范研究。提高城市道路机械化清扫率，持续开展道路冲洗、洒水，完善质量标准考评，建设扬尘控制示范道路。严格落实</w:t>
                  </w:r>
                  <w:r>
                    <w:rPr>
                      <w:rFonts w:hint="eastAsia"/>
                      <w:color w:val="auto"/>
                      <w:highlight w:val="none"/>
                      <w:lang w:eastAsia="zh-CN"/>
                    </w:rPr>
                    <w:t>“</w:t>
                  </w:r>
                  <w:r>
                    <w:rPr>
                      <w:rFonts w:hint="default"/>
                      <w:color w:val="auto"/>
                      <w:highlight w:val="none"/>
                    </w:rPr>
                    <w:t>定车辆、定线路、定渣场</w:t>
                  </w:r>
                  <w:r>
                    <w:rPr>
                      <w:rFonts w:hint="eastAsia"/>
                      <w:color w:val="auto"/>
                      <w:highlight w:val="none"/>
                      <w:lang w:eastAsia="zh-CN"/>
                    </w:rPr>
                    <w:t>”</w:t>
                  </w:r>
                  <w:r>
                    <w:rPr>
                      <w:rFonts w:hint="default"/>
                      <w:color w:val="auto"/>
                      <w:highlight w:val="none"/>
                    </w:rPr>
                    <w:t>要求，加大渣土密闭运输联合执法监管力度。加强企业堆煤、堆料、建筑渣土消纳场和混凝土搅拌站粉尘排放监管。加强城市裸露地块和坡坎崖整治。</w:t>
                  </w:r>
                </w:p>
              </w:tc>
              <w:tc>
                <w:tcPr>
                  <w:tcW w:w="827" w:type="pct"/>
                  <w:vAlign w:val="center"/>
                </w:tcPr>
                <w:p w14:paraId="6A26C35C">
                  <w:pPr>
                    <w:pStyle w:val="20"/>
                    <w:keepNext w:val="0"/>
                    <w:keepLines w:val="0"/>
                    <w:suppressLineNumbers w:val="0"/>
                    <w:spacing w:before="31" w:beforeAutospacing="0" w:after="0" w:afterAutospacing="0"/>
                    <w:ind w:left="0" w:right="0"/>
                    <w:jc w:val="both"/>
                    <w:rPr>
                      <w:rFonts w:hint="default" w:eastAsia="宋体"/>
                      <w:color w:val="auto"/>
                      <w:highlight w:val="none"/>
                      <w:lang w:val="en-US" w:eastAsia="zh-CN"/>
                    </w:rPr>
                  </w:pPr>
                  <w:r>
                    <w:rPr>
                      <w:rFonts w:hint="default"/>
                      <w:color w:val="auto"/>
                      <w:highlight w:val="none"/>
                      <w:lang w:val="en-US" w:eastAsia="zh-CN"/>
                    </w:rPr>
                    <w:t>项目</w:t>
                  </w:r>
                  <w:r>
                    <w:rPr>
                      <w:rFonts w:hint="eastAsia"/>
                      <w:color w:val="auto"/>
                      <w:highlight w:val="none"/>
                      <w:lang w:val="en-US" w:eastAsia="zh-CN"/>
                    </w:rPr>
                    <w:t>有机废气设置集气罩收集，</w:t>
                  </w:r>
                  <w:r>
                    <w:rPr>
                      <w:rFonts w:hint="default"/>
                      <w:color w:val="auto"/>
                      <w:highlight w:val="none"/>
                      <w:lang w:val="en-US" w:eastAsia="zh-CN"/>
                    </w:rPr>
                    <w:t>采用</w:t>
                  </w:r>
                  <w:r>
                    <w:rPr>
                      <w:rFonts w:hint="eastAsia"/>
                      <w:color w:val="auto"/>
                      <w:highlight w:val="none"/>
                      <w:lang w:val="en-US" w:eastAsia="zh-CN"/>
                    </w:rPr>
                    <w:t>过滤棉</w:t>
                  </w:r>
                  <w:r>
                    <w:rPr>
                      <w:rFonts w:hint="default"/>
                      <w:color w:val="auto"/>
                      <w:highlight w:val="none"/>
                      <w:lang w:val="en-US" w:eastAsia="zh-CN"/>
                    </w:rPr>
                    <w:t>+</w:t>
                  </w:r>
                  <w:r>
                    <w:rPr>
                      <w:rFonts w:hint="eastAsia"/>
                      <w:color w:val="auto"/>
                      <w:highlight w:val="none"/>
                      <w:lang w:val="en-US" w:eastAsia="zh-CN"/>
                    </w:rPr>
                    <w:t>UV光氧化+二级</w:t>
                  </w:r>
                  <w:r>
                    <w:rPr>
                      <w:rFonts w:hint="default"/>
                      <w:color w:val="auto"/>
                      <w:highlight w:val="none"/>
                      <w:lang w:val="en-US" w:eastAsia="zh-CN"/>
                    </w:rPr>
                    <w:t>活性炭吸附处理后达标排放。</w:t>
                  </w:r>
                </w:p>
              </w:tc>
              <w:tc>
                <w:tcPr>
                  <w:tcW w:w="359" w:type="pct"/>
                  <w:vAlign w:val="center"/>
                </w:tcPr>
                <w:p w14:paraId="09EA13BA">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符合</w:t>
                  </w:r>
                </w:p>
              </w:tc>
            </w:tr>
            <w:tr w14:paraId="40E58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69" w:type="pct"/>
                  <w:vAlign w:val="center"/>
                </w:tcPr>
                <w:p w14:paraId="4D6106EF">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3</w:t>
                  </w:r>
                </w:p>
              </w:tc>
              <w:tc>
                <w:tcPr>
                  <w:tcW w:w="359" w:type="pct"/>
                  <w:vAlign w:val="center"/>
                </w:tcPr>
                <w:p w14:paraId="535FCCA7">
                  <w:pPr>
                    <w:pStyle w:val="20"/>
                    <w:keepNext w:val="0"/>
                    <w:keepLines w:val="0"/>
                    <w:suppressLineNumbers w:val="0"/>
                    <w:spacing w:before="31" w:beforeAutospacing="0" w:after="0" w:afterAutospacing="0"/>
                    <w:ind w:left="0" w:right="0"/>
                    <w:rPr>
                      <w:rFonts w:hint="default"/>
                      <w:b/>
                      <w:bCs/>
                      <w:color w:val="auto"/>
                      <w:highlight w:val="none"/>
                    </w:rPr>
                  </w:pPr>
                  <w:r>
                    <w:rPr>
                      <w:rFonts w:hint="eastAsia"/>
                      <w:color w:val="auto"/>
                      <w:highlight w:val="none"/>
                    </w:rPr>
                    <w:t>协同防治土壤和地下水污染</w:t>
                  </w:r>
                </w:p>
              </w:tc>
              <w:tc>
                <w:tcPr>
                  <w:tcW w:w="3185" w:type="pct"/>
                  <w:vAlign w:val="center"/>
                </w:tcPr>
                <w:p w14:paraId="322B48AE">
                  <w:pPr>
                    <w:pStyle w:val="20"/>
                    <w:keepNext w:val="0"/>
                    <w:keepLines w:val="0"/>
                    <w:suppressLineNumbers w:val="0"/>
                    <w:spacing w:before="31" w:beforeAutospacing="0" w:after="0" w:afterAutospacing="0"/>
                    <w:ind w:left="0" w:right="0"/>
                    <w:jc w:val="both"/>
                    <w:rPr>
                      <w:rFonts w:hint="default"/>
                      <w:color w:val="auto"/>
                      <w:highlight w:val="none"/>
                    </w:rPr>
                  </w:pPr>
                  <w:r>
                    <w:rPr>
                      <w:rFonts w:hint="eastAsia"/>
                      <w:color w:val="auto"/>
                      <w:highlight w:val="none"/>
                    </w:rPr>
                    <w:t>实施重点区域土壤污染综合防控。针对有色金属矿采选、有色金属冶炼、化工、农药、炼焦等土壤污染重点行业及周边区域，开展重点区域土壤污染综合防控示范区建设。因地制宜在土壤污染预防、风险管控、治理与修复、监管能力等方面进行探索。建立地下水环境管理体系。以化工园区、页岩气开采区、危险废物处置场、垃圾填埋场等为重点，开展防渗情况检测评估，统筹推进地下水安全源头预防和风险管控。</w:t>
                  </w:r>
                </w:p>
              </w:tc>
              <w:tc>
                <w:tcPr>
                  <w:tcW w:w="827" w:type="pct"/>
                  <w:vAlign w:val="center"/>
                </w:tcPr>
                <w:p w14:paraId="3927CE8C">
                  <w:pPr>
                    <w:pStyle w:val="20"/>
                    <w:keepNext w:val="0"/>
                    <w:keepLines w:val="0"/>
                    <w:suppressLineNumbers w:val="0"/>
                    <w:spacing w:before="31" w:beforeAutospacing="0" w:after="0" w:afterAutospacing="0"/>
                    <w:ind w:left="0" w:right="0"/>
                    <w:jc w:val="both"/>
                    <w:rPr>
                      <w:rFonts w:hint="default"/>
                      <w:color w:val="auto"/>
                      <w:highlight w:val="none"/>
                    </w:rPr>
                  </w:pPr>
                  <w:r>
                    <w:rPr>
                      <w:rFonts w:hint="eastAsia"/>
                      <w:color w:val="auto"/>
                      <w:highlight w:val="none"/>
                    </w:rPr>
                    <w:t>项目不属于文件所列土壤污染重点行业，</w:t>
                  </w:r>
                  <w:r>
                    <w:rPr>
                      <w:rFonts w:hint="eastAsia"/>
                      <w:color w:val="auto"/>
                      <w:highlight w:val="none"/>
                      <w:lang w:eastAsia="zh-CN"/>
                    </w:rPr>
                    <w:t>危险废物贮存点</w:t>
                  </w:r>
                  <w:r>
                    <w:rPr>
                      <w:rFonts w:hint="eastAsia"/>
                      <w:color w:val="auto"/>
                      <w:highlight w:val="none"/>
                    </w:rPr>
                    <w:t>、</w:t>
                  </w:r>
                  <w:r>
                    <w:rPr>
                      <w:rFonts w:hint="eastAsia"/>
                      <w:color w:val="auto"/>
                      <w:highlight w:val="none"/>
                      <w:lang w:val="en-US" w:eastAsia="zh-CN"/>
                    </w:rPr>
                    <w:t>油料间</w:t>
                  </w:r>
                  <w:r>
                    <w:rPr>
                      <w:rFonts w:hint="eastAsia"/>
                      <w:color w:val="auto"/>
                      <w:highlight w:val="none"/>
                    </w:rPr>
                    <w:t>重点防渗设置。</w:t>
                  </w:r>
                </w:p>
              </w:tc>
              <w:tc>
                <w:tcPr>
                  <w:tcW w:w="359" w:type="pct"/>
                  <w:vAlign w:val="center"/>
                </w:tcPr>
                <w:p w14:paraId="2E8C890D">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符合</w:t>
                  </w:r>
                </w:p>
              </w:tc>
            </w:tr>
            <w:tr w14:paraId="25480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69" w:type="pct"/>
                  <w:vAlign w:val="center"/>
                </w:tcPr>
                <w:p w14:paraId="32F4D05A">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4</w:t>
                  </w:r>
                </w:p>
              </w:tc>
              <w:tc>
                <w:tcPr>
                  <w:tcW w:w="359" w:type="pct"/>
                  <w:vAlign w:val="center"/>
                </w:tcPr>
                <w:p w14:paraId="32E50CEA">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管控噪声环境影响</w:t>
                  </w:r>
                </w:p>
              </w:tc>
              <w:tc>
                <w:tcPr>
                  <w:tcW w:w="3185" w:type="pct"/>
                  <w:vAlign w:val="center"/>
                </w:tcPr>
                <w:p w14:paraId="499286B8">
                  <w:pPr>
                    <w:pStyle w:val="20"/>
                    <w:keepNext w:val="0"/>
                    <w:keepLines w:val="0"/>
                    <w:suppressLineNumbers w:val="0"/>
                    <w:spacing w:before="31" w:beforeAutospacing="0" w:after="0" w:afterAutospacing="0"/>
                    <w:ind w:left="0" w:right="0"/>
                    <w:jc w:val="both"/>
                    <w:rPr>
                      <w:rFonts w:hint="default"/>
                      <w:color w:val="auto"/>
                      <w:highlight w:val="none"/>
                    </w:rPr>
                  </w:pPr>
                  <w:r>
                    <w:rPr>
                      <w:rFonts w:hint="eastAsia"/>
                      <w:color w:val="auto"/>
                      <w:highlight w:val="none"/>
                    </w:rPr>
                    <w:t>加强建筑施工噪声监管。完善城市夜间作业审核管理，落实城市建筑施工环保公告制度，依法严格限定施工作业时间，严格限制在敏感区内进行产生噪声污染的夜间施工作业。</w:t>
                  </w:r>
                </w:p>
                <w:p w14:paraId="7D0F929E">
                  <w:pPr>
                    <w:pStyle w:val="20"/>
                    <w:keepNext w:val="0"/>
                    <w:keepLines w:val="0"/>
                    <w:suppressLineNumbers w:val="0"/>
                    <w:spacing w:before="31" w:beforeAutospacing="0" w:after="0" w:afterAutospacing="0"/>
                    <w:ind w:left="0" w:right="0"/>
                    <w:jc w:val="both"/>
                    <w:rPr>
                      <w:rFonts w:hint="default"/>
                      <w:color w:val="auto"/>
                      <w:highlight w:val="none"/>
                    </w:rPr>
                  </w:pPr>
                  <w:r>
                    <w:rPr>
                      <w:rFonts w:hint="eastAsia"/>
                      <w:color w:val="auto"/>
                      <w:highlight w:val="none"/>
                    </w:rPr>
                    <w:t>强化工业企业噪声监管。关停、搬迁、治理城市建成区内的噪声污染严重企业，基本消除城区工业噪声扰民污染源。加强工业园区噪声污染防治，禁止在1类声环境功能区、严格限制在2类声环境功能区审批产生噪声污染的工业项目环评。严肃查处工业企业噪声排放超标扰民行为。</w:t>
                  </w:r>
                </w:p>
              </w:tc>
              <w:tc>
                <w:tcPr>
                  <w:tcW w:w="827" w:type="pct"/>
                  <w:vAlign w:val="center"/>
                </w:tcPr>
                <w:p w14:paraId="6267577A">
                  <w:pPr>
                    <w:pStyle w:val="20"/>
                    <w:keepNext w:val="0"/>
                    <w:keepLines w:val="0"/>
                    <w:suppressLineNumbers w:val="0"/>
                    <w:spacing w:before="31" w:beforeAutospacing="0" w:after="0" w:afterAutospacing="0"/>
                    <w:ind w:left="0" w:right="0"/>
                    <w:jc w:val="both"/>
                    <w:rPr>
                      <w:rFonts w:hint="default"/>
                      <w:color w:val="auto"/>
                      <w:highlight w:val="none"/>
                    </w:rPr>
                  </w:pPr>
                  <w:r>
                    <w:rPr>
                      <w:rFonts w:hint="eastAsia"/>
                      <w:color w:val="auto"/>
                      <w:highlight w:val="none"/>
                    </w:rPr>
                    <w:t>项目周边50m无声环境保护目标，项目位于3类声环境功能区。</w:t>
                  </w:r>
                </w:p>
              </w:tc>
              <w:tc>
                <w:tcPr>
                  <w:tcW w:w="359" w:type="pct"/>
                  <w:vAlign w:val="center"/>
                </w:tcPr>
                <w:p w14:paraId="334F06AE">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符合</w:t>
                  </w:r>
                </w:p>
              </w:tc>
            </w:tr>
            <w:tr w14:paraId="582AD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69" w:type="pct"/>
                  <w:vAlign w:val="center"/>
                </w:tcPr>
                <w:p w14:paraId="6AF0EC98">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5</w:t>
                  </w:r>
                </w:p>
              </w:tc>
              <w:tc>
                <w:tcPr>
                  <w:tcW w:w="359" w:type="pct"/>
                  <w:vAlign w:val="center"/>
                </w:tcPr>
                <w:p w14:paraId="14CE172A">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健全环境风险防控体系</w:t>
                  </w:r>
                </w:p>
              </w:tc>
              <w:tc>
                <w:tcPr>
                  <w:tcW w:w="3185" w:type="pct"/>
                  <w:vAlign w:val="center"/>
                </w:tcPr>
                <w:p w14:paraId="7B37D7A0">
                  <w:pPr>
                    <w:pStyle w:val="20"/>
                    <w:keepNext w:val="0"/>
                    <w:keepLines w:val="0"/>
                    <w:suppressLineNumbers w:val="0"/>
                    <w:spacing w:before="31" w:beforeAutospacing="0" w:after="0" w:afterAutospacing="0"/>
                    <w:ind w:left="0" w:right="0"/>
                    <w:jc w:val="both"/>
                    <w:rPr>
                      <w:rFonts w:hint="default"/>
                      <w:color w:val="auto"/>
                      <w:highlight w:val="none"/>
                    </w:rPr>
                  </w:pPr>
                  <w:r>
                    <w:rPr>
                      <w:rFonts w:hint="eastAsia"/>
                      <w:color w:val="auto"/>
                      <w:highlight w:val="none"/>
                    </w:rPr>
                    <w:t>加强环境风险评估。落实企业突发环境事件风险评估制度，推进突发环境事件风险分类分级管理，严格监管重大突发环境事件风险企业。完善环境风险预警体系。</w:t>
                  </w:r>
                </w:p>
                <w:p w14:paraId="52CFC4D7">
                  <w:pPr>
                    <w:pStyle w:val="20"/>
                    <w:keepNext w:val="0"/>
                    <w:keepLines w:val="0"/>
                    <w:suppressLineNumbers w:val="0"/>
                    <w:spacing w:before="31" w:beforeAutospacing="0" w:after="0" w:afterAutospacing="0"/>
                    <w:ind w:left="0" w:right="0"/>
                    <w:jc w:val="both"/>
                    <w:rPr>
                      <w:rFonts w:hint="default"/>
                      <w:color w:val="auto"/>
                      <w:highlight w:val="none"/>
                    </w:rPr>
                  </w:pPr>
                  <w:r>
                    <w:rPr>
                      <w:rFonts w:hint="eastAsia"/>
                      <w:color w:val="auto"/>
                      <w:highlight w:val="none"/>
                    </w:rPr>
                    <w:t>强化应急响应管理。按照政府主导、企业主体、部门联动、专家支持、社会救援的突发环境事件应急处置机制，积极推动企业环境应急专业救援队伍参与全市环境应急抢险救援工作。加强生态环境与健康风险管理。</w:t>
                  </w:r>
                </w:p>
              </w:tc>
              <w:tc>
                <w:tcPr>
                  <w:tcW w:w="827" w:type="pct"/>
                  <w:vAlign w:val="center"/>
                </w:tcPr>
                <w:p w14:paraId="4A65D22F">
                  <w:pPr>
                    <w:pStyle w:val="20"/>
                    <w:keepNext w:val="0"/>
                    <w:keepLines w:val="0"/>
                    <w:suppressLineNumbers w:val="0"/>
                    <w:spacing w:before="31" w:beforeAutospacing="0" w:after="0" w:afterAutospacing="0"/>
                    <w:ind w:left="0" w:right="0"/>
                    <w:jc w:val="both"/>
                    <w:rPr>
                      <w:rFonts w:hint="default"/>
                      <w:color w:val="auto"/>
                      <w:highlight w:val="none"/>
                    </w:rPr>
                  </w:pPr>
                  <w:r>
                    <w:rPr>
                      <w:rFonts w:hint="eastAsia"/>
                      <w:color w:val="auto"/>
                      <w:highlight w:val="none"/>
                    </w:rPr>
                    <w:t>本项目环境风险较小，</w:t>
                  </w:r>
                  <w:r>
                    <w:rPr>
                      <w:rFonts w:hint="eastAsia"/>
                      <w:color w:val="auto"/>
                      <w:highlight w:val="none"/>
                      <w:lang w:eastAsia="zh-CN"/>
                    </w:rPr>
                    <w:t>危险废物贮存点</w:t>
                  </w:r>
                  <w:r>
                    <w:rPr>
                      <w:rFonts w:hint="eastAsia"/>
                      <w:color w:val="auto"/>
                      <w:highlight w:val="none"/>
                      <w:lang w:val="en-US" w:eastAsia="zh-CN"/>
                    </w:rPr>
                    <w:t>、油料间</w:t>
                  </w:r>
                  <w:r>
                    <w:rPr>
                      <w:rFonts w:hint="eastAsia"/>
                      <w:color w:val="auto"/>
                      <w:highlight w:val="none"/>
                    </w:rPr>
                    <w:t>重点防渗设置，严格落实环境风险防控措施。</w:t>
                  </w:r>
                </w:p>
              </w:tc>
              <w:tc>
                <w:tcPr>
                  <w:tcW w:w="359" w:type="pct"/>
                  <w:vAlign w:val="center"/>
                </w:tcPr>
                <w:p w14:paraId="085DCF39">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符合</w:t>
                  </w:r>
                </w:p>
              </w:tc>
            </w:tr>
            <w:tr w14:paraId="723C3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69" w:type="pct"/>
                  <w:vAlign w:val="center"/>
                </w:tcPr>
                <w:p w14:paraId="7FDBD100">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6</w:t>
                  </w:r>
                </w:p>
              </w:tc>
              <w:tc>
                <w:tcPr>
                  <w:tcW w:w="359" w:type="pct"/>
                  <w:vAlign w:val="center"/>
                </w:tcPr>
                <w:p w14:paraId="6245A143">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防范固体废物污染环境风险</w:t>
                  </w:r>
                </w:p>
              </w:tc>
              <w:tc>
                <w:tcPr>
                  <w:tcW w:w="3185" w:type="pct"/>
                  <w:vAlign w:val="center"/>
                </w:tcPr>
                <w:p w14:paraId="36990F5F">
                  <w:pPr>
                    <w:pStyle w:val="20"/>
                    <w:keepNext w:val="0"/>
                    <w:keepLines w:val="0"/>
                    <w:suppressLineNumbers w:val="0"/>
                    <w:spacing w:before="31" w:beforeAutospacing="0" w:after="0" w:afterAutospacing="0"/>
                    <w:ind w:left="0" w:right="0"/>
                    <w:jc w:val="both"/>
                    <w:rPr>
                      <w:rFonts w:hint="default"/>
                      <w:color w:val="auto"/>
                      <w:highlight w:val="none"/>
                    </w:rPr>
                  </w:pPr>
                  <w:r>
                    <w:rPr>
                      <w:rFonts w:hint="eastAsia"/>
                      <w:color w:val="auto"/>
                      <w:highlight w:val="none"/>
                    </w:rPr>
                    <w:t>推进一般固体废物和生活垃圾减量化、无害化、资源化处置。建立完善分类投放、分类运输、分类处理的城市生活垃圾处理系统，引导居民自觉开展生活垃圾减量与分类。</w:t>
                  </w:r>
                </w:p>
                <w:p w14:paraId="51380727">
                  <w:pPr>
                    <w:pStyle w:val="20"/>
                    <w:keepNext w:val="0"/>
                    <w:keepLines w:val="0"/>
                    <w:suppressLineNumbers w:val="0"/>
                    <w:spacing w:before="31" w:beforeAutospacing="0" w:after="0" w:afterAutospacing="0"/>
                    <w:ind w:left="0" w:right="0"/>
                    <w:jc w:val="both"/>
                    <w:rPr>
                      <w:rFonts w:hint="default"/>
                      <w:color w:val="auto"/>
                      <w:highlight w:val="none"/>
                    </w:rPr>
                  </w:pPr>
                  <w:r>
                    <w:rPr>
                      <w:rFonts w:hint="eastAsia"/>
                      <w:color w:val="auto"/>
                      <w:highlight w:val="none"/>
                    </w:rPr>
                    <w:t>防控危险废物污染环境风险。继续推进危险废物综合收集贮存试点，完善危险废物集中收集贮存设施，实现小微企业、非工业源危险废物收集转运全覆盖。鼓励资源化综合利用危险废物。</w:t>
                  </w:r>
                </w:p>
              </w:tc>
              <w:tc>
                <w:tcPr>
                  <w:tcW w:w="827" w:type="pct"/>
                  <w:vAlign w:val="center"/>
                </w:tcPr>
                <w:p w14:paraId="7F2289BC">
                  <w:pPr>
                    <w:pStyle w:val="20"/>
                    <w:keepNext w:val="0"/>
                    <w:keepLines w:val="0"/>
                    <w:suppressLineNumbers w:val="0"/>
                    <w:spacing w:before="31" w:beforeAutospacing="0" w:after="0" w:afterAutospacing="0"/>
                    <w:ind w:left="0" w:right="0"/>
                    <w:jc w:val="both"/>
                    <w:rPr>
                      <w:rFonts w:hint="default"/>
                      <w:color w:val="auto"/>
                      <w:highlight w:val="none"/>
                    </w:rPr>
                  </w:pPr>
                  <w:r>
                    <w:rPr>
                      <w:rFonts w:hint="eastAsia"/>
                      <w:color w:val="auto"/>
                      <w:highlight w:val="none"/>
                    </w:rPr>
                    <w:t>本项目加强固废管理，一般固废、危险废物、生活垃圾分类收集，按规范处置。</w:t>
                  </w:r>
                </w:p>
              </w:tc>
              <w:tc>
                <w:tcPr>
                  <w:tcW w:w="359" w:type="pct"/>
                  <w:vAlign w:val="center"/>
                </w:tcPr>
                <w:p w14:paraId="1270C326">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符合</w:t>
                  </w:r>
                </w:p>
              </w:tc>
            </w:tr>
          </w:tbl>
          <w:p w14:paraId="03C1002C">
            <w:pPr>
              <w:pStyle w:val="18"/>
              <w:keepNext w:val="0"/>
              <w:keepLines w:val="0"/>
              <w:suppressLineNumbers w:val="0"/>
              <w:spacing w:before="0" w:beforeAutospacing="0" w:after="0" w:afterAutospacing="0"/>
              <w:ind w:left="0" w:right="0"/>
              <w:rPr>
                <w:rFonts w:hint="eastAsia"/>
                <w:color w:val="auto"/>
                <w:highlight w:val="none"/>
              </w:rPr>
            </w:pPr>
            <w:r>
              <w:rPr>
                <w:rFonts w:hint="eastAsia"/>
                <w:color w:val="auto"/>
                <w:highlight w:val="none"/>
              </w:rPr>
              <w:t>综上，本项目符合《重庆市生态环境保护“十四五”规划（2021-2025）》（渝府发〔2022〕11号）文件相关要求。</w:t>
            </w:r>
          </w:p>
          <w:p w14:paraId="6AA0DE7D">
            <w:pPr>
              <w:pStyle w:val="2"/>
              <w:keepNext w:val="0"/>
              <w:keepLines w:val="0"/>
              <w:pageBreakBefore w:val="0"/>
              <w:widowControl w:val="0"/>
              <w:numPr>
                <w:ilvl w:val="0"/>
                <w:numId w:val="2"/>
              </w:numPr>
              <w:kinsoku/>
              <w:wordWrap/>
              <w:overflowPunct w:val="0"/>
              <w:topLinePunct w:val="0"/>
              <w:autoSpaceDE/>
              <w:autoSpaceDN/>
              <w:bidi w:val="0"/>
              <w:adjustRightInd/>
              <w:snapToGrid w:val="0"/>
              <w:ind w:left="0" w:firstLine="0"/>
              <w:textAlignment w:val="auto"/>
              <w:rPr>
                <w:rFonts w:hint="default"/>
                <w:color w:val="auto"/>
                <w:highlight w:val="none"/>
              </w:rPr>
            </w:pPr>
            <w:r>
              <w:rPr>
                <w:rFonts w:hint="eastAsia"/>
                <w:color w:val="auto"/>
                <w:highlight w:val="none"/>
              </w:rPr>
              <w:t>与《重庆市</w:t>
            </w:r>
            <w:r>
              <w:rPr>
                <w:rFonts w:hint="eastAsia"/>
                <w:color w:val="auto"/>
                <w:highlight w:val="none"/>
                <w:lang w:val="en-US" w:eastAsia="zh-CN"/>
              </w:rPr>
              <w:t>九龙坡区</w:t>
            </w:r>
            <w:r>
              <w:rPr>
                <w:rFonts w:hint="eastAsia"/>
                <w:color w:val="auto"/>
                <w:highlight w:val="none"/>
              </w:rPr>
              <w:t>生态环境保护“十四五”规划》（九龙坡府办发〔2022〕1号）的符合性</w:t>
            </w:r>
          </w:p>
          <w:p w14:paraId="4FC314AD">
            <w:pPr>
              <w:pStyle w:val="18"/>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rPr>
              <w:t>本项目与《重庆市九龙坡区生态环境保护“十四五”规划》（九龙坡府办发〔2022〕1号）符合性分析见</w:t>
            </w:r>
            <w:r>
              <w:rPr>
                <w:rFonts w:hint="eastAsia"/>
                <w:color w:val="auto"/>
                <w:highlight w:val="none"/>
              </w:rPr>
              <w:fldChar w:fldCharType="begin"/>
            </w:r>
            <w:r>
              <w:rPr>
                <w:rFonts w:hint="eastAsia"/>
                <w:color w:val="auto"/>
                <w:highlight w:val="none"/>
              </w:rPr>
              <w:instrText xml:space="preserve"> REF _Ref31871 \h </w:instrText>
            </w:r>
            <w:r>
              <w:rPr>
                <w:rFonts w:hint="eastAsia"/>
                <w:color w:val="auto"/>
                <w:highlight w:val="none"/>
              </w:rPr>
              <w:fldChar w:fldCharType="separate"/>
            </w:r>
            <w:r>
              <w:rPr>
                <w:rFonts w:hint="default"/>
                <w:color w:val="auto"/>
                <w:highlight w:val="none"/>
              </w:rPr>
              <w:t>表1-9</w:t>
            </w:r>
            <w:r>
              <w:rPr>
                <w:rFonts w:hint="eastAsia"/>
                <w:color w:val="auto"/>
                <w:highlight w:val="none"/>
              </w:rPr>
              <w:fldChar w:fldCharType="end"/>
            </w:r>
            <w:r>
              <w:rPr>
                <w:rFonts w:hint="eastAsia"/>
                <w:color w:val="auto"/>
                <w:highlight w:val="none"/>
              </w:rPr>
              <w:t>。</w:t>
            </w:r>
          </w:p>
          <w:p w14:paraId="67593D33">
            <w:pPr>
              <w:pStyle w:val="19"/>
              <w:keepNext w:val="0"/>
              <w:keepLines w:val="0"/>
              <w:suppressLineNumbers w:val="0"/>
              <w:spacing w:before="156" w:beforeAutospacing="0" w:after="0" w:afterAutospacing="0"/>
              <w:ind w:left="0" w:right="0"/>
              <w:rPr>
                <w:rFonts w:hint="default"/>
                <w:color w:val="auto"/>
                <w:highlight w:val="none"/>
              </w:rPr>
            </w:pPr>
            <w:bookmarkStart w:id="8" w:name="_Ref31871"/>
            <w:r>
              <w:rPr>
                <w:rFonts w:hint="default"/>
                <w:color w:val="auto"/>
                <w:highlight w:val="none"/>
              </w:rPr>
              <w:t>表1-</w:t>
            </w:r>
            <w:r>
              <w:rPr>
                <w:rFonts w:hint="default"/>
                <w:color w:val="auto"/>
                <w:highlight w:val="none"/>
              </w:rPr>
              <w:fldChar w:fldCharType="begin"/>
            </w:r>
            <w:r>
              <w:rPr>
                <w:rFonts w:hint="default"/>
                <w:color w:val="auto"/>
                <w:highlight w:val="none"/>
              </w:rPr>
              <w:instrText xml:space="preserve"> SEQ 表1- \* ARABIC </w:instrText>
            </w:r>
            <w:r>
              <w:rPr>
                <w:rFonts w:hint="default"/>
                <w:color w:val="auto"/>
                <w:highlight w:val="none"/>
              </w:rPr>
              <w:fldChar w:fldCharType="separate"/>
            </w:r>
            <w:r>
              <w:rPr>
                <w:rFonts w:hint="default"/>
                <w:color w:val="auto"/>
                <w:highlight w:val="none"/>
              </w:rPr>
              <w:t>9</w:t>
            </w:r>
            <w:r>
              <w:rPr>
                <w:rFonts w:hint="default"/>
                <w:color w:val="auto"/>
                <w:highlight w:val="none"/>
              </w:rPr>
              <w:fldChar w:fldCharType="end"/>
            </w:r>
            <w:bookmarkEnd w:id="8"/>
            <w:r>
              <w:rPr>
                <w:rFonts w:hint="eastAsia"/>
                <w:color w:val="auto"/>
                <w:highlight w:val="none"/>
              </w:rPr>
              <w:t xml:space="preserve"> 与《重庆市九龙坡区生态环境保护“十四五”规划》（九龙坡府办发〔2022〕1号）符合性分析一览表</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33"/>
              <w:gridCol w:w="594"/>
              <w:gridCol w:w="5222"/>
              <w:gridCol w:w="1424"/>
              <w:gridCol w:w="594"/>
            </w:tblGrid>
            <w:tr w14:paraId="4D584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62" w:type="pct"/>
                  <w:vAlign w:val="center"/>
                </w:tcPr>
                <w:p w14:paraId="22A3BE36">
                  <w:pPr>
                    <w:pStyle w:val="20"/>
                    <w:keepNext w:val="0"/>
                    <w:keepLines w:val="0"/>
                    <w:suppressLineNumbers w:val="0"/>
                    <w:spacing w:before="31" w:beforeAutospacing="0" w:after="0" w:afterAutospacing="0"/>
                    <w:ind w:left="0" w:right="0"/>
                    <w:rPr>
                      <w:rFonts w:hint="default"/>
                      <w:b/>
                      <w:bCs/>
                      <w:color w:val="auto"/>
                      <w:highlight w:val="none"/>
                    </w:rPr>
                  </w:pPr>
                  <w:r>
                    <w:rPr>
                      <w:rFonts w:hint="eastAsia"/>
                      <w:b/>
                      <w:bCs/>
                      <w:color w:val="auto"/>
                      <w:highlight w:val="none"/>
                    </w:rPr>
                    <w:t>序号</w:t>
                  </w:r>
                </w:p>
              </w:tc>
              <w:tc>
                <w:tcPr>
                  <w:tcW w:w="3516" w:type="pct"/>
                  <w:gridSpan w:val="2"/>
                  <w:vAlign w:val="center"/>
                </w:tcPr>
                <w:p w14:paraId="53351772">
                  <w:pPr>
                    <w:pStyle w:val="20"/>
                    <w:keepNext w:val="0"/>
                    <w:keepLines w:val="0"/>
                    <w:suppressLineNumbers w:val="0"/>
                    <w:spacing w:before="31" w:beforeAutospacing="0" w:after="0" w:afterAutospacing="0"/>
                    <w:ind w:left="0" w:right="0"/>
                    <w:rPr>
                      <w:rFonts w:hint="default"/>
                      <w:b/>
                      <w:bCs/>
                      <w:color w:val="auto"/>
                      <w:highlight w:val="none"/>
                    </w:rPr>
                  </w:pPr>
                  <w:r>
                    <w:rPr>
                      <w:rFonts w:hint="eastAsia"/>
                      <w:b/>
                      <w:bCs/>
                      <w:color w:val="auto"/>
                      <w:highlight w:val="none"/>
                    </w:rPr>
                    <w:t>与项目相关要求（节选）</w:t>
                  </w:r>
                </w:p>
              </w:tc>
              <w:tc>
                <w:tcPr>
                  <w:tcW w:w="861" w:type="pct"/>
                  <w:vAlign w:val="center"/>
                </w:tcPr>
                <w:p w14:paraId="5E752178">
                  <w:pPr>
                    <w:pStyle w:val="20"/>
                    <w:keepNext w:val="0"/>
                    <w:keepLines w:val="0"/>
                    <w:suppressLineNumbers w:val="0"/>
                    <w:spacing w:before="31" w:beforeAutospacing="0" w:after="0" w:afterAutospacing="0"/>
                    <w:ind w:left="0" w:right="0"/>
                    <w:rPr>
                      <w:rFonts w:hint="default"/>
                      <w:b/>
                      <w:bCs/>
                      <w:color w:val="auto"/>
                      <w:highlight w:val="none"/>
                    </w:rPr>
                  </w:pPr>
                  <w:r>
                    <w:rPr>
                      <w:rFonts w:hint="eastAsia"/>
                      <w:b/>
                      <w:bCs/>
                      <w:color w:val="auto"/>
                      <w:highlight w:val="none"/>
                    </w:rPr>
                    <w:t>本项目</w:t>
                  </w:r>
                </w:p>
              </w:tc>
              <w:tc>
                <w:tcPr>
                  <w:tcW w:w="359" w:type="pct"/>
                  <w:vAlign w:val="center"/>
                </w:tcPr>
                <w:p w14:paraId="4D5F2854">
                  <w:pPr>
                    <w:pStyle w:val="20"/>
                    <w:keepNext w:val="0"/>
                    <w:keepLines w:val="0"/>
                    <w:suppressLineNumbers w:val="0"/>
                    <w:spacing w:before="31" w:beforeAutospacing="0" w:after="0" w:afterAutospacing="0"/>
                    <w:ind w:left="0" w:right="0"/>
                    <w:rPr>
                      <w:rFonts w:hint="default"/>
                      <w:b/>
                      <w:bCs/>
                      <w:color w:val="auto"/>
                      <w:highlight w:val="none"/>
                    </w:rPr>
                  </w:pPr>
                  <w:r>
                    <w:rPr>
                      <w:rFonts w:hint="eastAsia"/>
                      <w:b/>
                      <w:bCs/>
                      <w:color w:val="auto"/>
                      <w:highlight w:val="none"/>
                    </w:rPr>
                    <w:t>符合性</w:t>
                  </w:r>
                </w:p>
              </w:tc>
            </w:tr>
            <w:tr w14:paraId="3E009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62" w:type="pct"/>
                  <w:vAlign w:val="center"/>
                </w:tcPr>
                <w:p w14:paraId="63F47FD0">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1</w:t>
                  </w:r>
                </w:p>
              </w:tc>
              <w:tc>
                <w:tcPr>
                  <w:tcW w:w="359" w:type="pct"/>
                  <w:vAlign w:val="center"/>
                </w:tcPr>
                <w:p w14:paraId="1CDB5EFC">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改善水环境质量</w:t>
                  </w:r>
                </w:p>
              </w:tc>
              <w:tc>
                <w:tcPr>
                  <w:tcW w:w="3157" w:type="pct"/>
                  <w:vAlign w:val="center"/>
                </w:tcPr>
                <w:p w14:paraId="3165C6DB">
                  <w:pPr>
                    <w:pStyle w:val="20"/>
                    <w:keepNext w:val="0"/>
                    <w:keepLines w:val="0"/>
                    <w:suppressLineNumbers w:val="0"/>
                    <w:spacing w:before="31" w:beforeAutospacing="0" w:after="0" w:afterAutospacing="0"/>
                    <w:ind w:left="0" w:right="0"/>
                    <w:jc w:val="both"/>
                    <w:rPr>
                      <w:rFonts w:hint="default"/>
                      <w:color w:val="auto"/>
                      <w:highlight w:val="none"/>
                    </w:rPr>
                  </w:pPr>
                  <w:r>
                    <w:rPr>
                      <w:rFonts w:hint="eastAsia"/>
                      <w:color w:val="auto"/>
                      <w:highlight w:val="none"/>
                    </w:rPr>
                    <w:t>整治污水偷排直排乱排问题；完善污水收集和处理措施；修复水生态扩大水环境容量；持续改善河流湖库水环境质量；保障集中式饮用水水源水质安全。</w:t>
                  </w:r>
                </w:p>
              </w:tc>
              <w:tc>
                <w:tcPr>
                  <w:tcW w:w="861" w:type="pct"/>
                  <w:vAlign w:val="center"/>
                </w:tcPr>
                <w:p w14:paraId="56BB97E7">
                  <w:pPr>
                    <w:pStyle w:val="20"/>
                    <w:keepNext w:val="0"/>
                    <w:keepLines w:val="0"/>
                    <w:suppressLineNumbers w:val="0"/>
                    <w:spacing w:before="31" w:beforeAutospacing="0" w:after="0" w:afterAutospacing="0"/>
                    <w:ind w:left="0" w:right="0"/>
                    <w:jc w:val="both"/>
                    <w:rPr>
                      <w:rFonts w:hint="default"/>
                      <w:color w:val="auto"/>
                      <w:highlight w:val="none"/>
                    </w:rPr>
                  </w:pPr>
                  <w:r>
                    <w:rPr>
                      <w:rFonts w:hint="eastAsia"/>
                      <w:color w:val="auto"/>
                      <w:highlight w:val="none"/>
                    </w:rPr>
                    <w:t>本项目废水经</w:t>
                  </w:r>
                  <w:r>
                    <w:rPr>
                      <w:rFonts w:hint="eastAsia"/>
                      <w:color w:val="auto"/>
                      <w:highlight w:val="none"/>
                      <w:lang w:val="en-US" w:eastAsia="zh-CN"/>
                    </w:rPr>
                    <w:t>西彭工业园区污水处理厂</w:t>
                  </w:r>
                  <w:r>
                    <w:rPr>
                      <w:rFonts w:hint="eastAsia"/>
                      <w:color w:val="auto"/>
                      <w:highlight w:val="none"/>
                    </w:rPr>
                    <w:t>处理达标排放。</w:t>
                  </w:r>
                </w:p>
              </w:tc>
              <w:tc>
                <w:tcPr>
                  <w:tcW w:w="359" w:type="pct"/>
                  <w:vAlign w:val="center"/>
                </w:tcPr>
                <w:p w14:paraId="52CF10C1">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符合</w:t>
                  </w:r>
                </w:p>
              </w:tc>
            </w:tr>
            <w:tr w14:paraId="09AD7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62" w:type="pct"/>
                  <w:vAlign w:val="center"/>
                </w:tcPr>
                <w:p w14:paraId="7676AE1A">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2</w:t>
                  </w:r>
                </w:p>
              </w:tc>
              <w:tc>
                <w:tcPr>
                  <w:tcW w:w="359" w:type="pct"/>
                  <w:vAlign w:val="center"/>
                </w:tcPr>
                <w:p w14:paraId="7AB85E9B">
                  <w:pPr>
                    <w:pStyle w:val="20"/>
                    <w:keepNext w:val="0"/>
                    <w:keepLines w:val="0"/>
                    <w:suppressLineNumbers w:val="0"/>
                    <w:spacing w:before="31" w:beforeAutospacing="0" w:after="0" w:afterAutospacing="0"/>
                    <w:ind w:left="0" w:right="0"/>
                    <w:rPr>
                      <w:rFonts w:hint="default"/>
                      <w:color w:val="auto"/>
                      <w:highlight w:val="none"/>
                    </w:rPr>
                  </w:pPr>
                  <w:r>
                    <w:rPr>
                      <w:rFonts w:hint="default"/>
                      <w:color w:val="auto"/>
                      <w:highlight w:val="none"/>
                    </w:rPr>
                    <w:t>改善大气环境质量</w:t>
                  </w:r>
                </w:p>
              </w:tc>
              <w:tc>
                <w:tcPr>
                  <w:tcW w:w="3157" w:type="pct"/>
                  <w:vAlign w:val="center"/>
                </w:tcPr>
                <w:p w14:paraId="7F2CC65D">
                  <w:pPr>
                    <w:pStyle w:val="20"/>
                    <w:keepNext w:val="0"/>
                    <w:keepLines w:val="0"/>
                    <w:suppressLineNumbers w:val="0"/>
                    <w:spacing w:before="31" w:beforeAutospacing="0" w:after="0" w:afterAutospacing="0"/>
                    <w:ind w:left="0" w:right="0"/>
                    <w:jc w:val="both"/>
                    <w:rPr>
                      <w:rFonts w:hint="eastAsia"/>
                      <w:color w:val="auto"/>
                      <w:highlight w:val="none"/>
                    </w:rPr>
                  </w:pPr>
                  <w:r>
                    <w:rPr>
                      <w:rFonts w:hint="eastAsia"/>
                      <w:color w:val="auto"/>
                      <w:highlight w:val="none"/>
                    </w:rPr>
                    <w:t>强化扬尘污染防治。严格落实施工扬尘控制“十项规定”持续实施“红黄绿”名单分级管控制度，</w:t>
                  </w:r>
                  <w:r>
                    <w:rPr>
                      <w:rFonts w:hint="eastAsia"/>
                      <w:color w:val="auto"/>
                      <w:highlight w:val="none"/>
                      <w:lang w:val="en-US" w:eastAsia="zh-CN"/>
                    </w:rPr>
                    <w:t>……</w:t>
                  </w:r>
                  <w:r>
                    <w:rPr>
                      <w:rFonts w:hint="eastAsia"/>
                      <w:color w:val="auto"/>
                      <w:highlight w:val="none"/>
                    </w:rPr>
                    <w:t>严格落实“定车辆、定线路、定渣场”要求。加强企业堆煤、堆料、建筑渣土消纳场和混凝土搅拌站粉尘排放监管</w:t>
                  </w:r>
                  <w:r>
                    <w:rPr>
                      <w:rFonts w:hint="eastAsia"/>
                      <w:color w:val="auto"/>
                      <w:highlight w:val="none"/>
                      <w:lang w:val="en-US" w:eastAsia="zh-CN"/>
                    </w:rPr>
                    <w:t>……</w:t>
                  </w:r>
                </w:p>
                <w:p w14:paraId="0D54DDE8">
                  <w:pPr>
                    <w:pStyle w:val="20"/>
                    <w:keepNext w:val="0"/>
                    <w:keepLines w:val="0"/>
                    <w:suppressLineNumbers w:val="0"/>
                    <w:spacing w:before="31" w:beforeAutospacing="0" w:after="0" w:afterAutospacing="0"/>
                    <w:ind w:left="0" w:right="0"/>
                    <w:jc w:val="both"/>
                    <w:rPr>
                      <w:rFonts w:hint="default"/>
                      <w:color w:val="auto"/>
                      <w:highlight w:val="none"/>
                    </w:rPr>
                  </w:pPr>
                  <w:r>
                    <w:rPr>
                      <w:rFonts w:hint="eastAsia"/>
                      <w:color w:val="auto"/>
                      <w:highlight w:val="none"/>
                    </w:rPr>
                    <w:t>强化工业污染防治</w:t>
                  </w:r>
                  <w:r>
                    <w:rPr>
                      <w:rFonts w:hint="eastAsia"/>
                      <w:color w:val="auto"/>
                      <w:highlight w:val="none"/>
                      <w:lang w:eastAsia="zh-CN"/>
                    </w:rPr>
                    <w:t>。</w:t>
                  </w:r>
                  <w:r>
                    <w:rPr>
                      <w:rFonts w:hint="eastAsia"/>
                      <w:color w:val="auto"/>
                      <w:highlight w:val="none"/>
                    </w:rPr>
                    <w:t>以西彭九龙等工业园区为日常监管重点，加大对企业废气污染防治设施安装、运行及废气收集、去除、排放等情况的督查整治力度，加强废气无组织排放监管，针对布局不合理、装备水平低、环保设施差的小型工业企业开展专项排</w:t>
                  </w:r>
                  <w:r>
                    <w:rPr>
                      <w:rFonts w:hint="eastAsia"/>
                      <w:color w:val="auto"/>
                      <w:highlight w:val="none"/>
                      <w:lang w:eastAsia="zh-CN"/>
                    </w:rPr>
                    <w:t>查</w:t>
                  </w:r>
                  <w:r>
                    <w:rPr>
                      <w:rFonts w:hint="eastAsia"/>
                      <w:color w:val="auto"/>
                      <w:highlight w:val="none"/>
                    </w:rPr>
                    <w:t>整治。以工业涂装、包装印刷、家具制造、汽车维修、油品储运销等行业为重点，开展挥发性有机物</w:t>
                  </w:r>
                  <w:r>
                    <w:rPr>
                      <w:rFonts w:hint="eastAsia"/>
                      <w:color w:val="auto"/>
                      <w:highlight w:val="none"/>
                      <w:lang w:eastAsia="zh-CN"/>
                    </w:rPr>
                    <w:t>（</w:t>
                  </w:r>
                  <w:r>
                    <w:rPr>
                      <w:rFonts w:hint="eastAsia"/>
                      <w:color w:val="auto"/>
                      <w:highlight w:val="none"/>
                    </w:rPr>
                    <w:t>VOC</w:t>
                  </w:r>
                  <w:r>
                    <w:rPr>
                      <w:rFonts w:hint="eastAsia"/>
                      <w:color w:val="auto"/>
                      <w:highlight w:val="none"/>
                      <w:vertAlign w:val="subscript"/>
                      <w:lang w:val="en-US" w:eastAsia="zh-CN"/>
                    </w:rPr>
                    <w:t>S</w:t>
                  </w:r>
                  <w:r>
                    <w:rPr>
                      <w:rFonts w:hint="eastAsia"/>
                      <w:color w:val="auto"/>
                      <w:highlight w:val="none"/>
                      <w:lang w:eastAsia="zh-CN"/>
                    </w:rPr>
                    <w:t>）</w:t>
                  </w:r>
                  <w:r>
                    <w:rPr>
                      <w:rFonts w:hint="eastAsia"/>
                      <w:color w:val="auto"/>
                      <w:highlight w:val="none"/>
                    </w:rPr>
                    <w:t>专项排查，深入推进VOC</w:t>
                  </w:r>
                  <w:r>
                    <w:rPr>
                      <w:rFonts w:hint="eastAsia"/>
                      <w:color w:val="auto"/>
                      <w:highlight w:val="none"/>
                      <w:vertAlign w:val="subscript"/>
                      <w:lang w:val="en-US" w:eastAsia="zh-CN"/>
                    </w:rPr>
                    <w:t>S</w:t>
                  </w:r>
                  <w:r>
                    <w:rPr>
                      <w:rFonts w:hint="eastAsia"/>
                      <w:color w:val="auto"/>
                      <w:highlight w:val="none"/>
                    </w:rPr>
                    <w:t>综合整治，完成重点监管企业VOC</w:t>
                  </w:r>
                  <w:r>
                    <w:rPr>
                      <w:rFonts w:hint="eastAsia"/>
                      <w:color w:val="auto"/>
                      <w:highlight w:val="none"/>
                      <w:vertAlign w:val="subscript"/>
                      <w:lang w:val="en-US" w:eastAsia="zh-CN"/>
                    </w:rPr>
                    <w:t>S</w:t>
                  </w:r>
                  <w:r>
                    <w:rPr>
                      <w:rFonts w:hint="eastAsia"/>
                      <w:color w:val="auto"/>
                      <w:highlight w:val="none"/>
                    </w:rPr>
                    <w:t>销号式综合整治。严格落实VOC</w:t>
                  </w:r>
                  <w:r>
                    <w:rPr>
                      <w:rFonts w:hint="eastAsia"/>
                      <w:color w:val="auto"/>
                      <w:highlight w:val="none"/>
                      <w:vertAlign w:val="subscript"/>
                      <w:lang w:val="en-US" w:eastAsia="zh-CN"/>
                    </w:rPr>
                    <w:t>S</w:t>
                  </w:r>
                  <w:r>
                    <w:rPr>
                      <w:rFonts w:hint="eastAsia"/>
                      <w:color w:val="auto"/>
                      <w:highlight w:val="none"/>
                    </w:rPr>
                    <w:t>含量限值标准，大力推进低</w:t>
                  </w:r>
                  <w:r>
                    <w:rPr>
                      <w:rFonts w:hint="eastAsia"/>
                      <w:color w:val="auto"/>
                      <w:highlight w:val="none"/>
                      <w:lang w:eastAsia="zh-CN"/>
                    </w:rPr>
                    <w:t>（</w:t>
                  </w:r>
                  <w:r>
                    <w:rPr>
                      <w:rFonts w:hint="eastAsia"/>
                      <w:color w:val="auto"/>
                      <w:highlight w:val="none"/>
                    </w:rPr>
                    <w:t>无</w:t>
                  </w:r>
                  <w:r>
                    <w:rPr>
                      <w:rFonts w:hint="eastAsia"/>
                      <w:color w:val="auto"/>
                      <w:highlight w:val="none"/>
                      <w:lang w:eastAsia="zh-CN"/>
                    </w:rPr>
                    <w:t>）</w:t>
                  </w:r>
                  <w:r>
                    <w:rPr>
                      <w:rFonts w:hint="eastAsia"/>
                      <w:color w:val="auto"/>
                      <w:highlight w:val="none"/>
                    </w:rPr>
                    <w:t>VOC</w:t>
                  </w:r>
                  <w:r>
                    <w:rPr>
                      <w:rFonts w:hint="eastAsia"/>
                      <w:color w:val="auto"/>
                      <w:highlight w:val="none"/>
                      <w:vertAlign w:val="subscript"/>
                      <w:lang w:val="en-US" w:eastAsia="zh-CN"/>
                    </w:rPr>
                    <w:t>S</w:t>
                  </w:r>
                  <w:r>
                    <w:rPr>
                      <w:rFonts w:hint="eastAsia"/>
                      <w:color w:val="auto"/>
                      <w:highlight w:val="none"/>
                    </w:rPr>
                    <w:t>含量原辅料替代，将生产和使用高VOC</w:t>
                  </w:r>
                  <w:r>
                    <w:rPr>
                      <w:rFonts w:hint="eastAsia"/>
                      <w:color w:val="auto"/>
                      <w:highlight w:val="none"/>
                      <w:vertAlign w:val="subscript"/>
                      <w:lang w:val="en-US" w:eastAsia="zh-CN"/>
                    </w:rPr>
                    <w:t>S</w:t>
                  </w:r>
                  <w:r>
                    <w:rPr>
                      <w:rFonts w:hint="eastAsia"/>
                      <w:color w:val="auto"/>
                      <w:highlight w:val="none"/>
                    </w:rPr>
                    <w:t>含量产品的企业列入强制性清洁生产审</w:t>
                  </w:r>
                  <w:r>
                    <w:rPr>
                      <w:rFonts w:hint="eastAsia"/>
                      <w:color w:val="auto"/>
                      <w:highlight w:val="none"/>
                      <w:lang w:val="en-US" w:eastAsia="zh-CN"/>
                    </w:rPr>
                    <w:t>核名单</w:t>
                  </w:r>
                  <w:r>
                    <w:rPr>
                      <w:rFonts w:hint="default"/>
                      <w:color w:val="auto"/>
                      <w:highlight w:val="none"/>
                    </w:rPr>
                    <w:t>。将</w:t>
                  </w:r>
                  <w:r>
                    <w:rPr>
                      <w:rFonts w:hint="eastAsia"/>
                      <w:color w:val="auto"/>
                      <w:highlight w:val="none"/>
                    </w:rPr>
                    <w:t>VOC</w:t>
                  </w:r>
                  <w:r>
                    <w:rPr>
                      <w:rFonts w:hint="eastAsia"/>
                      <w:color w:val="auto"/>
                      <w:highlight w:val="none"/>
                      <w:vertAlign w:val="subscript"/>
                      <w:lang w:val="en-US" w:eastAsia="zh-CN"/>
                    </w:rPr>
                    <w:t>S</w:t>
                  </w:r>
                  <w:r>
                    <w:rPr>
                      <w:rFonts w:hint="default"/>
                      <w:color w:val="auto"/>
                      <w:highlight w:val="none"/>
                    </w:rPr>
                    <w:t>纳入大气环境监测指标体系和污染物减排总量控制体系。</w:t>
                  </w:r>
                </w:p>
              </w:tc>
              <w:tc>
                <w:tcPr>
                  <w:tcW w:w="861" w:type="pct"/>
                  <w:vAlign w:val="center"/>
                </w:tcPr>
                <w:p w14:paraId="3C4F0ECF">
                  <w:pPr>
                    <w:pStyle w:val="20"/>
                    <w:keepNext w:val="0"/>
                    <w:keepLines w:val="0"/>
                    <w:suppressLineNumbers w:val="0"/>
                    <w:spacing w:before="31" w:beforeAutospacing="0" w:after="0" w:afterAutospacing="0"/>
                    <w:ind w:left="0" w:right="0"/>
                    <w:jc w:val="both"/>
                    <w:rPr>
                      <w:rFonts w:hint="default" w:eastAsia="宋体"/>
                      <w:color w:val="auto"/>
                      <w:highlight w:val="none"/>
                      <w:lang w:val="en-US" w:eastAsia="zh-CN"/>
                    </w:rPr>
                  </w:pPr>
                  <w:r>
                    <w:rPr>
                      <w:rFonts w:hint="default"/>
                      <w:color w:val="auto"/>
                      <w:highlight w:val="none"/>
                      <w:lang w:val="en-US" w:eastAsia="zh-CN"/>
                    </w:rPr>
                    <w:t>项目</w:t>
                  </w:r>
                  <w:r>
                    <w:rPr>
                      <w:rFonts w:hint="eastAsia"/>
                      <w:color w:val="auto"/>
                      <w:highlight w:val="none"/>
                      <w:lang w:val="en-US" w:eastAsia="zh-CN"/>
                    </w:rPr>
                    <w:t>施工期无土建施工。项目有机废气设置集气罩收集，</w:t>
                  </w:r>
                  <w:r>
                    <w:rPr>
                      <w:rFonts w:hint="default"/>
                      <w:color w:val="auto"/>
                      <w:highlight w:val="none"/>
                      <w:lang w:val="en-US" w:eastAsia="zh-CN"/>
                    </w:rPr>
                    <w:t>采用</w:t>
                  </w:r>
                  <w:r>
                    <w:rPr>
                      <w:rFonts w:hint="eastAsia"/>
                      <w:color w:val="auto"/>
                      <w:highlight w:val="none"/>
                      <w:lang w:val="en-US" w:eastAsia="zh-CN"/>
                    </w:rPr>
                    <w:t>过滤棉</w:t>
                  </w:r>
                  <w:r>
                    <w:rPr>
                      <w:rFonts w:hint="default"/>
                      <w:color w:val="auto"/>
                      <w:highlight w:val="none"/>
                      <w:lang w:val="en-US" w:eastAsia="zh-CN"/>
                    </w:rPr>
                    <w:t>+</w:t>
                  </w:r>
                  <w:r>
                    <w:rPr>
                      <w:rFonts w:hint="eastAsia"/>
                      <w:color w:val="auto"/>
                      <w:highlight w:val="none"/>
                      <w:lang w:val="en-US" w:eastAsia="zh-CN"/>
                    </w:rPr>
                    <w:t>UV光氧化+二级</w:t>
                  </w:r>
                  <w:r>
                    <w:rPr>
                      <w:rFonts w:hint="default"/>
                      <w:color w:val="auto"/>
                      <w:highlight w:val="none"/>
                      <w:lang w:val="en-US" w:eastAsia="zh-CN"/>
                    </w:rPr>
                    <w:t>活性炭吸附处理后达标排放。</w:t>
                  </w:r>
                </w:p>
              </w:tc>
              <w:tc>
                <w:tcPr>
                  <w:tcW w:w="359" w:type="pct"/>
                  <w:vAlign w:val="center"/>
                </w:tcPr>
                <w:p w14:paraId="7D0AD355">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符合</w:t>
                  </w:r>
                </w:p>
              </w:tc>
            </w:tr>
            <w:tr w14:paraId="50991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62" w:type="pct"/>
                  <w:vAlign w:val="center"/>
                </w:tcPr>
                <w:p w14:paraId="33B79B05">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3</w:t>
                  </w:r>
                </w:p>
              </w:tc>
              <w:tc>
                <w:tcPr>
                  <w:tcW w:w="359" w:type="pct"/>
                  <w:vAlign w:val="center"/>
                </w:tcPr>
                <w:p w14:paraId="1A740E19">
                  <w:pPr>
                    <w:pStyle w:val="20"/>
                    <w:keepNext w:val="0"/>
                    <w:keepLines w:val="0"/>
                    <w:suppressLineNumbers w:val="0"/>
                    <w:spacing w:before="31" w:beforeAutospacing="0" w:after="0" w:afterAutospacing="0"/>
                    <w:ind w:left="0" w:right="0"/>
                    <w:rPr>
                      <w:rFonts w:hint="default"/>
                      <w:b/>
                      <w:bCs/>
                      <w:color w:val="auto"/>
                      <w:highlight w:val="none"/>
                    </w:rPr>
                  </w:pPr>
                  <w:r>
                    <w:rPr>
                      <w:rFonts w:hint="eastAsia"/>
                      <w:color w:val="auto"/>
                      <w:highlight w:val="none"/>
                    </w:rPr>
                    <w:t>协同防治土壤和地下水污染</w:t>
                  </w:r>
                </w:p>
              </w:tc>
              <w:tc>
                <w:tcPr>
                  <w:tcW w:w="3157" w:type="pct"/>
                  <w:vAlign w:val="center"/>
                </w:tcPr>
                <w:p w14:paraId="2CE695E6">
                  <w:pPr>
                    <w:pStyle w:val="20"/>
                    <w:bidi w:val="0"/>
                    <w:jc w:val="left"/>
                    <w:rPr>
                      <w:color w:val="auto"/>
                      <w:highlight w:val="none"/>
                    </w:rPr>
                  </w:pPr>
                  <w:r>
                    <w:rPr>
                      <w:color w:val="auto"/>
                      <w:highlight w:val="none"/>
                    </w:rPr>
                    <w:t>安全利用受污染耕地。</w:t>
                  </w:r>
                </w:p>
                <w:p w14:paraId="4A4E8CAE">
                  <w:pPr>
                    <w:pStyle w:val="20"/>
                    <w:bidi w:val="0"/>
                    <w:jc w:val="left"/>
                    <w:rPr>
                      <w:rFonts w:hint="eastAsia"/>
                      <w:color w:val="auto"/>
                      <w:highlight w:val="none"/>
                    </w:rPr>
                  </w:pPr>
                  <w:r>
                    <w:rPr>
                      <w:color w:val="auto"/>
                      <w:highlight w:val="none"/>
                    </w:rPr>
                    <w:t>严格建设用地土壤污染风险管控和修复。</w:t>
                  </w:r>
                </w:p>
                <w:p w14:paraId="5135A0A8">
                  <w:pPr>
                    <w:pStyle w:val="20"/>
                    <w:bidi w:val="0"/>
                    <w:jc w:val="left"/>
                    <w:rPr>
                      <w:rFonts w:hint="eastAsia"/>
                      <w:color w:val="auto"/>
                      <w:highlight w:val="none"/>
                    </w:rPr>
                  </w:pPr>
                  <w:r>
                    <w:rPr>
                      <w:color w:val="auto"/>
                      <w:highlight w:val="none"/>
                    </w:rPr>
                    <w:t>强化土壤污染风险管控和土壤环境质量监测。</w:t>
                  </w:r>
                </w:p>
                <w:p w14:paraId="011B668B">
                  <w:pPr>
                    <w:pStyle w:val="20"/>
                    <w:bidi w:val="0"/>
                    <w:jc w:val="left"/>
                    <w:rPr>
                      <w:rFonts w:hint="eastAsia"/>
                      <w:color w:val="auto"/>
                      <w:highlight w:val="none"/>
                    </w:rPr>
                  </w:pPr>
                  <w:r>
                    <w:rPr>
                      <w:rFonts w:hint="eastAsia"/>
                      <w:color w:val="auto"/>
                      <w:highlight w:val="none"/>
                    </w:rPr>
                    <w:t>加强土壤与地下水污染防治。强化地下水监测、监管和污染防治相关技术研究，以加油站、化工企业等为重点，开展防渗情况检查评估，统筹推进地下水安全源头预防和风险管控。推进土壤环境重点监管企业、污水集中处理设施等场所及周边土壤、地下水监测。推进地表水一地下水、土壤-地下水、区域-地块地下水污染协同防治。探索地下水污染防治管理模式和技术路径，保持地下水环境质量总体稳定。</w:t>
                  </w:r>
                </w:p>
                <w:p w14:paraId="33F584FB">
                  <w:pPr>
                    <w:pStyle w:val="20"/>
                    <w:bidi w:val="0"/>
                    <w:jc w:val="left"/>
                    <w:rPr>
                      <w:rFonts w:hint="eastAsia"/>
                      <w:color w:val="auto"/>
                      <w:highlight w:val="none"/>
                    </w:rPr>
                  </w:pPr>
                  <w:r>
                    <w:rPr>
                      <w:color w:val="auto"/>
                      <w:highlight w:val="none"/>
                    </w:rPr>
                    <w:t>推进固体废弃物减量化、无害化、资源化处置和利用。开 展一般工业固体废物和非正规固体废物堆存场所排查整治，有效防控环境风险。</w:t>
                  </w:r>
                </w:p>
                <w:p w14:paraId="2F88D0F7">
                  <w:pPr>
                    <w:pStyle w:val="20"/>
                    <w:bidi w:val="0"/>
                    <w:jc w:val="left"/>
                    <w:rPr>
                      <w:rFonts w:hint="eastAsia"/>
                      <w:color w:val="auto"/>
                      <w:highlight w:val="none"/>
                    </w:rPr>
                  </w:pPr>
                  <w:r>
                    <w:rPr>
                      <w:rFonts w:hint="eastAsia"/>
                      <w:color w:val="auto"/>
                      <w:highlight w:val="none"/>
                    </w:rPr>
                    <w:t>防控危险废物污染环境风险。支持大型企业自行利用处置危险废物，支持工业园区配套建设危险废物末端处置设施。推进危险废物综合收集、贮存、转运点建设，完善废矿物油、废铅蓄电池等集中收集贮存设施，实现小微企业、非工业源危险废物收集转运全覆盖。持续开展打击危险废物环境违法犯罪专项行动，严肃查处违规堆存、随意倾倒、非法填埋、非法转移、非法买卖危险废物等违法行为。加强危险废物经营单位和自行利用处置设施的环境监管，确保安全规范运行。探索建立危险废物“一物一码”管理体系，加快危险废物信息化管理系统建设，实现从产生到处置全过程信息追踪。</w:t>
                  </w:r>
                </w:p>
                <w:p w14:paraId="4F02D1B4">
                  <w:pPr>
                    <w:pStyle w:val="20"/>
                    <w:bidi w:val="0"/>
                    <w:jc w:val="left"/>
                    <w:rPr>
                      <w:rFonts w:hint="eastAsia"/>
                      <w:color w:val="auto"/>
                      <w:highlight w:val="none"/>
                    </w:rPr>
                  </w:pPr>
                  <w:r>
                    <w:rPr>
                      <w:color w:val="auto"/>
                      <w:highlight w:val="none"/>
                    </w:rPr>
                    <w:t>建立完善医疗废物处置体系。</w:t>
                  </w:r>
                </w:p>
                <w:p w14:paraId="4DE18A29">
                  <w:pPr>
                    <w:pStyle w:val="20"/>
                    <w:bidi w:val="0"/>
                    <w:jc w:val="left"/>
                    <w:rPr>
                      <w:rFonts w:hint="default"/>
                      <w:color w:val="auto"/>
                      <w:highlight w:val="none"/>
                    </w:rPr>
                  </w:pPr>
                  <w:r>
                    <w:rPr>
                      <w:rFonts w:hint="eastAsia"/>
                      <w:color w:val="auto"/>
                      <w:highlight w:val="none"/>
                    </w:rPr>
                    <w:t>加强塑料污染治理。有序禁止、限制部分塑料制品生产和销售，持续减少不可降解塑料袋、一次性塑料餐具、宾馆酒店一次性塑料用品、快递塑料包装等塑料制品的使用，积极推广布袋、纸袋、可降解包装袋等替代产品。结合实施垃圾分类，加大塑料废弃物分类收集和处理力度，在塑料废弃物产生量大的场所增设投放设施。常态化开展河湖水域、岸线等重点区域塑料垃圾清理。持续开展塑料污染治理跨部门联合专项行动。</w:t>
                  </w:r>
                </w:p>
              </w:tc>
              <w:tc>
                <w:tcPr>
                  <w:tcW w:w="861" w:type="pct"/>
                  <w:vAlign w:val="center"/>
                </w:tcPr>
                <w:p w14:paraId="3C4D9E33">
                  <w:pPr>
                    <w:pStyle w:val="20"/>
                    <w:keepNext w:val="0"/>
                    <w:keepLines w:val="0"/>
                    <w:suppressLineNumbers w:val="0"/>
                    <w:spacing w:before="31" w:beforeAutospacing="0" w:after="0" w:afterAutospacing="0"/>
                    <w:ind w:left="0" w:right="0"/>
                    <w:jc w:val="both"/>
                    <w:rPr>
                      <w:rFonts w:hint="eastAsia"/>
                      <w:color w:val="auto"/>
                      <w:highlight w:val="none"/>
                    </w:rPr>
                  </w:pPr>
                  <w:r>
                    <w:rPr>
                      <w:rFonts w:hint="eastAsia"/>
                      <w:color w:val="auto"/>
                      <w:highlight w:val="none"/>
                    </w:rPr>
                    <w:t>项目不属于文件所列土壤污染重点行业，</w:t>
                  </w:r>
                  <w:r>
                    <w:rPr>
                      <w:rFonts w:hint="eastAsia"/>
                      <w:color w:val="auto"/>
                      <w:highlight w:val="none"/>
                      <w:lang w:eastAsia="zh-CN"/>
                    </w:rPr>
                    <w:t>危险废物贮存点</w:t>
                  </w:r>
                  <w:r>
                    <w:rPr>
                      <w:rFonts w:hint="eastAsia"/>
                      <w:color w:val="auto"/>
                      <w:highlight w:val="none"/>
                    </w:rPr>
                    <w:t>、</w:t>
                  </w:r>
                  <w:r>
                    <w:rPr>
                      <w:rFonts w:hint="eastAsia"/>
                      <w:color w:val="auto"/>
                      <w:highlight w:val="none"/>
                      <w:lang w:val="en-US" w:eastAsia="zh-CN"/>
                    </w:rPr>
                    <w:t>油料间</w:t>
                  </w:r>
                  <w:r>
                    <w:rPr>
                      <w:rFonts w:hint="eastAsia"/>
                      <w:color w:val="auto"/>
                      <w:highlight w:val="none"/>
                    </w:rPr>
                    <w:t>重点防渗设置。</w:t>
                  </w:r>
                </w:p>
                <w:p w14:paraId="6D5368D4">
                  <w:pPr>
                    <w:pStyle w:val="20"/>
                    <w:keepNext w:val="0"/>
                    <w:keepLines w:val="0"/>
                    <w:suppressLineNumbers w:val="0"/>
                    <w:spacing w:before="31" w:beforeAutospacing="0" w:after="0" w:afterAutospacing="0"/>
                    <w:ind w:left="0" w:right="0"/>
                    <w:jc w:val="both"/>
                    <w:rPr>
                      <w:rFonts w:hint="eastAsia"/>
                      <w:color w:val="auto"/>
                      <w:highlight w:val="none"/>
                      <w:lang w:val="en-US" w:eastAsia="zh-CN"/>
                    </w:rPr>
                  </w:pPr>
                  <w:r>
                    <w:rPr>
                      <w:rFonts w:hint="eastAsia"/>
                      <w:color w:val="auto"/>
                      <w:highlight w:val="none"/>
                      <w:lang w:val="en-US" w:eastAsia="zh-CN"/>
                    </w:rPr>
                    <w:t>项目边角料、不合格品等回用，一般固体废物交物资回收单位处置，促进资源化利用。按规范设置一般固废及危险废物贮存设施，严格落实固废管理要求，定期交有资质单位收集处理。</w:t>
                  </w:r>
                </w:p>
                <w:p w14:paraId="334541BC">
                  <w:pPr>
                    <w:pStyle w:val="20"/>
                    <w:keepNext w:val="0"/>
                    <w:keepLines w:val="0"/>
                    <w:suppressLineNumbers w:val="0"/>
                    <w:spacing w:before="31" w:beforeAutospacing="0" w:after="0" w:afterAutospacing="0"/>
                    <w:ind w:left="0" w:right="0"/>
                    <w:jc w:val="both"/>
                    <w:rPr>
                      <w:rFonts w:hint="default"/>
                      <w:color w:val="auto"/>
                      <w:highlight w:val="none"/>
                      <w:lang w:val="en-US" w:eastAsia="zh-CN"/>
                    </w:rPr>
                  </w:pPr>
                  <w:r>
                    <w:rPr>
                      <w:rFonts w:hint="eastAsia"/>
                      <w:color w:val="auto"/>
                      <w:highlight w:val="none"/>
                      <w:lang w:val="en-US" w:eastAsia="zh-CN"/>
                    </w:rPr>
                    <w:t>项目生产汽车零部件塑料产品，不属于禁止生产的塑料制品。</w:t>
                  </w:r>
                </w:p>
              </w:tc>
              <w:tc>
                <w:tcPr>
                  <w:tcW w:w="359" w:type="pct"/>
                  <w:vAlign w:val="center"/>
                </w:tcPr>
                <w:p w14:paraId="396B4B3C">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符合</w:t>
                  </w:r>
                </w:p>
              </w:tc>
            </w:tr>
            <w:tr w14:paraId="1FB58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31" w:hRule="atLeast"/>
              </w:trPr>
              <w:tc>
                <w:tcPr>
                  <w:tcW w:w="262" w:type="pct"/>
                  <w:vAlign w:val="center"/>
                </w:tcPr>
                <w:p w14:paraId="5E49C0AE">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4</w:t>
                  </w:r>
                </w:p>
              </w:tc>
              <w:tc>
                <w:tcPr>
                  <w:tcW w:w="359" w:type="pct"/>
                  <w:vAlign w:val="center"/>
                </w:tcPr>
                <w:p w14:paraId="44595488">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管控噪声环境影响</w:t>
                  </w:r>
                </w:p>
              </w:tc>
              <w:tc>
                <w:tcPr>
                  <w:tcW w:w="3157" w:type="pct"/>
                  <w:vAlign w:val="center"/>
                </w:tcPr>
                <w:p w14:paraId="11463EFB">
                  <w:pPr>
                    <w:pStyle w:val="20"/>
                    <w:bidi w:val="0"/>
                    <w:jc w:val="left"/>
                    <w:rPr>
                      <w:rFonts w:hint="eastAsia"/>
                      <w:color w:val="auto"/>
                      <w:highlight w:val="none"/>
                    </w:rPr>
                  </w:pPr>
                  <w:r>
                    <w:rPr>
                      <w:color w:val="auto"/>
                      <w:highlight w:val="none"/>
                    </w:rPr>
                    <w:t>加强建筑施工噪声监管</w:t>
                  </w:r>
                  <w:r>
                    <w:rPr>
                      <w:rFonts w:hint="eastAsia"/>
                      <w:color w:val="auto"/>
                      <w:highlight w:val="none"/>
                    </w:rPr>
                    <w:t>。制定和落实施工期间建筑施工噪声防治方案，设置噪声屏障，合理安排更新项目施工时序，合理控制施工时间，推进噪声自动监测系统对建筑施工进行实时监测，推广使用低噪声施工工艺、施工机具和其他辅助作业设备。夜间施工严格执行《重庆市夜间作业规定》，加大对夜间施工噪声扰民的处罚力度。</w:t>
                  </w:r>
                </w:p>
                <w:p w14:paraId="2B9109AF">
                  <w:pPr>
                    <w:pStyle w:val="20"/>
                    <w:bidi w:val="0"/>
                    <w:jc w:val="left"/>
                    <w:rPr>
                      <w:rFonts w:hint="default"/>
                      <w:color w:val="auto"/>
                      <w:highlight w:val="none"/>
                    </w:rPr>
                  </w:pPr>
                  <w:r>
                    <w:rPr>
                      <w:rFonts w:hint="eastAsia"/>
                      <w:color w:val="auto"/>
                      <w:highlight w:val="none"/>
                    </w:rPr>
                    <w:t>强化工业企业噪声监管。工业企业合理布局生产设施、改进生产工艺、使用低噪声设备，采取消声、隔声、减振等措施消除或减轻噪声对周围生活环境的影响，确保厂界噪声达标。禁止在1类声环境功能区、严格限制在2类声环境功能区审批产生噪声污染的工业项目环评。新建、扩建、改建的项目严格将防治噪声污染纳入环境影响评价和“三同时”内容。治理关停、搬迁城市建成区内的噪声污染严重企业，基本消除城区工业噪声扰民污染源。严肃查处工业企业噪声排放超标扰民行为，对噪声排放不达标、居民反映强烈的噪声污染工业企业实施限期治理。</w:t>
                  </w:r>
                </w:p>
              </w:tc>
              <w:tc>
                <w:tcPr>
                  <w:tcW w:w="861" w:type="pct"/>
                  <w:vAlign w:val="center"/>
                </w:tcPr>
                <w:p w14:paraId="544EB0B8">
                  <w:pPr>
                    <w:pStyle w:val="20"/>
                    <w:keepNext w:val="0"/>
                    <w:keepLines w:val="0"/>
                    <w:suppressLineNumbers w:val="0"/>
                    <w:spacing w:before="31" w:beforeAutospacing="0" w:after="0" w:afterAutospacing="0"/>
                    <w:ind w:left="0" w:right="0"/>
                    <w:jc w:val="both"/>
                    <w:rPr>
                      <w:rFonts w:hint="default" w:eastAsia="宋体"/>
                      <w:color w:val="auto"/>
                      <w:highlight w:val="none"/>
                      <w:lang w:val="en-US" w:eastAsia="zh-CN"/>
                    </w:rPr>
                  </w:pPr>
                  <w:r>
                    <w:rPr>
                      <w:rFonts w:hint="eastAsia"/>
                      <w:color w:val="auto"/>
                      <w:highlight w:val="none"/>
                    </w:rPr>
                    <w:t>项目周边50m无声环境保护目标，项目位于3类声环境功能区。</w:t>
                  </w:r>
                  <w:r>
                    <w:rPr>
                      <w:rFonts w:hint="eastAsia"/>
                      <w:color w:val="auto"/>
                      <w:highlight w:val="none"/>
                      <w:lang w:val="en-US" w:eastAsia="zh-CN"/>
                    </w:rPr>
                    <w:t>厂界噪声可满足噪声排放限值要求。</w:t>
                  </w:r>
                </w:p>
              </w:tc>
              <w:tc>
                <w:tcPr>
                  <w:tcW w:w="359" w:type="pct"/>
                  <w:vAlign w:val="center"/>
                </w:tcPr>
                <w:p w14:paraId="5CBE20B2">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符合</w:t>
                  </w:r>
                </w:p>
              </w:tc>
            </w:tr>
            <w:tr w14:paraId="2452F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62" w:type="pct"/>
                  <w:vAlign w:val="center"/>
                </w:tcPr>
                <w:p w14:paraId="13358475">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5</w:t>
                  </w:r>
                </w:p>
              </w:tc>
              <w:tc>
                <w:tcPr>
                  <w:tcW w:w="359" w:type="pct"/>
                  <w:vAlign w:val="center"/>
                </w:tcPr>
                <w:p w14:paraId="57AAE437">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健全环境风险防控体系</w:t>
                  </w:r>
                </w:p>
              </w:tc>
              <w:tc>
                <w:tcPr>
                  <w:tcW w:w="3157" w:type="pct"/>
                  <w:vAlign w:val="center"/>
                </w:tcPr>
                <w:p w14:paraId="7C97A470">
                  <w:pPr>
                    <w:pStyle w:val="20"/>
                    <w:keepNext w:val="0"/>
                    <w:keepLines w:val="0"/>
                    <w:suppressLineNumbers w:val="0"/>
                    <w:spacing w:before="31" w:beforeAutospacing="0" w:after="0" w:afterAutospacing="0"/>
                    <w:ind w:left="0" w:right="0"/>
                    <w:jc w:val="both"/>
                    <w:rPr>
                      <w:rFonts w:hint="eastAsia"/>
                      <w:color w:val="auto"/>
                      <w:highlight w:val="none"/>
                      <w:lang w:eastAsia="zh-CN"/>
                    </w:rPr>
                  </w:pPr>
                  <w:r>
                    <w:rPr>
                      <w:rFonts w:hint="eastAsia"/>
                      <w:color w:val="auto"/>
                      <w:highlight w:val="none"/>
                    </w:rPr>
                    <w:t>加强环境风险评估。落实企业突发环境事件风险评估制度，实现重点企业突发环境事件应急预案备案全覆盖，推进突发环境事件风险分类分级管理，严格监管较大及以上环境风险</w:t>
                  </w:r>
                  <w:r>
                    <w:rPr>
                      <w:rFonts w:hint="eastAsia"/>
                      <w:color w:val="auto"/>
                      <w:highlight w:val="none"/>
                      <w:lang w:eastAsia="zh-CN"/>
                    </w:rPr>
                    <w:t>。</w:t>
                  </w:r>
                </w:p>
                <w:p w14:paraId="0BE5E130">
                  <w:pPr>
                    <w:pStyle w:val="20"/>
                    <w:keepNext w:val="0"/>
                    <w:keepLines w:val="0"/>
                    <w:suppressLineNumbers w:val="0"/>
                    <w:spacing w:before="31" w:beforeAutospacing="0" w:after="0" w:afterAutospacing="0"/>
                    <w:ind w:left="0" w:right="0"/>
                    <w:jc w:val="both"/>
                    <w:rPr>
                      <w:rFonts w:hint="eastAsia"/>
                      <w:color w:val="auto"/>
                      <w:highlight w:val="none"/>
                    </w:rPr>
                  </w:pPr>
                  <w:r>
                    <w:rPr>
                      <w:rFonts w:hint="eastAsia"/>
                      <w:color w:val="auto"/>
                      <w:highlight w:val="none"/>
                    </w:rPr>
                    <w:t>细化风险防范主体责任。全面推进环境风险企业“一源一事一案”及风险信息登记制度，督促企业落实环境应急管理规定、</w:t>
                  </w:r>
                  <w:r>
                    <w:rPr>
                      <w:rFonts w:hint="eastAsia"/>
                      <w:color w:val="auto"/>
                      <w:highlight w:val="none"/>
                      <w:lang w:eastAsia="zh-CN"/>
                    </w:rPr>
                    <w:t>完善</w:t>
                  </w:r>
                  <w:r>
                    <w:rPr>
                      <w:rFonts w:hint="eastAsia"/>
                      <w:color w:val="auto"/>
                      <w:highlight w:val="none"/>
                    </w:rPr>
                    <w:t>环境应急设备、开展应急岗位培训和应急演练，细化企业环境风险防范主体责任，推进环境风险防控应急体系建设。</w:t>
                  </w:r>
                </w:p>
                <w:p w14:paraId="58ABBEC2">
                  <w:pPr>
                    <w:pStyle w:val="20"/>
                    <w:keepNext w:val="0"/>
                    <w:keepLines w:val="0"/>
                    <w:suppressLineNumbers w:val="0"/>
                    <w:spacing w:before="31" w:beforeAutospacing="0" w:after="0" w:afterAutospacing="0"/>
                    <w:ind w:left="0" w:right="0"/>
                    <w:jc w:val="both"/>
                    <w:rPr>
                      <w:rFonts w:hint="eastAsia"/>
                      <w:color w:val="auto"/>
                      <w:highlight w:val="none"/>
                    </w:rPr>
                  </w:pPr>
                  <w:r>
                    <w:rPr>
                      <w:rFonts w:hint="eastAsia"/>
                      <w:color w:val="auto"/>
                      <w:highlight w:val="none"/>
                    </w:rPr>
                    <w:t>完善环境风险管控体系。推进重点企业环境风险防控应急体系建设，健全生态环境、应急、公安、交通、卫生等多部门应急联动机制。建立风险分级分类管控体系，根据企业环境风险等级实施差异化监管，强化工业园区环境风险防范体系建设，切实增强园区环境风险防控和突发环境事件的应对能力。</w:t>
                  </w:r>
                </w:p>
                <w:p w14:paraId="128D5857">
                  <w:pPr>
                    <w:pStyle w:val="20"/>
                    <w:keepNext w:val="0"/>
                    <w:keepLines w:val="0"/>
                    <w:suppressLineNumbers w:val="0"/>
                    <w:spacing w:before="31" w:beforeAutospacing="0" w:after="0" w:afterAutospacing="0"/>
                    <w:ind w:left="0" w:right="0"/>
                    <w:jc w:val="both"/>
                    <w:rPr>
                      <w:rFonts w:hint="default"/>
                      <w:color w:val="auto"/>
                      <w:highlight w:val="none"/>
                    </w:rPr>
                  </w:pPr>
                  <w:r>
                    <w:rPr>
                      <w:rFonts w:hint="eastAsia"/>
                      <w:color w:val="auto"/>
                      <w:highlight w:val="none"/>
                    </w:rPr>
                    <w:t>强化应急响应管理。建立政府主导、企业主体、部门联动、专家支持、社会救援的突发环境事件应急处置机制。积极推进企业环境应急专业救援队伍参与全区环境应急抢险救援工作</w:t>
                  </w:r>
                  <w:r>
                    <w:rPr>
                      <w:rFonts w:hint="eastAsia"/>
                      <w:color w:val="auto"/>
                      <w:highlight w:val="none"/>
                      <w:lang w:eastAsia="zh-CN"/>
                    </w:rPr>
                    <w:t>。</w:t>
                  </w:r>
                </w:p>
              </w:tc>
              <w:tc>
                <w:tcPr>
                  <w:tcW w:w="861" w:type="pct"/>
                  <w:vAlign w:val="center"/>
                </w:tcPr>
                <w:p w14:paraId="6C4AD0B8">
                  <w:pPr>
                    <w:pStyle w:val="20"/>
                    <w:keepNext w:val="0"/>
                    <w:keepLines w:val="0"/>
                    <w:suppressLineNumbers w:val="0"/>
                    <w:spacing w:before="31" w:beforeAutospacing="0" w:after="0" w:afterAutospacing="0"/>
                    <w:ind w:left="0" w:right="0"/>
                    <w:jc w:val="both"/>
                    <w:rPr>
                      <w:rFonts w:hint="default"/>
                      <w:color w:val="auto"/>
                      <w:highlight w:val="none"/>
                    </w:rPr>
                  </w:pPr>
                  <w:r>
                    <w:rPr>
                      <w:rFonts w:hint="eastAsia"/>
                      <w:color w:val="auto"/>
                      <w:highlight w:val="none"/>
                    </w:rPr>
                    <w:t>本项目环境风险较小，</w:t>
                  </w:r>
                  <w:r>
                    <w:rPr>
                      <w:rFonts w:hint="eastAsia"/>
                      <w:color w:val="auto"/>
                      <w:highlight w:val="none"/>
                      <w:lang w:eastAsia="zh-CN"/>
                    </w:rPr>
                    <w:t>危险废物贮存点</w:t>
                  </w:r>
                  <w:r>
                    <w:rPr>
                      <w:rFonts w:hint="eastAsia"/>
                      <w:color w:val="auto"/>
                      <w:highlight w:val="none"/>
                      <w:lang w:val="en-US" w:eastAsia="zh-CN"/>
                    </w:rPr>
                    <w:t>、油料间</w:t>
                  </w:r>
                  <w:r>
                    <w:rPr>
                      <w:rFonts w:hint="eastAsia"/>
                      <w:color w:val="auto"/>
                      <w:highlight w:val="none"/>
                    </w:rPr>
                    <w:t>重点防渗设置，严格落实环境风险防控措施。评价要求企业应根据地方主管部门要求，自主组织开展应急预案培训、宣传及演练。</w:t>
                  </w:r>
                </w:p>
              </w:tc>
              <w:tc>
                <w:tcPr>
                  <w:tcW w:w="359" w:type="pct"/>
                  <w:vAlign w:val="center"/>
                </w:tcPr>
                <w:p w14:paraId="08BC5B7C">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符合</w:t>
                  </w:r>
                </w:p>
              </w:tc>
            </w:tr>
          </w:tbl>
          <w:p w14:paraId="4AF3A70A">
            <w:pPr>
              <w:pStyle w:val="18"/>
              <w:keepNext w:val="0"/>
              <w:keepLines w:val="0"/>
              <w:suppressLineNumbers w:val="0"/>
              <w:spacing w:before="0" w:beforeAutospacing="0" w:after="0" w:afterAutospacing="0"/>
              <w:ind w:left="0" w:right="0"/>
              <w:rPr>
                <w:rFonts w:hint="eastAsia"/>
                <w:color w:val="auto"/>
                <w:highlight w:val="none"/>
              </w:rPr>
            </w:pPr>
            <w:r>
              <w:rPr>
                <w:rFonts w:hint="eastAsia"/>
                <w:color w:val="auto"/>
                <w:highlight w:val="none"/>
              </w:rPr>
              <w:t>综上，本项目符合《重庆市九龙坡区生态环境保护“十四五”规划》（九龙坡府办发〔2022〕1号）文件相关要求。</w:t>
            </w:r>
          </w:p>
          <w:p w14:paraId="24FAC3D6">
            <w:pPr>
              <w:pStyle w:val="2"/>
              <w:keepNext w:val="0"/>
              <w:keepLines w:val="0"/>
              <w:pageBreakBefore w:val="0"/>
              <w:widowControl w:val="0"/>
              <w:numPr>
                <w:ilvl w:val="0"/>
                <w:numId w:val="2"/>
              </w:numPr>
              <w:kinsoku/>
              <w:wordWrap/>
              <w:overflowPunct w:val="0"/>
              <w:topLinePunct w:val="0"/>
              <w:autoSpaceDE/>
              <w:autoSpaceDN/>
              <w:bidi w:val="0"/>
              <w:adjustRightInd/>
              <w:snapToGrid w:val="0"/>
              <w:ind w:left="0" w:firstLine="0"/>
              <w:textAlignment w:val="auto"/>
              <w:rPr>
                <w:rFonts w:hint="eastAsia"/>
                <w:color w:val="auto"/>
                <w:highlight w:val="none"/>
              </w:rPr>
            </w:pPr>
            <w:r>
              <w:rPr>
                <w:rFonts w:hint="eastAsia"/>
                <w:color w:val="auto"/>
                <w:highlight w:val="none"/>
              </w:rPr>
              <w:t>与《挥发性有机物无组织排放控制标准》（GB37822-2019）的符合性</w:t>
            </w:r>
          </w:p>
          <w:p w14:paraId="29F48F7B">
            <w:pPr>
              <w:pStyle w:val="18"/>
              <w:rPr>
                <w:rFonts w:hint="eastAsia"/>
                <w:color w:val="auto"/>
                <w:highlight w:val="none"/>
              </w:rPr>
            </w:pPr>
            <w:r>
              <w:rPr>
                <w:rFonts w:hint="eastAsia"/>
                <w:color w:val="auto"/>
                <w:highlight w:val="none"/>
                <w:lang w:eastAsia="zh-CN"/>
              </w:rPr>
              <w:t>扩建项目</w:t>
            </w:r>
            <w:r>
              <w:rPr>
                <w:rFonts w:hint="eastAsia"/>
                <w:color w:val="auto"/>
                <w:highlight w:val="none"/>
              </w:rPr>
              <w:t>与《挥发性有机物无组织排放控制标准》（GB37822-2019）的符合性分析见</w:t>
            </w:r>
            <w:r>
              <w:rPr>
                <w:rFonts w:hint="eastAsia"/>
                <w:color w:val="auto"/>
                <w:highlight w:val="none"/>
              </w:rPr>
              <w:fldChar w:fldCharType="begin"/>
            </w:r>
            <w:r>
              <w:rPr>
                <w:rFonts w:hint="eastAsia"/>
                <w:color w:val="auto"/>
                <w:highlight w:val="none"/>
              </w:rPr>
              <w:instrText xml:space="preserve"> REF _Ref17397 \h </w:instrText>
            </w:r>
            <w:r>
              <w:rPr>
                <w:rFonts w:hint="eastAsia"/>
                <w:color w:val="auto"/>
                <w:highlight w:val="none"/>
              </w:rPr>
              <w:fldChar w:fldCharType="separate"/>
            </w:r>
            <w:r>
              <w:rPr>
                <w:color w:val="auto"/>
                <w:highlight w:val="none"/>
              </w:rPr>
              <w:t>表1-10</w:t>
            </w:r>
            <w:r>
              <w:rPr>
                <w:rFonts w:hint="eastAsia"/>
                <w:color w:val="auto"/>
                <w:highlight w:val="none"/>
              </w:rPr>
              <w:fldChar w:fldCharType="end"/>
            </w:r>
            <w:r>
              <w:rPr>
                <w:rFonts w:hint="eastAsia"/>
                <w:color w:val="auto"/>
                <w:highlight w:val="none"/>
              </w:rPr>
              <w:t>。</w:t>
            </w:r>
          </w:p>
          <w:p w14:paraId="2BBF2A9F">
            <w:pPr>
              <w:pStyle w:val="19"/>
              <w:spacing w:before="156"/>
              <w:rPr>
                <w:color w:val="auto"/>
                <w:highlight w:val="none"/>
              </w:rPr>
            </w:pPr>
            <w:bookmarkStart w:id="9" w:name="_Ref17397"/>
            <w:r>
              <w:rPr>
                <w:color w:val="auto"/>
                <w:highlight w:val="none"/>
              </w:rPr>
              <w:t>表1-</w:t>
            </w:r>
            <w:r>
              <w:rPr>
                <w:color w:val="auto"/>
                <w:highlight w:val="none"/>
              </w:rPr>
              <w:fldChar w:fldCharType="begin"/>
            </w:r>
            <w:r>
              <w:rPr>
                <w:color w:val="auto"/>
                <w:highlight w:val="none"/>
              </w:rPr>
              <w:instrText xml:space="preserve"> SEQ 表1- \* ARABIC </w:instrText>
            </w:r>
            <w:r>
              <w:rPr>
                <w:color w:val="auto"/>
                <w:highlight w:val="none"/>
              </w:rPr>
              <w:fldChar w:fldCharType="separate"/>
            </w:r>
            <w:r>
              <w:rPr>
                <w:color w:val="auto"/>
                <w:highlight w:val="none"/>
              </w:rPr>
              <w:t>10</w:t>
            </w:r>
            <w:r>
              <w:rPr>
                <w:color w:val="auto"/>
                <w:highlight w:val="none"/>
              </w:rPr>
              <w:fldChar w:fldCharType="end"/>
            </w:r>
            <w:bookmarkEnd w:id="9"/>
            <w:r>
              <w:rPr>
                <w:rFonts w:hint="eastAsia"/>
                <w:color w:val="auto"/>
                <w:highlight w:val="none"/>
              </w:rPr>
              <w:t xml:space="preserve">  与《挥发性有机物无组织排放控制标准》（GB37822-2019）符合性</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910"/>
              <w:gridCol w:w="5710"/>
              <w:gridCol w:w="1170"/>
              <w:gridCol w:w="480"/>
            </w:tblGrid>
            <w:tr w14:paraId="5F7B1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trPr>
              <w:tc>
                <w:tcPr>
                  <w:tcW w:w="550" w:type="pct"/>
                  <w:vAlign w:val="center"/>
                </w:tcPr>
                <w:p w14:paraId="1D30FACF">
                  <w:pPr>
                    <w:pStyle w:val="20"/>
                    <w:spacing w:before="31"/>
                    <w:rPr>
                      <w:b/>
                      <w:bCs/>
                      <w:color w:val="auto"/>
                      <w:highlight w:val="none"/>
                    </w:rPr>
                  </w:pPr>
                  <w:r>
                    <w:rPr>
                      <w:rFonts w:hint="eastAsia"/>
                      <w:b/>
                      <w:bCs/>
                      <w:color w:val="auto"/>
                      <w:highlight w:val="none"/>
                    </w:rPr>
                    <w:t>类别</w:t>
                  </w:r>
                </w:p>
              </w:tc>
              <w:tc>
                <w:tcPr>
                  <w:tcW w:w="3451" w:type="pct"/>
                  <w:vAlign w:val="center"/>
                </w:tcPr>
                <w:p w14:paraId="2C7805E3">
                  <w:pPr>
                    <w:pStyle w:val="20"/>
                    <w:spacing w:before="31"/>
                    <w:rPr>
                      <w:b/>
                      <w:bCs/>
                      <w:color w:val="auto"/>
                      <w:highlight w:val="none"/>
                    </w:rPr>
                  </w:pPr>
                  <w:r>
                    <w:rPr>
                      <w:rFonts w:hint="eastAsia"/>
                      <w:b/>
                      <w:bCs/>
                      <w:color w:val="auto"/>
                      <w:highlight w:val="none"/>
                    </w:rPr>
                    <w:t>与</w:t>
                  </w:r>
                  <w:r>
                    <w:rPr>
                      <w:b/>
                      <w:bCs/>
                      <w:color w:val="auto"/>
                      <w:highlight w:val="none"/>
                    </w:rPr>
                    <w:t>项目相关要求</w:t>
                  </w:r>
                </w:p>
              </w:tc>
              <w:tc>
                <w:tcPr>
                  <w:tcW w:w="707" w:type="pct"/>
                  <w:vAlign w:val="center"/>
                </w:tcPr>
                <w:p w14:paraId="433D5FD0">
                  <w:pPr>
                    <w:pStyle w:val="20"/>
                    <w:spacing w:before="31"/>
                    <w:rPr>
                      <w:b/>
                      <w:bCs/>
                      <w:color w:val="auto"/>
                      <w:highlight w:val="none"/>
                    </w:rPr>
                  </w:pPr>
                  <w:r>
                    <w:rPr>
                      <w:rFonts w:hint="eastAsia"/>
                      <w:b/>
                      <w:bCs/>
                      <w:color w:val="auto"/>
                      <w:highlight w:val="none"/>
                    </w:rPr>
                    <w:t>本项目</w:t>
                  </w:r>
                </w:p>
              </w:tc>
              <w:tc>
                <w:tcPr>
                  <w:tcW w:w="290" w:type="pct"/>
                  <w:vAlign w:val="center"/>
                </w:tcPr>
                <w:p w14:paraId="484E87A0">
                  <w:pPr>
                    <w:pStyle w:val="20"/>
                    <w:spacing w:before="31"/>
                    <w:rPr>
                      <w:b/>
                      <w:bCs/>
                      <w:color w:val="auto"/>
                      <w:highlight w:val="none"/>
                    </w:rPr>
                  </w:pPr>
                  <w:r>
                    <w:rPr>
                      <w:rFonts w:hint="eastAsia"/>
                      <w:b/>
                      <w:bCs/>
                      <w:color w:val="auto"/>
                      <w:highlight w:val="none"/>
                    </w:rPr>
                    <w:t>符合性</w:t>
                  </w:r>
                </w:p>
              </w:tc>
            </w:tr>
            <w:tr w14:paraId="04246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50" w:type="pct"/>
                  <w:vAlign w:val="center"/>
                </w:tcPr>
                <w:p w14:paraId="12DAB8D8">
                  <w:pPr>
                    <w:pStyle w:val="20"/>
                    <w:spacing w:before="31"/>
                    <w:rPr>
                      <w:color w:val="auto"/>
                      <w:highlight w:val="none"/>
                    </w:rPr>
                  </w:pPr>
                  <w:r>
                    <w:rPr>
                      <w:rFonts w:hint="eastAsia"/>
                      <w:color w:val="auto"/>
                      <w:highlight w:val="none"/>
                    </w:rPr>
                    <w:t>VOC</w:t>
                  </w:r>
                  <w:r>
                    <w:rPr>
                      <w:rFonts w:hint="eastAsia"/>
                      <w:color w:val="auto"/>
                      <w:highlight w:val="none"/>
                      <w:vertAlign w:val="subscript"/>
                    </w:rPr>
                    <w:t>S</w:t>
                  </w:r>
                  <w:r>
                    <w:rPr>
                      <w:rFonts w:hint="eastAsia"/>
                      <w:color w:val="auto"/>
                      <w:highlight w:val="none"/>
                    </w:rPr>
                    <w:t>物料储存无组织排放控制要求</w:t>
                  </w:r>
                </w:p>
              </w:tc>
              <w:tc>
                <w:tcPr>
                  <w:tcW w:w="3451" w:type="pct"/>
                  <w:vAlign w:val="center"/>
                </w:tcPr>
                <w:p w14:paraId="00BDB1F7">
                  <w:pPr>
                    <w:pStyle w:val="20"/>
                    <w:spacing w:before="31"/>
                    <w:jc w:val="both"/>
                    <w:rPr>
                      <w:color w:val="auto"/>
                      <w:highlight w:val="none"/>
                    </w:rPr>
                  </w:pPr>
                  <w:r>
                    <w:rPr>
                      <w:rFonts w:hint="eastAsia"/>
                      <w:color w:val="auto"/>
                      <w:highlight w:val="none"/>
                    </w:rPr>
                    <w:t>1.VOC</w:t>
                  </w:r>
                  <w:r>
                    <w:rPr>
                      <w:rFonts w:hint="eastAsia"/>
                      <w:color w:val="auto"/>
                      <w:highlight w:val="none"/>
                      <w:vertAlign w:val="subscript"/>
                    </w:rPr>
                    <w:t>S</w:t>
                  </w:r>
                  <w:r>
                    <w:rPr>
                      <w:rFonts w:hint="eastAsia"/>
                      <w:color w:val="auto"/>
                      <w:highlight w:val="none"/>
                    </w:rPr>
                    <w:t>物料应储存于密闭的容器、包装袋、储罐、储库、料仓中。2.盛装VOC</w:t>
                  </w:r>
                  <w:r>
                    <w:rPr>
                      <w:rFonts w:hint="eastAsia"/>
                      <w:color w:val="auto"/>
                      <w:highlight w:val="none"/>
                      <w:vertAlign w:val="subscript"/>
                    </w:rPr>
                    <w:t>S</w:t>
                  </w:r>
                  <w:r>
                    <w:rPr>
                      <w:rFonts w:hint="eastAsia"/>
                      <w:color w:val="auto"/>
                      <w:highlight w:val="none"/>
                    </w:rPr>
                    <w:t>物料的容器或包装袋应存放于室内，或存放于设置有雨棚、遮阳和防渗设施的专用场地。3.盛装VOC</w:t>
                  </w:r>
                  <w:r>
                    <w:rPr>
                      <w:rFonts w:hint="eastAsia"/>
                      <w:color w:val="auto"/>
                      <w:highlight w:val="none"/>
                      <w:vertAlign w:val="subscript"/>
                    </w:rPr>
                    <w:t>S</w:t>
                  </w:r>
                  <w:r>
                    <w:rPr>
                      <w:rFonts w:hint="eastAsia"/>
                      <w:color w:val="auto"/>
                      <w:highlight w:val="none"/>
                    </w:rPr>
                    <w:t>物料的容器或包装袋在非取用状态时应加盖、封口，保持密闭。VOC</w:t>
                  </w:r>
                  <w:r>
                    <w:rPr>
                      <w:rFonts w:hint="eastAsia"/>
                      <w:color w:val="auto"/>
                      <w:highlight w:val="none"/>
                      <w:vertAlign w:val="subscript"/>
                    </w:rPr>
                    <w:t>S</w:t>
                  </w:r>
                  <w:r>
                    <w:rPr>
                      <w:rFonts w:hint="eastAsia"/>
                      <w:color w:val="auto"/>
                      <w:highlight w:val="none"/>
                    </w:rPr>
                    <w:t>物料储罐应密封良好，其中挥发性有机液体储罐应符合挥发性有机液体储罐规定。4.VOC</w:t>
                  </w:r>
                  <w:r>
                    <w:rPr>
                      <w:rFonts w:hint="eastAsia"/>
                      <w:color w:val="auto"/>
                      <w:highlight w:val="none"/>
                      <w:vertAlign w:val="subscript"/>
                    </w:rPr>
                    <w:t>S</w:t>
                  </w:r>
                  <w:r>
                    <w:rPr>
                      <w:rFonts w:hint="eastAsia"/>
                      <w:color w:val="auto"/>
                      <w:highlight w:val="none"/>
                    </w:rPr>
                    <w:t>物料储库、料仓应满足对密闭空间的要求。</w:t>
                  </w:r>
                </w:p>
              </w:tc>
              <w:tc>
                <w:tcPr>
                  <w:tcW w:w="707" w:type="pct"/>
                  <w:vMerge w:val="restart"/>
                  <w:vAlign w:val="center"/>
                </w:tcPr>
                <w:p w14:paraId="308FBB13">
                  <w:pPr>
                    <w:pStyle w:val="20"/>
                    <w:spacing w:before="31"/>
                    <w:jc w:val="both"/>
                    <w:rPr>
                      <w:rFonts w:hint="default" w:eastAsia="宋体"/>
                      <w:color w:val="auto"/>
                      <w:highlight w:val="none"/>
                      <w:lang w:val="en-US" w:eastAsia="zh-CN"/>
                    </w:rPr>
                  </w:pPr>
                  <w:r>
                    <w:rPr>
                      <w:rFonts w:hint="eastAsia"/>
                      <w:color w:val="auto"/>
                      <w:highlight w:val="none"/>
                      <w:lang w:val="en-US" w:eastAsia="zh-CN"/>
                    </w:rPr>
                    <w:t>项目塑料颗粒室内贮存，储存无挥发。所用清洗剂、脱模剂为密闭气瓶。</w:t>
                  </w:r>
                </w:p>
              </w:tc>
              <w:tc>
                <w:tcPr>
                  <w:tcW w:w="290" w:type="pct"/>
                  <w:vMerge w:val="restart"/>
                  <w:vAlign w:val="center"/>
                </w:tcPr>
                <w:p w14:paraId="60A3E94C">
                  <w:pPr>
                    <w:pStyle w:val="20"/>
                    <w:spacing w:before="31"/>
                    <w:rPr>
                      <w:color w:val="auto"/>
                      <w:highlight w:val="none"/>
                    </w:rPr>
                  </w:pPr>
                  <w:r>
                    <w:rPr>
                      <w:rFonts w:hint="eastAsia"/>
                      <w:color w:val="auto"/>
                      <w:highlight w:val="none"/>
                    </w:rPr>
                    <w:t>符合</w:t>
                  </w:r>
                </w:p>
              </w:tc>
            </w:tr>
            <w:tr w14:paraId="1947D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50" w:type="pct"/>
                  <w:vAlign w:val="center"/>
                </w:tcPr>
                <w:p w14:paraId="79E47085">
                  <w:pPr>
                    <w:pStyle w:val="20"/>
                    <w:spacing w:before="31"/>
                    <w:rPr>
                      <w:color w:val="auto"/>
                      <w:highlight w:val="none"/>
                    </w:rPr>
                  </w:pPr>
                  <w:r>
                    <w:rPr>
                      <w:rFonts w:hint="eastAsia"/>
                      <w:color w:val="auto"/>
                      <w:highlight w:val="none"/>
                    </w:rPr>
                    <w:t>VOC</w:t>
                  </w:r>
                  <w:r>
                    <w:rPr>
                      <w:rFonts w:hint="eastAsia"/>
                      <w:color w:val="auto"/>
                      <w:highlight w:val="none"/>
                      <w:vertAlign w:val="subscript"/>
                    </w:rPr>
                    <w:t>S</w:t>
                  </w:r>
                  <w:r>
                    <w:rPr>
                      <w:rFonts w:hint="eastAsia"/>
                      <w:color w:val="auto"/>
                      <w:highlight w:val="none"/>
                    </w:rPr>
                    <w:t>物料转移和输送无组织排放控制要求</w:t>
                  </w:r>
                </w:p>
              </w:tc>
              <w:tc>
                <w:tcPr>
                  <w:tcW w:w="3451" w:type="pct"/>
                  <w:vAlign w:val="center"/>
                </w:tcPr>
                <w:p w14:paraId="172B53AC">
                  <w:pPr>
                    <w:pStyle w:val="20"/>
                    <w:spacing w:before="31"/>
                    <w:jc w:val="both"/>
                    <w:rPr>
                      <w:color w:val="auto"/>
                      <w:highlight w:val="none"/>
                    </w:rPr>
                  </w:pPr>
                  <w:r>
                    <w:rPr>
                      <w:rFonts w:hint="eastAsia"/>
                      <w:color w:val="auto"/>
                      <w:highlight w:val="none"/>
                    </w:rPr>
                    <w:t>1.液态VOC</w:t>
                  </w:r>
                  <w:r>
                    <w:rPr>
                      <w:rFonts w:hint="eastAsia"/>
                      <w:color w:val="auto"/>
                      <w:highlight w:val="none"/>
                      <w:vertAlign w:val="subscript"/>
                    </w:rPr>
                    <w:t>S</w:t>
                  </w:r>
                  <w:r>
                    <w:rPr>
                      <w:rFonts w:hint="eastAsia"/>
                      <w:color w:val="auto"/>
                      <w:highlight w:val="none"/>
                    </w:rPr>
                    <w:t>物料应采用密闭管道输送。采用非管道输送方式转移液态VOC</w:t>
                  </w:r>
                  <w:r>
                    <w:rPr>
                      <w:rFonts w:hint="eastAsia"/>
                      <w:color w:val="auto"/>
                      <w:highlight w:val="none"/>
                      <w:vertAlign w:val="subscript"/>
                    </w:rPr>
                    <w:t>S</w:t>
                  </w:r>
                  <w:r>
                    <w:rPr>
                      <w:rFonts w:hint="eastAsia"/>
                      <w:color w:val="auto"/>
                      <w:highlight w:val="none"/>
                    </w:rPr>
                    <w:t>物料时，应采用密闭容器、罐车；2.粉状、粒状VOC</w:t>
                  </w:r>
                  <w:r>
                    <w:rPr>
                      <w:rFonts w:hint="eastAsia"/>
                      <w:color w:val="auto"/>
                      <w:highlight w:val="none"/>
                      <w:vertAlign w:val="subscript"/>
                    </w:rPr>
                    <w:t>S</w:t>
                  </w:r>
                  <w:r>
                    <w:rPr>
                      <w:rFonts w:hint="eastAsia"/>
                      <w:color w:val="auto"/>
                      <w:highlight w:val="none"/>
                    </w:rPr>
                    <w:t>物料应采用气力输送设备、管状带式输送机、螺旋输送机等密闭输送方式，或者采用密闭的包装袋、容器或罐车进行物料转移。</w:t>
                  </w:r>
                </w:p>
              </w:tc>
              <w:tc>
                <w:tcPr>
                  <w:tcW w:w="707" w:type="pct"/>
                  <w:vMerge w:val="continue"/>
                  <w:vAlign w:val="center"/>
                </w:tcPr>
                <w:p w14:paraId="42A6EED8">
                  <w:pPr>
                    <w:pStyle w:val="20"/>
                    <w:spacing w:before="31"/>
                    <w:jc w:val="both"/>
                    <w:rPr>
                      <w:color w:val="auto"/>
                      <w:highlight w:val="none"/>
                    </w:rPr>
                  </w:pPr>
                </w:p>
              </w:tc>
              <w:tc>
                <w:tcPr>
                  <w:tcW w:w="290" w:type="pct"/>
                  <w:vMerge w:val="continue"/>
                  <w:vAlign w:val="center"/>
                </w:tcPr>
                <w:p w14:paraId="354C48EA">
                  <w:pPr>
                    <w:pStyle w:val="20"/>
                    <w:spacing w:before="31"/>
                    <w:rPr>
                      <w:color w:val="auto"/>
                      <w:highlight w:val="none"/>
                    </w:rPr>
                  </w:pPr>
                </w:p>
              </w:tc>
            </w:tr>
            <w:tr w14:paraId="6F271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50" w:type="pct"/>
                  <w:vAlign w:val="center"/>
                </w:tcPr>
                <w:p w14:paraId="630EA5F3">
                  <w:pPr>
                    <w:pStyle w:val="20"/>
                    <w:spacing w:before="31"/>
                    <w:rPr>
                      <w:color w:val="auto"/>
                      <w:highlight w:val="none"/>
                    </w:rPr>
                  </w:pPr>
                  <w:r>
                    <w:rPr>
                      <w:rFonts w:hint="eastAsia"/>
                      <w:color w:val="auto"/>
                      <w:highlight w:val="none"/>
                    </w:rPr>
                    <w:t>工艺过程VOC</w:t>
                  </w:r>
                  <w:r>
                    <w:rPr>
                      <w:rFonts w:hint="eastAsia"/>
                      <w:color w:val="auto"/>
                      <w:highlight w:val="none"/>
                      <w:vertAlign w:val="subscript"/>
                    </w:rPr>
                    <w:t>S</w:t>
                  </w:r>
                  <w:r>
                    <w:rPr>
                      <w:rFonts w:hint="eastAsia"/>
                      <w:color w:val="auto"/>
                      <w:highlight w:val="none"/>
                    </w:rPr>
                    <w:t>无组织排放控制要求</w:t>
                  </w:r>
                </w:p>
              </w:tc>
              <w:tc>
                <w:tcPr>
                  <w:tcW w:w="3451" w:type="pct"/>
                  <w:vAlign w:val="center"/>
                </w:tcPr>
                <w:p w14:paraId="3CB14A4E">
                  <w:pPr>
                    <w:pStyle w:val="20"/>
                    <w:spacing w:before="31"/>
                    <w:jc w:val="left"/>
                    <w:rPr>
                      <w:color w:val="auto"/>
                      <w:highlight w:val="none"/>
                    </w:rPr>
                  </w:pPr>
                  <w:r>
                    <w:rPr>
                      <w:rFonts w:hint="eastAsia"/>
                      <w:color w:val="auto"/>
                      <w:highlight w:val="none"/>
                    </w:rPr>
                    <w:t>1.含VOC</w:t>
                  </w:r>
                  <w:r>
                    <w:rPr>
                      <w:rFonts w:hint="eastAsia"/>
                      <w:color w:val="auto"/>
                      <w:highlight w:val="none"/>
                      <w:vertAlign w:val="subscript"/>
                    </w:rPr>
                    <w:t>S</w:t>
                  </w:r>
                  <w:r>
                    <w:rPr>
                      <w:rFonts w:hint="eastAsia"/>
                      <w:color w:val="auto"/>
                      <w:highlight w:val="none"/>
                    </w:rPr>
                    <w:t>产品的使用过程：VOC</w:t>
                  </w:r>
                  <w:r>
                    <w:rPr>
                      <w:rFonts w:hint="eastAsia"/>
                      <w:color w:val="auto"/>
                      <w:highlight w:val="none"/>
                      <w:vertAlign w:val="subscript"/>
                    </w:rPr>
                    <w:t>S</w:t>
                  </w:r>
                  <w:r>
                    <w:rPr>
                      <w:rFonts w:hint="eastAsia"/>
                      <w:color w:val="auto"/>
                      <w:highlight w:val="none"/>
                    </w:rPr>
                    <w:t>质量占比大于等于10%的含VOC</w:t>
                  </w:r>
                  <w:r>
                    <w:rPr>
                      <w:rFonts w:hint="eastAsia"/>
                      <w:color w:val="auto"/>
                      <w:highlight w:val="none"/>
                      <w:vertAlign w:val="subscript"/>
                    </w:rPr>
                    <w:t>S</w:t>
                  </w:r>
                  <w:r>
                    <w:rPr>
                      <w:rFonts w:hint="eastAsia"/>
                      <w:color w:val="auto"/>
                      <w:highlight w:val="none"/>
                    </w:rPr>
                    <w:t>产品，其使用过程应采用密闭设备或在密闭空间内操作，废气应排至VOC</w:t>
                  </w:r>
                  <w:r>
                    <w:rPr>
                      <w:rFonts w:hint="eastAsia"/>
                      <w:color w:val="auto"/>
                      <w:highlight w:val="none"/>
                      <w:vertAlign w:val="subscript"/>
                    </w:rPr>
                    <w:t>S</w:t>
                  </w:r>
                  <w:r>
                    <w:rPr>
                      <w:rFonts w:hint="eastAsia"/>
                      <w:color w:val="auto"/>
                      <w:highlight w:val="none"/>
                    </w:rPr>
                    <w:t>废气收集处理系统；无法密闭的，应采取局部气体收集措施，废气应排至VOC</w:t>
                  </w:r>
                  <w:r>
                    <w:rPr>
                      <w:rFonts w:hint="eastAsia"/>
                      <w:color w:val="auto"/>
                      <w:highlight w:val="none"/>
                      <w:vertAlign w:val="subscript"/>
                    </w:rPr>
                    <w:t>S</w:t>
                  </w:r>
                  <w:r>
                    <w:rPr>
                      <w:rFonts w:hint="eastAsia"/>
                      <w:color w:val="auto"/>
                      <w:highlight w:val="none"/>
                    </w:rPr>
                    <w:t>废气收集处理系统。2.有机聚合物产品用于制品生产的过程：在混合/混炼、塑炼/塑化/熔化、加工成型（挤出、注射、压制、压延、发泡、纺丝等）等作业中应采用密闭设备或在密闭空间内操作，废气应排至VOC</w:t>
                  </w:r>
                  <w:r>
                    <w:rPr>
                      <w:rFonts w:hint="eastAsia"/>
                      <w:color w:val="auto"/>
                      <w:highlight w:val="none"/>
                      <w:vertAlign w:val="subscript"/>
                    </w:rPr>
                    <w:t>S</w:t>
                  </w:r>
                  <w:r>
                    <w:rPr>
                      <w:rFonts w:hint="eastAsia"/>
                      <w:color w:val="auto"/>
                      <w:highlight w:val="none"/>
                    </w:rPr>
                    <w:t>废气收集处理系统；无法密闭的，应采取局部气体收集措施，废气应排至VOC</w:t>
                  </w:r>
                  <w:r>
                    <w:rPr>
                      <w:rFonts w:hint="eastAsia"/>
                      <w:color w:val="auto"/>
                      <w:highlight w:val="none"/>
                      <w:vertAlign w:val="subscript"/>
                    </w:rPr>
                    <w:t>S</w:t>
                  </w:r>
                  <w:r>
                    <w:rPr>
                      <w:rFonts w:hint="eastAsia"/>
                      <w:color w:val="auto"/>
                      <w:highlight w:val="none"/>
                    </w:rPr>
                    <w:t>废气收集处理系统。</w:t>
                  </w:r>
                </w:p>
              </w:tc>
              <w:tc>
                <w:tcPr>
                  <w:tcW w:w="707" w:type="pct"/>
                  <w:vMerge w:val="restart"/>
                  <w:vAlign w:val="center"/>
                </w:tcPr>
                <w:p w14:paraId="56E1EDE9">
                  <w:pPr>
                    <w:pStyle w:val="20"/>
                    <w:spacing w:before="31"/>
                    <w:jc w:val="both"/>
                    <w:rPr>
                      <w:color w:val="auto"/>
                      <w:highlight w:val="none"/>
                    </w:rPr>
                  </w:pPr>
                  <w:r>
                    <w:rPr>
                      <w:rFonts w:hint="eastAsia"/>
                      <w:color w:val="auto"/>
                      <w:highlight w:val="none"/>
                    </w:rPr>
                    <w:t>项目</w:t>
                  </w:r>
                  <w:r>
                    <w:rPr>
                      <w:rFonts w:hint="eastAsia"/>
                      <w:color w:val="auto"/>
                      <w:highlight w:val="none"/>
                      <w:lang w:val="en-US" w:eastAsia="zh-CN"/>
                    </w:rPr>
                    <w:t>有机废气</w:t>
                  </w:r>
                  <w:r>
                    <w:rPr>
                      <w:rFonts w:hint="eastAsia"/>
                      <w:color w:val="auto"/>
                      <w:highlight w:val="none"/>
                    </w:rPr>
                    <w:t>设置集气罩收集处置，控制风速</w:t>
                  </w:r>
                  <w:r>
                    <w:rPr>
                      <w:rFonts w:hint="eastAsia"/>
                      <w:color w:val="auto"/>
                      <w:highlight w:val="none"/>
                      <w:lang w:val="en-US" w:eastAsia="zh-CN"/>
                    </w:rPr>
                    <w:t>0.5</w:t>
                  </w:r>
                  <w:r>
                    <w:rPr>
                      <w:rFonts w:hint="eastAsia"/>
                      <w:color w:val="auto"/>
                      <w:highlight w:val="none"/>
                    </w:rPr>
                    <w:t>m/s。NMHC初始排放速率</w:t>
                  </w:r>
                  <w:r>
                    <w:rPr>
                      <w:rFonts w:hint="eastAsia"/>
                      <w:color w:val="auto"/>
                      <w:highlight w:val="none"/>
                      <w:lang w:val="en-US" w:eastAsia="zh-CN"/>
                    </w:rPr>
                    <w:t>为0.224kg/h，</w:t>
                  </w:r>
                  <w:r>
                    <w:rPr>
                      <w:rFonts w:hint="eastAsia"/>
                      <w:color w:val="auto"/>
                      <w:highlight w:val="none"/>
                    </w:rPr>
                    <w:t>远低于2kg/h，无须设置处置效率大于80%，采用</w:t>
                  </w:r>
                  <w:r>
                    <w:rPr>
                      <w:rFonts w:hint="eastAsia"/>
                      <w:color w:val="auto"/>
                      <w:highlight w:val="none"/>
                      <w:lang w:val="en-US" w:eastAsia="zh-CN"/>
                    </w:rPr>
                    <w:t>二级</w:t>
                  </w:r>
                  <w:r>
                    <w:rPr>
                      <w:rFonts w:hint="eastAsia"/>
                      <w:color w:val="auto"/>
                      <w:highlight w:val="none"/>
                    </w:rPr>
                    <w:t>活性炭吸附装置处置可行。</w:t>
                  </w:r>
                </w:p>
              </w:tc>
              <w:tc>
                <w:tcPr>
                  <w:tcW w:w="290" w:type="pct"/>
                  <w:vMerge w:val="continue"/>
                  <w:vAlign w:val="center"/>
                </w:tcPr>
                <w:p w14:paraId="7C1EE2B6">
                  <w:pPr>
                    <w:pStyle w:val="20"/>
                    <w:spacing w:before="31"/>
                    <w:rPr>
                      <w:color w:val="auto"/>
                      <w:highlight w:val="none"/>
                    </w:rPr>
                  </w:pPr>
                </w:p>
              </w:tc>
            </w:tr>
            <w:tr w14:paraId="32A75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50" w:type="pct"/>
                  <w:vAlign w:val="center"/>
                </w:tcPr>
                <w:p w14:paraId="4CA23810">
                  <w:pPr>
                    <w:pStyle w:val="20"/>
                    <w:spacing w:before="31"/>
                    <w:rPr>
                      <w:color w:val="auto"/>
                      <w:highlight w:val="none"/>
                    </w:rPr>
                  </w:pPr>
                  <w:r>
                    <w:rPr>
                      <w:rFonts w:hint="eastAsia"/>
                      <w:color w:val="auto"/>
                      <w:highlight w:val="none"/>
                    </w:rPr>
                    <w:t>废气收集系统要求</w:t>
                  </w:r>
                </w:p>
              </w:tc>
              <w:tc>
                <w:tcPr>
                  <w:tcW w:w="3451" w:type="pct"/>
                  <w:vAlign w:val="center"/>
                </w:tcPr>
                <w:p w14:paraId="3219CC43">
                  <w:pPr>
                    <w:pStyle w:val="20"/>
                    <w:spacing w:before="31"/>
                    <w:jc w:val="left"/>
                    <w:rPr>
                      <w:color w:val="auto"/>
                      <w:highlight w:val="none"/>
                    </w:rPr>
                  </w:pPr>
                  <w:r>
                    <w:rPr>
                      <w:rFonts w:hint="eastAsia"/>
                      <w:color w:val="auto"/>
                      <w:highlight w:val="none"/>
                    </w:rPr>
                    <w:t>1.企业应考虑生产工艺、操作方式、废气性质、处理方法等因素，对VOC</w:t>
                  </w:r>
                  <w:r>
                    <w:rPr>
                      <w:rFonts w:hint="eastAsia"/>
                      <w:color w:val="auto"/>
                      <w:highlight w:val="none"/>
                      <w:vertAlign w:val="subscript"/>
                    </w:rPr>
                    <w:t>S</w:t>
                  </w:r>
                  <w:r>
                    <w:rPr>
                      <w:rFonts w:hint="eastAsia"/>
                      <w:color w:val="auto"/>
                      <w:highlight w:val="none"/>
                    </w:rPr>
                    <w:t>废气进行分类收集。2.废气收集系统排风罩（集气罩）的设置应符合GB/T 16758的规定。采用外部排风罩的，应按GB/T 16758、AQ/T 4274—2016 规定的方法测量控制风速，测量点应选取在距排风罩开口面最远处的VOC</w:t>
                  </w:r>
                  <w:r>
                    <w:rPr>
                      <w:rFonts w:hint="eastAsia"/>
                      <w:color w:val="auto"/>
                      <w:highlight w:val="none"/>
                      <w:vertAlign w:val="subscript"/>
                    </w:rPr>
                    <w:t>S</w:t>
                  </w:r>
                  <w:r>
                    <w:rPr>
                      <w:rFonts w:hint="eastAsia"/>
                      <w:color w:val="auto"/>
                      <w:highlight w:val="none"/>
                    </w:rPr>
                    <w:t>无组织排放位置，控制风速不应低于0.3m/s（行业相关规范有具体规定的，按相关规定执行）</w:t>
                  </w:r>
                </w:p>
              </w:tc>
              <w:tc>
                <w:tcPr>
                  <w:tcW w:w="707" w:type="pct"/>
                  <w:vMerge w:val="continue"/>
                  <w:vAlign w:val="center"/>
                </w:tcPr>
                <w:p w14:paraId="2E614A43">
                  <w:pPr>
                    <w:pStyle w:val="20"/>
                    <w:spacing w:before="31"/>
                    <w:jc w:val="both"/>
                    <w:rPr>
                      <w:color w:val="auto"/>
                      <w:highlight w:val="none"/>
                    </w:rPr>
                  </w:pPr>
                </w:p>
              </w:tc>
              <w:tc>
                <w:tcPr>
                  <w:tcW w:w="290" w:type="pct"/>
                  <w:vMerge w:val="continue"/>
                  <w:vAlign w:val="center"/>
                </w:tcPr>
                <w:p w14:paraId="16F2E7F6">
                  <w:pPr>
                    <w:pStyle w:val="20"/>
                    <w:spacing w:before="31"/>
                    <w:rPr>
                      <w:color w:val="auto"/>
                      <w:highlight w:val="none"/>
                    </w:rPr>
                  </w:pPr>
                </w:p>
              </w:tc>
            </w:tr>
            <w:tr w14:paraId="310B7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50" w:type="pct"/>
                  <w:vAlign w:val="center"/>
                </w:tcPr>
                <w:p w14:paraId="0F5A42A6">
                  <w:pPr>
                    <w:pStyle w:val="20"/>
                    <w:spacing w:before="31"/>
                    <w:rPr>
                      <w:color w:val="auto"/>
                      <w:highlight w:val="none"/>
                    </w:rPr>
                  </w:pPr>
                  <w:r>
                    <w:rPr>
                      <w:rFonts w:hint="eastAsia"/>
                      <w:color w:val="auto"/>
                      <w:highlight w:val="none"/>
                    </w:rPr>
                    <w:t>VOC</w:t>
                  </w:r>
                  <w:r>
                    <w:rPr>
                      <w:rFonts w:hint="eastAsia"/>
                      <w:color w:val="auto"/>
                      <w:highlight w:val="none"/>
                      <w:vertAlign w:val="subscript"/>
                    </w:rPr>
                    <w:t>S</w:t>
                  </w:r>
                  <w:r>
                    <w:rPr>
                      <w:rFonts w:hint="eastAsia"/>
                      <w:color w:val="auto"/>
                      <w:highlight w:val="none"/>
                    </w:rPr>
                    <w:t>排放控制要求</w:t>
                  </w:r>
                </w:p>
              </w:tc>
              <w:tc>
                <w:tcPr>
                  <w:tcW w:w="3451" w:type="pct"/>
                  <w:vAlign w:val="center"/>
                </w:tcPr>
                <w:p w14:paraId="16A286FE">
                  <w:pPr>
                    <w:pStyle w:val="20"/>
                    <w:spacing w:before="31"/>
                    <w:jc w:val="left"/>
                    <w:rPr>
                      <w:color w:val="auto"/>
                      <w:highlight w:val="none"/>
                    </w:rPr>
                  </w:pPr>
                  <w:r>
                    <w:rPr>
                      <w:rFonts w:hint="eastAsia"/>
                      <w:color w:val="auto"/>
                      <w:highlight w:val="none"/>
                    </w:rPr>
                    <w:t>VOC</w:t>
                  </w:r>
                  <w:r>
                    <w:rPr>
                      <w:rFonts w:hint="eastAsia"/>
                      <w:color w:val="auto"/>
                      <w:highlight w:val="none"/>
                      <w:vertAlign w:val="subscript"/>
                    </w:rPr>
                    <w:t>S</w:t>
                  </w:r>
                  <w:r>
                    <w:rPr>
                      <w:rFonts w:hint="eastAsia"/>
                      <w:color w:val="auto"/>
                      <w:highlight w:val="none"/>
                    </w:rPr>
                    <w:t>废气收集处理系统污染物排放应符合GB 16297或相关行业排放标准的规定。收集的废气中NMHC初始排放速率≥3kg/h时，应配置VOC</w:t>
                  </w:r>
                  <w:r>
                    <w:rPr>
                      <w:rFonts w:hint="eastAsia"/>
                      <w:color w:val="auto"/>
                      <w:highlight w:val="none"/>
                      <w:vertAlign w:val="subscript"/>
                    </w:rPr>
                    <w:t>S</w:t>
                  </w:r>
                  <w:r>
                    <w:rPr>
                      <w:rFonts w:hint="eastAsia"/>
                      <w:color w:val="auto"/>
                      <w:highlight w:val="none"/>
                    </w:rPr>
                    <w:t>处理设施，处理效率不应低于80%；对于重点地区，收集的废气中NMHC初始排放速率≥2kg/h时，应配置VOC</w:t>
                  </w:r>
                  <w:r>
                    <w:rPr>
                      <w:rFonts w:hint="eastAsia"/>
                      <w:color w:val="auto"/>
                      <w:highlight w:val="none"/>
                      <w:vertAlign w:val="subscript"/>
                    </w:rPr>
                    <w:t>S</w:t>
                  </w:r>
                  <w:r>
                    <w:rPr>
                      <w:rFonts w:hint="eastAsia"/>
                      <w:color w:val="auto"/>
                      <w:highlight w:val="none"/>
                    </w:rPr>
                    <w:t>处理设施，处理效率不应低于80%；采用的原辅材料符合国家有关低VOC</w:t>
                  </w:r>
                  <w:r>
                    <w:rPr>
                      <w:rFonts w:hint="eastAsia"/>
                      <w:color w:val="auto"/>
                      <w:highlight w:val="none"/>
                      <w:vertAlign w:val="subscript"/>
                    </w:rPr>
                    <w:t>S</w:t>
                  </w:r>
                  <w:r>
                    <w:rPr>
                      <w:rFonts w:hint="eastAsia"/>
                      <w:color w:val="auto"/>
                      <w:highlight w:val="none"/>
                    </w:rPr>
                    <w:t>含量产品规定的除外。排气筒高度不低于15m（因安全考虑或有特殊工艺要求的除外），具体高度以及与周围建筑物的相对高度关系应根据环境影响评价文件确定。</w:t>
                  </w:r>
                </w:p>
              </w:tc>
              <w:tc>
                <w:tcPr>
                  <w:tcW w:w="707" w:type="pct"/>
                  <w:vMerge w:val="continue"/>
                  <w:vAlign w:val="center"/>
                </w:tcPr>
                <w:p w14:paraId="66D90722">
                  <w:pPr>
                    <w:pStyle w:val="20"/>
                    <w:spacing w:before="31"/>
                    <w:jc w:val="both"/>
                    <w:rPr>
                      <w:color w:val="auto"/>
                      <w:highlight w:val="none"/>
                    </w:rPr>
                  </w:pPr>
                </w:p>
              </w:tc>
              <w:tc>
                <w:tcPr>
                  <w:tcW w:w="290" w:type="pct"/>
                  <w:vMerge w:val="continue"/>
                  <w:vAlign w:val="center"/>
                </w:tcPr>
                <w:p w14:paraId="325706C0">
                  <w:pPr>
                    <w:pStyle w:val="20"/>
                    <w:spacing w:before="31"/>
                    <w:rPr>
                      <w:color w:val="auto"/>
                      <w:highlight w:val="none"/>
                    </w:rPr>
                  </w:pPr>
                </w:p>
              </w:tc>
            </w:tr>
            <w:tr w14:paraId="23E06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50" w:type="pct"/>
                  <w:vAlign w:val="center"/>
                </w:tcPr>
                <w:p w14:paraId="6F9DB963">
                  <w:pPr>
                    <w:pStyle w:val="20"/>
                    <w:spacing w:before="31"/>
                    <w:rPr>
                      <w:color w:val="auto"/>
                      <w:highlight w:val="none"/>
                    </w:rPr>
                  </w:pPr>
                  <w:r>
                    <w:rPr>
                      <w:rFonts w:hint="eastAsia"/>
                      <w:color w:val="auto"/>
                      <w:highlight w:val="none"/>
                    </w:rPr>
                    <w:t>记录要求</w:t>
                  </w:r>
                </w:p>
              </w:tc>
              <w:tc>
                <w:tcPr>
                  <w:tcW w:w="3451" w:type="pct"/>
                  <w:vAlign w:val="center"/>
                </w:tcPr>
                <w:p w14:paraId="26D13FA1">
                  <w:pPr>
                    <w:pStyle w:val="20"/>
                    <w:spacing w:before="31"/>
                    <w:jc w:val="both"/>
                    <w:rPr>
                      <w:color w:val="auto"/>
                      <w:highlight w:val="none"/>
                    </w:rPr>
                  </w:pPr>
                  <w:r>
                    <w:rPr>
                      <w:rFonts w:hint="eastAsia"/>
                      <w:color w:val="auto"/>
                      <w:highlight w:val="none"/>
                    </w:rPr>
                    <w:t>企业应建立台账，记录废气收集系统、VOC</w:t>
                  </w:r>
                  <w:r>
                    <w:rPr>
                      <w:rFonts w:hint="eastAsia"/>
                      <w:color w:val="auto"/>
                      <w:highlight w:val="none"/>
                      <w:vertAlign w:val="subscript"/>
                    </w:rPr>
                    <w:t>S</w:t>
                  </w:r>
                  <w:r>
                    <w:rPr>
                      <w:rFonts w:hint="eastAsia"/>
                      <w:color w:val="auto"/>
                      <w:highlight w:val="none"/>
                    </w:rPr>
                    <w:t>处理设施的主要运行和维护信息，如运行时间、废气处理量、操作温度、停留时间、吸附剂再生/更换周期和更换量、催化剂更换周期和更换量、吸收液pH值等关键运行参数。台账保存期限不少于3年。</w:t>
                  </w:r>
                </w:p>
              </w:tc>
              <w:tc>
                <w:tcPr>
                  <w:tcW w:w="707" w:type="pct"/>
                  <w:vAlign w:val="center"/>
                </w:tcPr>
                <w:p w14:paraId="016EFBC6">
                  <w:pPr>
                    <w:pStyle w:val="20"/>
                    <w:spacing w:before="31"/>
                    <w:jc w:val="both"/>
                    <w:rPr>
                      <w:color w:val="auto"/>
                      <w:highlight w:val="none"/>
                    </w:rPr>
                  </w:pPr>
                  <w:r>
                    <w:rPr>
                      <w:rFonts w:hint="eastAsia"/>
                      <w:color w:val="auto"/>
                      <w:highlight w:val="none"/>
                    </w:rPr>
                    <w:t>企业应严格执行台账管理。</w:t>
                  </w:r>
                </w:p>
              </w:tc>
              <w:tc>
                <w:tcPr>
                  <w:tcW w:w="290" w:type="pct"/>
                  <w:vAlign w:val="center"/>
                </w:tcPr>
                <w:p w14:paraId="3D9737D7">
                  <w:pPr>
                    <w:pStyle w:val="20"/>
                    <w:spacing w:before="31"/>
                    <w:rPr>
                      <w:color w:val="auto"/>
                      <w:highlight w:val="none"/>
                    </w:rPr>
                  </w:pPr>
                  <w:r>
                    <w:rPr>
                      <w:rFonts w:hint="eastAsia"/>
                      <w:color w:val="auto"/>
                      <w:highlight w:val="none"/>
                    </w:rPr>
                    <w:t>符合</w:t>
                  </w:r>
                </w:p>
              </w:tc>
            </w:tr>
          </w:tbl>
          <w:p w14:paraId="04B65DB8">
            <w:pPr>
              <w:pStyle w:val="18"/>
              <w:bidi w:val="0"/>
              <w:rPr>
                <w:rFonts w:hint="eastAsia"/>
                <w:color w:val="auto"/>
                <w:highlight w:val="none"/>
                <w:lang w:val="en-US" w:eastAsia="zh-CN"/>
              </w:rPr>
            </w:pPr>
            <w:r>
              <w:rPr>
                <w:rFonts w:hint="eastAsia"/>
                <w:color w:val="auto"/>
                <w:highlight w:val="none"/>
                <w:lang w:val="en-US" w:eastAsia="zh-CN"/>
              </w:rPr>
              <w:t>由上表，扩建项目符合《挥发性有机物无组织排放控制标准》（GB37822-2019）文件要求。</w:t>
            </w:r>
          </w:p>
          <w:p w14:paraId="6BE696E7">
            <w:pPr>
              <w:pStyle w:val="2"/>
              <w:keepNext w:val="0"/>
              <w:keepLines w:val="0"/>
              <w:pageBreakBefore w:val="0"/>
              <w:widowControl w:val="0"/>
              <w:numPr>
                <w:ilvl w:val="0"/>
                <w:numId w:val="2"/>
              </w:numPr>
              <w:kinsoku/>
              <w:wordWrap/>
              <w:overflowPunct w:val="0"/>
              <w:topLinePunct w:val="0"/>
              <w:autoSpaceDE/>
              <w:autoSpaceDN/>
              <w:bidi w:val="0"/>
              <w:adjustRightInd/>
              <w:snapToGrid w:val="0"/>
              <w:ind w:left="0" w:firstLine="0"/>
              <w:textAlignment w:val="auto"/>
              <w:rPr>
                <w:rFonts w:hint="eastAsia"/>
                <w:color w:val="auto"/>
                <w:highlight w:val="none"/>
                <w:lang w:val="en-US" w:eastAsia="zh-CN"/>
              </w:rPr>
            </w:pPr>
            <w:r>
              <w:rPr>
                <w:rFonts w:hint="eastAsia"/>
                <w:color w:val="auto"/>
                <w:highlight w:val="none"/>
              </w:rPr>
              <w:t>与</w:t>
            </w:r>
            <w:r>
              <w:rPr>
                <w:rFonts w:hint="eastAsia"/>
                <w:color w:val="auto"/>
                <w:highlight w:val="none"/>
                <w:lang w:eastAsia="zh-CN"/>
              </w:rPr>
              <w:t>《</w:t>
            </w:r>
            <w:r>
              <w:rPr>
                <w:rFonts w:hint="eastAsia"/>
                <w:color w:val="auto"/>
                <w:highlight w:val="none"/>
              </w:rPr>
              <w:t>重庆市大气污染防治条例</w:t>
            </w:r>
            <w:r>
              <w:rPr>
                <w:rFonts w:hint="eastAsia"/>
                <w:color w:val="auto"/>
                <w:highlight w:val="none"/>
                <w:lang w:eastAsia="zh-CN"/>
              </w:rPr>
              <w:t>》（</w:t>
            </w:r>
            <w:r>
              <w:rPr>
                <w:rFonts w:hint="eastAsia"/>
                <w:color w:val="auto"/>
                <w:highlight w:val="none"/>
              </w:rPr>
              <w:t>2021年修订</w:t>
            </w:r>
            <w:r>
              <w:rPr>
                <w:rFonts w:hint="eastAsia"/>
                <w:color w:val="auto"/>
                <w:highlight w:val="none"/>
                <w:lang w:eastAsia="zh-CN"/>
              </w:rPr>
              <w:t>）</w:t>
            </w:r>
            <w:r>
              <w:rPr>
                <w:rFonts w:hint="eastAsia"/>
                <w:color w:val="auto"/>
                <w:highlight w:val="none"/>
              </w:rPr>
              <w:t>的符合性</w:t>
            </w:r>
            <w:r>
              <w:rPr>
                <w:rFonts w:hint="eastAsia"/>
                <w:color w:val="auto"/>
                <w:highlight w:val="none"/>
                <w:lang w:val="en-US" w:eastAsia="zh-CN"/>
              </w:rPr>
              <w:t>分析</w:t>
            </w:r>
          </w:p>
          <w:p w14:paraId="19830933">
            <w:pPr>
              <w:pStyle w:val="18"/>
              <w:rPr>
                <w:rFonts w:hint="default"/>
                <w:color w:val="auto"/>
                <w:highlight w:val="none"/>
                <w:lang w:val="en-US" w:eastAsia="zh-CN"/>
              </w:rPr>
            </w:pPr>
            <w:r>
              <w:rPr>
                <w:rFonts w:hint="eastAsia"/>
                <w:color w:val="auto"/>
                <w:highlight w:val="none"/>
                <w:lang w:val="en-US" w:eastAsia="zh-CN"/>
              </w:rPr>
              <w:t>扩建项目与《重庆市大气污染防治条例》（2021年修订）的符合性分析见</w:t>
            </w:r>
            <w:r>
              <w:rPr>
                <w:rFonts w:hint="eastAsia"/>
                <w:color w:val="auto"/>
                <w:highlight w:val="none"/>
                <w:lang w:val="en-US" w:eastAsia="zh-CN"/>
              </w:rPr>
              <w:fldChar w:fldCharType="begin"/>
            </w:r>
            <w:r>
              <w:rPr>
                <w:rFonts w:hint="eastAsia"/>
                <w:color w:val="auto"/>
                <w:highlight w:val="none"/>
                <w:lang w:val="en-US" w:eastAsia="zh-CN"/>
              </w:rPr>
              <w:instrText xml:space="preserve"> REF _Ref17564 \h </w:instrText>
            </w:r>
            <w:r>
              <w:rPr>
                <w:rFonts w:hint="eastAsia"/>
                <w:color w:val="auto"/>
                <w:highlight w:val="none"/>
                <w:lang w:val="en-US" w:eastAsia="zh-CN"/>
              </w:rPr>
              <w:fldChar w:fldCharType="separate"/>
            </w:r>
            <w:r>
              <w:rPr>
                <w:color w:val="auto"/>
                <w:highlight w:val="none"/>
              </w:rPr>
              <w:t>表1-10</w:t>
            </w:r>
            <w:r>
              <w:rPr>
                <w:rFonts w:hint="eastAsia"/>
                <w:color w:val="auto"/>
                <w:highlight w:val="none"/>
                <w:lang w:val="en-US" w:eastAsia="zh-CN"/>
              </w:rPr>
              <w:fldChar w:fldCharType="end"/>
            </w:r>
            <w:r>
              <w:rPr>
                <w:rFonts w:hint="eastAsia"/>
                <w:color w:val="auto"/>
                <w:highlight w:val="none"/>
                <w:lang w:val="en-US" w:eastAsia="zh-CN"/>
              </w:rPr>
              <w:t>。</w:t>
            </w:r>
          </w:p>
          <w:p w14:paraId="7FED468C">
            <w:pPr>
              <w:pStyle w:val="19"/>
              <w:spacing w:before="156"/>
              <w:rPr>
                <w:rFonts w:hint="eastAsia"/>
                <w:color w:val="auto"/>
                <w:highlight w:val="none"/>
              </w:rPr>
            </w:pPr>
            <w:bookmarkStart w:id="10" w:name="_Ref17564"/>
            <w:r>
              <w:rPr>
                <w:color w:val="auto"/>
                <w:highlight w:val="none"/>
              </w:rPr>
              <w:t>表1-</w:t>
            </w:r>
            <w:r>
              <w:rPr>
                <w:color w:val="auto"/>
                <w:highlight w:val="none"/>
              </w:rPr>
              <w:fldChar w:fldCharType="begin"/>
            </w:r>
            <w:r>
              <w:rPr>
                <w:color w:val="auto"/>
                <w:highlight w:val="none"/>
              </w:rPr>
              <w:instrText xml:space="preserve"> SEQ 表1- \* ARABIC </w:instrText>
            </w:r>
            <w:r>
              <w:rPr>
                <w:color w:val="auto"/>
                <w:highlight w:val="none"/>
              </w:rPr>
              <w:fldChar w:fldCharType="separate"/>
            </w:r>
            <w:r>
              <w:rPr>
                <w:color w:val="auto"/>
                <w:highlight w:val="none"/>
              </w:rPr>
              <w:t>11</w:t>
            </w:r>
            <w:r>
              <w:rPr>
                <w:color w:val="auto"/>
                <w:highlight w:val="none"/>
              </w:rPr>
              <w:fldChar w:fldCharType="end"/>
            </w:r>
            <w:bookmarkEnd w:id="10"/>
            <w:r>
              <w:rPr>
                <w:rFonts w:hint="eastAsia"/>
                <w:color w:val="auto"/>
                <w:highlight w:val="none"/>
              </w:rPr>
              <w:t xml:space="preserve"> 与《重庆市大气污染防治条例》（2021年修订）的符合性分析表</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06"/>
              <w:gridCol w:w="1078"/>
              <w:gridCol w:w="3637"/>
              <w:gridCol w:w="1249"/>
              <w:gridCol w:w="1260"/>
              <w:gridCol w:w="537"/>
            </w:tblGrid>
            <w:tr w14:paraId="446E6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trPr>
              <w:tc>
                <w:tcPr>
                  <w:tcW w:w="306" w:type="pct"/>
                  <w:vAlign w:val="center"/>
                </w:tcPr>
                <w:p w14:paraId="06DE4B04">
                  <w:pPr>
                    <w:pStyle w:val="20"/>
                    <w:spacing w:before="31"/>
                    <w:rPr>
                      <w:rFonts w:hint="eastAsia" w:eastAsia="宋体"/>
                      <w:b/>
                      <w:bCs/>
                      <w:color w:val="auto"/>
                      <w:highlight w:val="none"/>
                      <w:lang w:val="en-US" w:eastAsia="zh-CN"/>
                    </w:rPr>
                  </w:pPr>
                  <w:r>
                    <w:rPr>
                      <w:rFonts w:hint="eastAsia"/>
                      <w:b/>
                      <w:bCs/>
                      <w:color w:val="auto"/>
                      <w:highlight w:val="none"/>
                      <w:lang w:val="en-US" w:eastAsia="zh-CN"/>
                    </w:rPr>
                    <w:t>序号</w:t>
                  </w:r>
                </w:p>
              </w:tc>
              <w:tc>
                <w:tcPr>
                  <w:tcW w:w="3606" w:type="pct"/>
                  <w:gridSpan w:val="3"/>
                  <w:vAlign w:val="center"/>
                </w:tcPr>
                <w:p w14:paraId="461D646C">
                  <w:pPr>
                    <w:pStyle w:val="20"/>
                    <w:spacing w:before="31"/>
                    <w:rPr>
                      <w:rFonts w:hint="eastAsia"/>
                      <w:b/>
                      <w:bCs/>
                      <w:color w:val="auto"/>
                      <w:highlight w:val="none"/>
                    </w:rPr>
                  </w:pPr>
                  <w:r>
                    <w:rPr>
                      <w:rFonts w:hint="eastAsia"/>
                      <w:b/>
                      <w:bCs/>
                      <w:color w:val="auto"/>
                      <w:highlight w:val="none"/>
                    </w:rPr>
                    <w:t>与</w:t>
                  </w:r>
                  <w:r>
                    <w:rPr>
                      <w:b/>
                      <w:bCs/>
                      <w:color w:val="auto"/>
                      <w:highlight w:val="none"/>
                    </w:rPr>
                    <w:t>项目相关要求</w:t>
                  </w:r>
                </w:p>
              </w:tc>
              <w:tc>
                <w:tcPr>
                  <w:tcW w:w="762" w:type="pct"/>
                  <w:vAlign w:val="center"/>
                </w:tcPr>
                <w:p w14:paraId="01F39BEC">
                  <w:pPr>
                    <w:pStyle w:val="20"/>
                    <w:spacing w:before="31"/>
                    <w:rPr>
                      <w:rFonts w:hint="eastAsia" w:eastAsia="宋体"/>
                      <w:b/>
                      <w:bCs/>
                      <w:color w:val="auto"/>
                      <w:highlight w:val="none"/>
                      <w:lang w:val="en-US" w:eastAsia="zh-CN"/>
                    </w:rPr>
                  </w:pPr>
                  <w:r>
                    <w:rPr>
                      <w:rFonts w:hint="eastAsia"/>
                      <w:b/>
                      <w:bCs/>
                      <w:color w:val="auto"/>
                      <w:highlight w:val="none"/>
                      <w:lang w:val="en-US" w:eastAsia="zh-CN"/>
                    </w:rPr>
                    <w:t>本项目</w:t>
                  </w:r>
                </w:p>
              </w:tc>
              <w:tc>
                <w:tcPr>
                  <w:tcW w:w="324" w:type="pct"/>
                  <w:vAlign w:val="center"/>
                </w:tcPr>
                <w:p w14:paraId="5C818943">
                  <w:pPr>
                    <w:pStyle w:val="20"/>
                    <w:spacing w:before="31"/>
                    <w:rPr>
                      <w:rFonts w:hint="default"/>
                      <w:b/>
                      <w:bCs/>
                      <w:color w:val="auto"/>
                      <w:highlight w:val="none"/>
                      <w:lang w:val="en-US" w:eastAsia="zh-CN"/>
                    </w:rPr>
                  </w:pPr>
                  <w:r>
                    <w:rPr>
                      <w:rFonts w:hint="eastAsia"/>
                      <w:b/>
                      <w:bCs/>
                      <w:color w:val="auto"/>
                      <w:highlight w:val="none"/>
                      <w:lang w:val="en-US" w:eastAsia="zh-CN"/>
                    </w:rPr>
                    <w:t>符合性</w:t>
                  </w:r>
                </w:p>
              </w:tc>
            </w:tr>
            <w:tr w14:paraId="140AA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306" w:type="pct"/>
                  <w:vAlign w:val="center"/>
                </w:tcPr>
                <w:p w14:paraId="579CA3B7">
                  <w:pPr>
                    <w:pStyle w:val="20"/>
                    <w:spacing w:before="31"/>
                    <w:rPr>
                      <w:rFonts w:hint="default" w:eastAsia="宋体"/>
                      <w:color w:val="auto"/>
                      <w:highlight w:val="none"/>
                      <w:lang w:val="en-US" w:eastAsia="zh-CN"/>
                    </w:rPr>
                  </w:pPr>
                  <w:r>
                    <w:rPr>
                      <w:rFonts w:hint="eastAsia"/>
                      <w:color w:val="auto"/>
                      <w:highlight w:val="none"/>
                      <w:lang w:val="en-US" w:eastAsia="zh-CN"/>
                    </w:rPr>
                    <w:t>1</w:t>
                  </w:r>
                </w:p>
              </w:tc>
              <w:tc>
                <w:tcPr>
                  <w:tcW w:w="3606" w:type="pct"/>
                  <w:gridSpan w:val="3"/>
                  <w:vAlign w:val="center"/>
                </w:tcPr>
                <w:p w14:paraId="2F15FDDE">
                  <w:pPr>
                    <w:pStyle w:val="20"/>
                    <w:spacing w:before="31"/>
                    <w:jc w:val="both"/>
                    <w:rPr>
                      <w:color w:val="auto"/>
                      <w:highlight w:val="none"/>
                    </w:rPr>
                  </w:pPr>
                  <w:r>
                    <w:rPr>
                      <w:color w:val="auto"/>
                      <w:szCs w:val="21"/>
                      <w:highlight w:val="none"/>
                    </w:rPr>
                    <w:t>新建排放大气污染物的工业项目，除必须单独布局以外，应当按照相关规定进入相应工业园区。划定大气污染防治重点控制区域和一般控制区域。在重点控制区域内禁止新建和扩建燃煤火电、化工、水泥、采（碎）石场、烧结砖瓦窑以及燃煤锅炉等项目；在一般控制区域限制投资建设大气污染严重的项目。</w:t>
                  </w:r>
                </w:p>
              </w:tc>
              <w:tc>
                <w:tcPr>
                  <w:tcW w:w="762" w:type="pct"/>
                  <w:vAlign w:val="center"/>
                </w:tcPr>
                <w:p w14:paraId="21A96896">
                  <w:pPr>
                    <w:pStyle w:val="20"/>
                    <w:spacing w:before="31"/>
                    <w:jc w:val="both"/>
                    <w:rPr>
                      <w:rFonts w:hint="default" w:eastAsia="宋体"/>
                      <w:color w:val="auto"/>
                      <w:szCs w:val="21"/>
                      <w:highlight w:val="none"/>
                      <w:lang w:val="en-US" w:eastAsia="zh-CN"/>
                    </w:rPr>
                  </w:pPr>
                  <w:r>
                    <w:rPr>
                      <w:rFonts w:hint="eastAsia"/>
                      <w:color w:val="auto"/>
                      <w:szCs w:val="21"/>
                      <w:highlight w:val="none"/>
                      <w:lang w:val="en-US" w:eastAsia="zh-CN"/>
                    </w:rPr>
                    <w:t>扩建项目位于西彭工业园区。</w:t>
                  </w:r>
                </w:p>
              </w:tc>
              <w:tc>
                <w:tcPr>
                  <w:tcW w:w="324" w:type="pct"/>
                  <w:vAlign w:val="center"/>
                </w:tcPr>
                <w:p w14:paraId="3B1E1AF3">
                  <w:pPr>
                    <w:pStyle w:val="20"/>
                    <w:spacing w:before="31"/>
                    <w:jc w:val="center"/>
                    <w:rPr>
                      <w:rFonts w:hint="eastAsia" w:eastAsia="宋体"/>
                      <w:color w:val="auto"/>
                      <w:szCs w:val="21"/>
                      <w:highlight w:val="none"/>
                      <w:lang w:val="en-US" w:eastAsia="zh-CN"/>
                    </w:rPr>
                  </w:pPr>
                  <w:r>
                    <w:rPr>
                      <w:rFonts w:hint="eastAsia"/>
                      <w:color w:val="auto"/>
                      <w:szCs w:val="21"/>
                      <w:highlight w:val="none"/>
                      <w:lang w:val="en-US" w:eastAsia="zh-CN"/>
                    </w:rPr>
                    <w:t>符合</w:t>
                  </w:r>
                </w:p>
              </w:tc>
            </w:tr>
            <w:tr w14:paraId="668E3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306" w:type="pct"/>
                  <w:vAlign w:val="center"/>
                </w:tcPr>
                <w:p w14:paraId="2ADD61DB">
                  <w:pPr>
                    <w:pStyle w:val="20"/>
                    <w:spacing w:before="31"/>
                    <w:rPr>
                      <w:rFonts w:hint="eastAsia" w:eastAsia="宋体"/>
                      <w:color w:val="auto"/>
                      <w:highlight w:val="none"/>
                      <w:lang w:eastAsia="zh-CN"/>
                    </w:rPr>
                  </w:pPr>
                  <w:r>
                    <w:rPr>
                      <w:rFonts w:hint="eastAsia"/>
                      <w:color w:val="auto"/>
                      <w:highlight w:val="none"/>
                      <w:lang w:val="en-US" w:eastAsia="zh-CN"/>
                    </w:rPr>
                    <w:t>2</w:t>
                  </w:r>
                </w:p>
              </w:tc>
              <w:tc>
                <w:tcPr>
                  <w:tcW w:w="3606" w:type="pct"/>
                  <w:gridSpan w:val="3"/>
                  <w:vAlign w:val="center"/>
                </w:tcPr>
                <w:p w14:paraId="5F1C4AFB">
                  <w:pPr>
                    <w:pStyle w:val="20"/>
                    <w:spacing w:before="31"/>
                    <w:jc w:val="both"/>
                    <w:rPr>
                      <w:color w:val="auto"/>
                      <w:highlight w:val="none"/>
                    </w:rPr>
                  </w:pPr>
                  <w:r>
                    <w:rPr>
                      <w:rFonts w:hint="eastAsia"/>
                      <w:color w:val="auto"/>
                      <w:highlight w:val="none"/>
                    </w:rPr>
                    <w:t>推广使用天然气、页岩气、液化石油气、电、太阳能、风能等清洁能源。电力调度应当优先安排清洁能源发电上网，逐步减少煤炭等化石燃料使用量。钢铁、火电、水泥、化工、石化、有色金属冶炼等重点行业应当按照规定开展强制性清洁生产审核，减少污染物的产生。</w:t>
                  </w:r>
                </w:p>
              </w:tc>
              <w:tc>
                <w:tcPr>
                  <w:tcW w:w="762" w:type="pct"/>
                  <w:vMerge w:val="restart"/>
                  <w:vAlign w:val="center"/>
                </w:tcPr>
                <w:p w14:paraId="5EE6EE98">
                  <w:pPr>
                    <w:pStyle w:val="20"/>
                    <w:spacing w:before="31"/>
                    <w:jc w:val="both"/>
                    <w:rPr>
                      <w:rFonts w:hint="default" w:eastAsia="宋体"/>
                      <w:color w:val="auto"/>
                      <w:highlight w:val="none"/>
                      <w:lang w:val="en-US" w:eastAsia="zh-CN"/>
                    </w:rPr>
                  </w:pPr>
                  <w:r>
                    <w:rPr>
                      <w:rFonts w:hint="eastAsia"/>
                      <w:color w:val="auto"/>
                      <w:highlight w:val="none"/>
                      <w:lang w:val="en-US" w:eastAsia="zh-CN"/>
                    </w:rPr>
                    <w:t>扩建项目使用天然气和电作为能源。不使用燃煤，不使用高污染燃料。</w:t>
                  </w:r>
                </w:p>
              </w:tc>
              <w:tc>
                <w:tcPr>
                  <w:tcW w:w="324" w:type="pct"/>
                  <w:vAlign w:val="center"/>
                </w:tcPr>
                <w:p w14:paraId="26B1C348">
                  <w:pPr>
                    <w:pStyle w:val="20"/>
                    <w:spacing w:before="31"/>
                    <w:jc w:val="center"/>
                    <w:rPr>
                      <w:rFonts w:hint="eastAsia"/>
                      <w:color w:val="auto"/>
                      <w:highlight w:val="none"/>
                    </w:rPr>
                  </w:pPr>
                  <w:r>
                    <w:rPr>
                      <w:rFonts w:hint="eastAsia"/>
                      <w:color w:val="auto"/>
                      <w:szCs w:val="21"/>
                      <w:highlight w:val="none"/>
                      <w:lang w:val="en-US" w:eastAsia="zh-CN"/>
                    </w:rPr>
                    <w:t>符合</w:t>
                  </w:r>
                </w:p>
              </w:tc>
            </w:tr>
            <w:tr w14:paraId="49C1B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306" w:type="pct"/>
                  <w:vAlign w:val="center"/>
                </w:tcPr>
                <w:p w14:paraId="4E16C417">
                  <w:pPr>
                    <w:pStyle w:val="20"/>
                    <w:spacing w:before="31"/>
                    <w:rPr>
                      <w:rFonts w:hint="eastAsia" w:eastAsia="宋体"/>
                      <w:color w:val="auto"/>
                      <w:highlight w:val="none"/>
                      <w:lang w:eastAsia="zh-CN"/>
                    </w:rPr>
                  </w:pPr>
                  <w:r>
                    <w:rPr>
                      <w:rFonts w:hint="eastAsia"/>
                      <w:color w:val="auto"/>
                      <w:highlight w:val="none"/>
                      <w:lang w:val="en-US" w:eastAsia="zh-CN"/>
                    </w:rPr>
                    <w:t>2</w:t>
                  </w:r>
                </w:p>
              </w:tc>
              <w:tc>
                <w:tcPr>
                  <w:tcW w:w="3606" w:type="pct"/>
                  <w:gridSpan w:val="3"/>
                  <w:vAlign w:val="center"/>
                </w:tcPr>
                <w:p w14:paraId="28105190">
                  <w:pPr>
                    <w:pStyle w:val="20"/>
                    <w:spacing w:before="31"/>
                    <w:jc w:val="left"/>
                    <w:rPr>
                      <w:color w:val="auto"/>
                      <w:highlight w:val="none"/>
                    </w:rPr>
                  </w:pPr>
                  <w:r>
                    <w:rPr>
                      <w:rFonts w:hint="eastAsia"/>
                      <w:color w:val="auto"/>
                      <w:highlight w:val="none"/>
                    </w:rPr>
                    <w:t>对燃煤火电企业超低排放改造、烧结砖瓦窑关闭、燃煤锅炉清洁能源改造、污染企业环保搬迁等予以鼓励和支持。</w:t>
                  </w:r>
                </w:p>
              </w:tc>
              <w:tc>
                <w:tcPr>
                  <w:tcW w:w="762" w:type="pct"/>
                  <w:vMerge w:val="continue"/>
                  <w:vAlign w:val="center"/>
                </w:tcPr>
                <w:p w14:paraId="7AAE3021">
                  <w:pPr>
                    <w:pStyle w:val="20"/>
                    <w:spacing w:before="31"/>
                    <w:jc w:val="left"/>
                    <w:rPr>
                      <w:rFonts w:hint="default" w:eastAsia="宋体"/>
                      <w:color w:val="auto"/>
                      <w:highlight w:val="none"/>
                      <w:lang w:val="en-US" w:eastAsia="zh-CN"/>
                    </w:rPr>
                  </w:pPr>
                </w:p>
              </w:tc>
              <w:tc>
                <w:tcPr>
                  <w:tcW w:w="324" w:type="pct"/>
                  <w:vAlign w:val="center"/>
                </w:tcPr>
                <w:p w14:paraId="1D7744BD">
                  <w:pPr>
                    <w:pStyle w:val="20"/>
                    <w:spacing w:before="31"/>
                    <w:jc w:val="center"/>
                    <w:rPr>
                      <w:rFonts w:hint="eastAsia"/>
                      <w:color w:val="auto"/>
                      <w:highlight w:val="none"/>
                    </w:rPr>
                  </w:pPr>
                  <w:r>
                    <w:rPr>
                      <w:rFonts w:hint="eastAsia"/>
                      <w:color w:val="auto"/>
                      <w:szCs w:val="21"/>
                      <w:highlight w:val="none"/>
                      <w:lang w:val="en-US" w:eastAsia="zh-CN"/>
                    </w:rPr>
                    <w:t>符合</w:t>
                  </w:r>
                </w:p>
              </w:tc>
            </w:tr>
            <w:tr w14:paraId="4A0F0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306" w:type="pct"/>
                  <w:vAlign w:val="center"/>
                </w:tcPr>
                <w:p w14:paraId="079D6E19">
                  <w:pPr>
                    <w:pStyle w:val="20"/>
                    <w:spacing w:before="31"/>
                    <w:rPr>
                      <w:color w:val="auto"/>
                      <w:highlight w:val="none"/>
                    </w:rPr>
                  </w:pPr>
                  <w:r>
                    <w:rPr>
                      <w:rFonts w:hint="eastAsia"/>
                      <w:color w:val="auto"/>
                      <w:highlight w:val="none"/>
                      <w:lang w:val="en-US" w:eastAsia="zh-CN"/>
                    </w:rPr>
                    <w:t>4</w:t>
                  </w:r>
                </w:p>
              </w:tc>
              <w:tc>
                <w:tcPr>
                  <w:tcW w:w="3606" w:type="pct"/>
                  <w:gridSpan w:val="3"/>
                  <w:vAlign w:val="center"/>
                </w:tcPr>
                <w:p w14:paraId="57E80972">
                  <w:pPr>
                    <w:pStyle w:val="20"/>
                    <w:spacing w:before="31"/>
                    <w:jc w:val="left"/>
                    <w:rPr>
                      <w:color w:val="auto"/>
                      <w:highlight w:val="none"/>
                    </w:rPr>
                  </w:pPr>
                  <w:r>
                    <w:rPr>
                      <w:rFonts w:hint="eastAsia"/>
                      <w:color w:val="auto"/>
                      <w:highlight w:val="none"/>
                    </w:rPr>
                    <w:t>在划定的高污染燃料禁燃区内，禁止销售和使用原煤、煤矸石、重油、渣油、石油焦、木柴、秸秆等国家和本市规定的高污染燃料。现有使用高污染燃料的设施应当限期淘汰或者改用天然气、页岩气、液化石油气、电、风能等清洁能源。</w:t>
                  </w:r>
                </w:p>
              </w:tc>
              <w:tc>
                <w:tcPr>
                  <w:tcW w:w="762" w:type="pct"/>
                  <w:vMerge w:val="continue"/>
                  <w:vAlign w:val="center"/>
                </w:tcPr>
                <w:p w14:paraId="05E0C28B">
                  <w:pPr>
                    <w:pStyle w:val="20"/>
                    <w:spacing w:before="31"/>
                    <w:jc w:val="left"/>
                    <w:rPr>
                      <w:rFonts w:hint="default" w:eastAsia="宋体"/>
                      <w:color w:val="auto"/>
                      <w:highlight w:val="none"/>
                      <w:lang w:val="en-US" w:eastAsia="zh-CN"/>
                    </w:rPr>
                  </w:pPr>
                </w:p>
              </w:tc>
              <w:tc>
                <w:tcPr>
                  <w:tcW w:w="324" w:type="pct"/>
                  <w:vAlign w:val="center"/>
                </w:tcPr>
                <w:p w14:paraId="25C812E2">
                  <w:pPr>
                    <w:pStyle w:val="20"/>
                    <w:spacing w:before="31"/>
                    <w:jc w:val="center"/>
                    <w:rPr>
                      <w:rFonts w:hint="eastAsia"/>
                      <w:color w:val="auto"/>
                      <w:highlight w:val="none"/>
                    </w:rPr>
                  </w:pPr>
                  <w:r>
                    <w:rPr>
                      <w:rFonts w:hint="eastAsia"/>
                      <w:color w:val="auto"/>
                      <w:szCs w:val="21"/>
                      <w:highlight w:val="none"/>
                      <w:lang w:val="en-US" w:eastAsia="zh-CN"/>
                    </w:rPr>
                    <w:t>符合</w:t>
                  </w:r>
                </w:p>
              </w:tc>
            </w:tr>
            <w:tr w14:paraId="29F6F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306" w:type="pct"/>
                  <w:vAlign w:val="center"/>
                </w:tcPr>
                <w:p w14:paraId="0547A7F9">
                  <w:pPr>
                    <w:pStyle w:val="20"/>
                    <w:spacing w:before="31"/>
                    <w:rPr>
                      <w:rFonts w:hint="eastAsia" w:eastAsia="宋体"/>
                      <w:color w:val="auto"/>
                      <w:highlight w:val="none"/>
                      <w:lang w:val="en-US" w:eastAsia="zh-CN"/>
                    </w:rPr>
                  </w:pPr>
                  <w:r>
                    <w:rPr>
                      <w:rFonts w:hint="eastAsia"/>
                      <w:color w:val="auto"/>
                      <w:highlight w:val="none"/>
                      <w:lang w:val="en-US" w:eastAsia="zh-CN"/>
                    </w:rPr>
                    <w:t>5</w:t>
                  </w:r>
                </w:p>
              </w:tc>
              <w:tc>
                <w:tcPr>
                  <w:tcW w:w="3606" w:type="pct"/>
                  <w:gridSpan w:val="3"/>
                  <w:vAlign w:val="center"/>
                </w:tcPr>
                <w:p w14:paraId="1536541E">
                  <w:pPr>
                    <w:pStyle w:val="20"/>
                    <w:spacing w:before="31"/>
                    <w:jc w:val="left"/>
                    <w:rPr>
                      <w:rFonts w:hint="eastAsia"/>
                      <w:color w:val="auto"/>
                      <w:highlight w:val="none"/>
                    </w:rPr>
                  </w:pPr>
                  <w:r>
                    <w:rPr>
                      <w:rFonts w:hint="eastAsia"/>
                      <w:color w:val="auto"/>
                      <w:highlight w:val="none"/>
                    </w:rPr>
                    <w:t>实施燃煤消耗总量控制。煤炭清洁利用，提高煤炭洗选比例。新建煤矿应当同步建设配套的煤炭洗选设施，使煤炭质量达到规定标准；已建成的所采煤炭属于高硫分、高灰分的煤矿，应当限期建成配套的煤炭洗选设施</w:t>
                  </w:r>
                  <w:r>
                    <w:rPr>
                      <w:rFonts w:hint="eastAsia"/>
                      <w:color w:val="auto"/>
                      <w:highlight w:val="none"/>
                      <w:lang w:eastAsia="zh-CN"/>
                    </w:rPr>
                    <w:t>。</w:t>
                  </w:r>
                  <w:r>
                    <w:rPr>
                      <w:rFonts w:hint="eastAsia"/>
                      <w:color w:val="auto"/>
                      <w:highlight w:val="none"/>
                    </w:rPr>
                    <w:t>禁止进口、销售、燃用不符合质量标准要求的煤炭。</w:t>
                  </w:r>
                </w:p>
              </w:tc>
              <w:tc>
                <w:tcPr>
                  <w:tcW w:w="762" w:type="pct"/>
                  <w:vMerge w:val="continue"/>
                  <w:vAlign w:val="center"/>
                </w:tcPr>
                <w:p w14:paraId="307CBF0F">
                  <w:pPr>
                    <w:pStyle w:val="20"/>
                    <w:spacing w:before="31"/>
                    <w:jc w:val="left"/>
                    <w:rPr>
                      <w:color w:val="auto"/>
                      <w:highlight w:val="none"/>
                    </w:rPr>
                  </w:pPr>
                </w:p>
              </w:tc>
              <w:tc>
                <w:tcPr>
                  <w:tcW w:w="324" w:type="pct"/>
                  <w:vAlign w:val="center"/>
                </w:tcPr>
                <w:p w14:paraId="6CE7DCC4">
                  <w:pPr>
                    <w:pStyle w:val="20"/>
                    <w:spacing w:before="31"/>
                    <w:jc w:val="center"/>
                    <w:rPr>
                      <w:color w:val="auto"/>
                      <w:highlight w:val="none"/>
                    </w:rPr>
                  </w:pPr>
                  <w:r>
                    <w:rPr>
                      <w:rFonts w:hint="eastAsia"/>
                      <w:color w:val="auto"/>
                      <w:szCs w:val="21"/>
                      <w:highlight w:val="none"/>
                      <w:lang w:val="en-US" w:eastAsia="zh-CN"/>
                    </w:rPr>
                    <w:t>符合</w:t>
                  </w:r>
                </w:p>
              </w:tc>
            </w:tr>
            <w:tr w14:paraId="44609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306" w:type="pct"/>
                  <w:vAlign w:val="center"/>
                </w:tcPr>
                <w:p w14:paraId="3DFFB26C">
                  <w:pPr>
                    <w:pStyle w:val="20"/>
                    <w:spacing w:before="31"/>
                    <w:rPr>
                      <w:rFonts w:hint="eastAsia" w:eastAsia="宋体"/>
                      <w:color w:val="auto"/>
                      <w:highlight w:val="none"/>
                      <w:lang w:val="en-US" w:eastAsia="zh-CN"/>
                    </w:rPr>
                  </w:pPr>
                  <w:r>
                    <w:rPr>
                      <w:rFonts w:hint="eastAsia"/>
                      <w:color w:val="auto"/>
                      <w:highlight w:val="none"/>
                      <w:lang w:val="en-US" w:eastAsia="zh-CN"/>
                    </w:rPr>
                    <w:t>6</w:t>
                  </w:r>
                </w:p>
              </w:tc>
              <w:tc>
                <w:tcPr>
                  <w:tcW w:w="652" w:type="pct"/>
                  <w:vMerge w:val="restart"/>
                  <w:vAlign w:val="center"/>
                </w:tcPr>
                <w:p w14:paraId="03A3274C">
                  <w:pPr>
                    <w:pStyle w:val="20"/>
                    <w:spacing w:before="31"/>
                    <w:jc w:val="both"/>
                    <w:rPr>
                      <w:color w:val="auto"/>
                      <w:highlight w:val="none"/>
                    </w:rPr>
                  </w:pPr>
                  <w:r>
                    <w:rPr>
                      <w:rFonts w:hint="eastAsia"/>
                      <w:color w:val="auto"/>
                      <w:highlight w:val="none"/>
                    </w:rPr>
                    <w:t>在生产、运输、储存过程中，可能产生二氧化硫、氮氧化物、烟尘、粉尘、恶臭气体，以及含重金属、持久性有机污染物等大气污染物的企业事业单位和其他生产经营者，应当遵守下列规定，采取配置相关污染防治设施等措施予以控制，达到国家和本市规定的大气排放标准，防止污染周边环境：</w:t>
                  </w:r>
                </w:p>
              </w:tc>
              <w:tc>
                <w:tcPr>
                  <w:tcW w:w="2953" w:type="pct"/>
                  <w:gridSpan w:val="2"/>
                  <w:vAlign w:val="center"/>
                </w:tcPr>
                <w:p w14:paraId="46B34CBF">
                  <w:pPr>
                    <w:pStyle w:val="20"/>
                    <w:spacing w:before="31"/>
                    <w:jc w:val="both"/>
                    <w:rPr>
                      <w:rFonts w:hint="eastAsia"/>
                      <w:color w:val="auto"/>
                      <w:highlight w:val="none"/>
                    </w:rPr>
                  </w:pPr>
                  <w:r>
                    <w:rPr>
                      <w:rFonts w:hint="eastAsia"/>
                      <w:color w:val="auto"/>
                      <w:highlight w:val="none"/>
                    </w:rPr>
                    <w:t>火电、水泥工业企业以及燃煤锅炉使用单位应当按照规定配套建设脱硫、脱硝、除尘等污染防治设施，采用先进的大气污染物协同控制技术和装备。</w:t>
                  </w:r>
                </w:p>
              </w:tc>
              <w:tc>
                <w:tcPr>
                  <w:tcW w:w="762" w:type="pct"/>
                  <w:vAlign w:val="center"/>
                </w:tcPr>
                <w:p w14:paraId="09ECE86B">
                  <w:pPr>
                    <w:pStyle w:val="20"/>
                    <w:spacing w:before="31"/>
                    <w:jc w:val="both"/>
                    <w:rPr>
                      <w:rFonts w:hint="default" w:eastAsia="宋体"/>
                      <w:color w:val="auto"/>
                      <w:highlight w:val="none"/>
                      <w:lang w:val="en-US" w:eastAsia="zh-CN"/>
                    </w:rPr>
                  </w:pPr>
                  <w:r>
                    <w:rPr>
                      <w:rFonts w:hint="eastAsia"/>
                      <w:color w:val="auto"/>
                      <w:highlight w:val="none"/>
                      <w:lang w:val="en-US" w:eastAsia="zh-CN"/>
                    </w:rPr>
                    <w:t>扩建项目不使用燃煤锅炉。</w:t>
                  </w:r>
                </w:p>
              </w:tc>
              <w:tc>
                <w:tcPr>
                  <w:tcW w:w="324" w:type="pct"/>
                  <w:vAlign w:val="center"/>
                </w:tcPr>
                <w:p w14:paraId="7380F137">
                  <w:pPr>
                    <w:pStyle w:val="20"/>
                    <w:spacing w:before="31"/>
                    <w:jc w:val="center"/>
                    <w:rPr>
                      <w:color w:val="auto"/>
                      <w:highlight w:val="none"/>
                    </w:rPr>
                  </w:pPr>
                  <w:r>
                    <w:rPr>
                      <w:rFonts w:hint="eastAsia"/>
                      <w:color w:val="auto"/>
                      <w:szCs w:val="21"/>
                      <w:highlight w:val="none"/>
                      <w:lang w:val="en-US" w:eastAsia="zh-CN"/>
                    </w:rPr>
                    <w:t>符合</w:t>
                  </w:r>
                </w:p>
              </w:tc>
            </w:tr>
            <w:tr w14:paraId="5F585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306" w:type="pct"/>
                  <w:vAlign w:val="center"/>
                </w:tcPr>
                <w:p w14:paraId="5C0F99E0">
                  <w:pPr>
                    <w:pStyle w:val="20"/>
                    <w:spacing w:before="31"/>
                    <w:rPr>
                      <w:rFonts w:hint="eastAsia" w:eastAsia="宋体"/>
                      <w:color w:val="auto"/>
                      <w:highlight w:val="none"/>
                      <w:lang w:val="en-US" w:eastAsia="zh-CN"/>
                    </w:rPr>
                  </w:pPr>
                  <w:r>
                    <w:rPr>
                      <w:rFonts w:hint="eastAsia"/>
                      <w:color w:val="auto"/>
                      <w:highlight w:val="none"/>
                      <w:lang w:val="en-US" w:eastAsia="zh-CN"/>
                    </w:rPr>
                    <w:t>7</w:t>
                  </w:r>
                </w:p>
              </w:tc>
              <w:tc>
                <w:tcPr>
                  <w:tcW w:w="652" w:type="pct"/>
                  <w:vMerge w:val="continue"/>
                  <w:vAlign w:val="center"/>
                </w:tcPr>
                <w:p w14:paraId="08B9A10D">
                  <w:pPr>
                    <w:pStyle w:val="20"/>
                    <w:spacing w:before="31"/>
                    <w:jc w:val="both"/>
                    <w:rPr>
                      <w:rFonts w:hint="eastAsia"/>
                      <w:color w:val="auto"/>
                      <w:highlight w:val="none"/>
                    </w:rPr>
                  </w:pPr>
                </w:p>
              </w:tc>
              <w:tc>
                <w:tcPr>
                  <w:tcW w:w="2199" w:type="pct"/>
                  <w:vAlign w:val="center"/>
                </w:tcPr>
                <w:p w14:paraId="7846981A">
                  <w:pPr>
                    <w:pStyle w:val="20"/>
                    <w:spacing w:before="31"/>
                    <w:jc w:val="both"/>
                    <w:rPr>
                      <w:rFonts w:hint="eastAsia"/>
                      <w:color w:val="auto"/>
                      <w:highlight w:val="none"/>
                    </w:rPr>
                  </w:pPr>
                  <w:r>
                    <w:rPr>
                      <w:rFonts w:hint="eastAsia"/>
                      <w:color w:val="auto"/>
                      <w:highlight w:val="none"/>
                    </w:rPr>
                    <w:t>有机化工、制药、电子设备制造、包装印刷、家具制造及其他产生含挥发性有机物废气的生产和服务活动，应当在密闭空间或者设备中进行，并按照规定安装、使用污染防治设施，保持正常运行；无法密闭的，应当采取措施减少废气排放。</w:t>
                  </w:r>
                </w:p>
              </w:tc>
              <w:tc>
                <w:tcPr>
                  <w:tcW w:w="754" w:type="pct"/>
                  <w:vAlign w:val="center"/>
                </w:tcPr>
                <w:p w14:paraId="7F9E1824">
                  <w:pPr>
                    <w:pStyle w:val="20"/>
                    <w:spacing w:before="31"/>
                    <w:jc w:val="both"/>
                    <w:rPr>
                      <w:rFonts w:hint="eastAsia"/>
                      <w:color w:val="auto"/>
                      <w:highlight w:val="none"/>
                    </w:rPr>
                  </w:pPr>
                  <w:r>
                    <w:rPr>
                      <w:rFonts w:hint="eastAsia"/>
                      <w:color w:val="auto"/>
                      <w:highlight w:val="none"/>
                    </w:rPr>
                    <w:t>应当使用低挥发性有机物含量的涂料。</w:t>
                  </w:r>
                </w:p>
              </w:tc>
              <w:tc>
                <w:tcPr>
                  <w:tcW w:w="762" w:type="pct"/>
                  <w:vMerge w:val="restart"/>
                  <w:vAlign w:val="center"/>
                </w:tcPr>
                <w:p w14:paraId="40DDBF23">
                  <w:pPr>
                    <w:pStyle w:val="20"/>
                    <w:spacing w:before="31"/>
                    <w:jc w:val="both"/>
                    <w:rPr>
                      <w:rFonts w:hint="default" w:eastAsia="宋体"/>
                      <w:color w:val="auto"/>
                      <w:highlight w:val="none"/>
                      <w:lang w:val="en-US" w:eastAsia="zh-CN"/>
                    </w:rPr>
                  </w:pPr>
                  <w:r>
                    <w:rPr>
                      <w:rFonts w:hint="eastAsia"/>
                      <w:color w:val="auto"/>
                      <w:highlight w:val="none"/>
                      <w:lang w:val="en-US" w:eastAsia="zh-CN"/>
                    </w:rPr>
                    <w:t>扩建项目注塑废气收集处置后排放。按规定建立台账。</w:t>
                  </w:r>
                </w:p>
              </w:tc>
              <w:tc>
                <w:tcPr>
                  <w:tcW w:w="324" w:type="pct"/>
                  <w:vAlign w:val="center"/>
                </w:tcPr>
                <w:p w14:paraId="3A8E5F75">
                  <w:pPr>
                    <w:pStyle w:val="20"/>
                    <w:spacing w:before="31"/>
                    <w:jc w:val="center"/>
                    <w:rPr>
                      <w:color w:val="auto"/>
                      <w:highlight w:val="none"/>
                    </w:rPr>
                  </w:pPr>
                  <w:r>
                    <w:rPr>
                      <w:rFonts w:hint="eastAsia"/>
                      <w:color w:val="auto"/>
                      <w:szCs w:val="21"/>
                      <w:highlight w:val="none"/>
                      <w:lang w:val="en-US" w:eastAsia="zh-CN"/>
                    </w:rPr>
                    <w:t>符合</w:t>
                  </w:r>
                </w:p>
              </w:tc>
            </w:tr>
            <w:tr w14:paraId="0464A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306" w:type="pct"/>
                  <w:vAlign w:val="center"/>
                </w:tcPr>
                <w:p w14:paraId="1EC81B16">
                  <w:pPr>
                    <w:pStyle w:val="20"/>
                    <w:spacing w:before="31"/>
                    <w:rPr>
                      <w:rFonts w:hint="eastAsia" w:eastAsia="宋体"/>
                      <w:color w:val="auto"/>
                      <w:highlight w:val="none"/>
                      <w:lang w:val="en-US" w:eastAsia="zh-CN"/>
                    </w:rPr>
                  </w:pPr>
                  <w:r>
                    <w:rPr>
                      <w:rFonts w:hint="eastAsia"/>
                      <w:color w:val="auto"/>
                      <w:highlight w:val="none"/>
                      <w:lang w:val="en-US" w:eastAsia="zh-CN"/>
                    </w:rPr>
                    <w:t>8</w:t>
                  </w:r>
                </w:p>
              </w:tc>
              <w:tc>
                <w:tcPr>
                  <w:tcW w:w="652" w:type="pct"/>
                  <w:vMerge w:val="continue"/>
                  <w:vAlign w:val="center"/>
                </w:tcPr>
                <w:p w14:paraId="3F18679B">
                  <w:pPr>
                    <w:pStyle w:val="20"/>
                    <w:spacing w:before="31"/>
                    <w:jc w:val="both"/>
                    <w:rPr>
                      <w:rFonts w:hint="eastAsia"/>
                      <w:color w:val="auto"/>
                      <w:highlight w:val="none"/>
                    </w:rPr>
                  </w:pPr>
                </w:p>
              </w:tc>
              <w:tc>
                <w:tcPr>
                  <w:tcW w:w="2199" w:type="pct"/>
                  <w:vAlign w:val="center"/>
                </w:tcPr>
                <w:p w14:paraId="79544C3A">
                  <w:pPr>
                    <w:pStyle w:val="20"/>
                    <w:spacing w:before="31"/>
                    <w:jc w:val="both"/>
                    <w:rPr>
                      <w:rFonts w:hint="eastAsia"/>
                      <w:color w:val="auto"/>
                      <w:highlight w:val="none"/>
                    </w:rPr>
                  </w:pPr>
                  <w:r>
                    <w:rPr>
                      <w:rFonts w:hint="eastAsia"/>
                      <w:color w:val="auto"/>
                      <w:highlight w:val="none"/>
                    </w:rPr>
                    <w:t>工业涂装企业和涉及喷涂作业的机动车维修服务企业，应当按照规定安装、使用污染防治设施，使用低挥发性有机物含量的原辅材料，或者进行工艺改造，并对原辅材料储运、加工生产、废弃物处置等环节实施全过程控制。</w:t>
                  </w:r>
                </w:p>
              </w:tc>
              <w:tc>
                <w:tcPr>
                  <w:tcW w:w="754" w:type="pct"/>
                  <w:vAlign w:val="center"/>
                </w:tcPr>
                <w:p w14:paraId="46F91D68">
                  <w:pPr>
                    <w:pStyle w:val="20"/>
                    <w:spacing w:before="31"/>
                    <w:jc w:val="both"/>
                    <w:rPr>
                      <w:rFonts w:hint="eastAsia"/>
                      <w:color w:val="auto"/>
                      <w:highlight w:val="none"/>
                    </w:rPr>
                  </w:pPr>
                  <w:r>
                    <w:rPr>
                      <w:rFonts w:hint="eastAsia"/>
                      <w:color w:val="auto"/>
                      <w:highlight w:val="none"/>
                    </w:rPr>
                    <w:t>应当建立与挥发性有机物排放有关的台账，台账的保存时间不得低于三年。</w:t>
                  </w:r>
                </w:p>
              </w:tc>
              <w:tc>
                <w:tcPr>
                  <w:tcW w:w="762" w:type="pct"/>
                  <w:vMerge w:val="continue"/>
                  <w:vAlign w:val="center"/>
                </w:tcPr>
                <w:p w14:paraId="6C650B70">
                  <w:pPr>
                    <w:pStyle w:val="20"/>
                    <w:spacing w:before="31"/>
                    <w:jc w:val="both"/>
                    <w:rPr>
                      <w:color w:val="auto"/>
                      <w:highlight w:val="none"/>
                    </w:rPr>
                  </w:pPr>
                </w:p>
              </w:tc>
              <w:tc>
                <w:tcPr>
                  <w:tcW w:w="324" w:type="pct"/>
                  <w:vAlign w:val="center"/>
                </w:tcPr>
                <w:p w14:paraId="6F99FD46">
                  <w:pPr>
                    <w:pStyle w:val="20"/>
                    <w:spacing w:before="31"/>
                    <w:jc w:val="center"/>
                    <w:rPr>
                      <w:color w:val="auto"/>
                      <w:highlight w:val="none"/>
                    </w:rPr>
                  </w:pPr>
                  <w:r>
                    <w:rPr>
                      <w:rFonts w:hint="eastAsia"/>
                      <w:color w:val="auto"/>
                      <w:szCs w:val="21"/>
                      <w:highlight w:val="none"/>
                      <w:lang w:val="en-US" w:eastAsia="zh-CN"/>
                    </w:rPr>
                    <w:t>符合</w:t>
                  </w:r>
                </w:p>
              </w:tc>
            </w:tr>
            <w:tr w14:paraId="4DE0B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306" w:type="pct"/>
                  <w:vAlign w:val="center"/>
                </w:tcPr>
                <w:p w14:paraId="613DBFC7">
                  <w:pPr>
                    <w:pStyle w:val="20"/>
                    <w:spacing w:before="31"/>
                    <w:rPr>
                      <w:rFonts w:hint="eastAsia" w:eastAsia="宋体"/>
                      <w:color w:val="auto"/>
                      <w:highlight w:val="none"/>
                      <w:lang w:val="en-US" w:eastAsia="zh-CN"/>
                    </w:rPr>
                  </w:pPr>
                  <w:r>
                    <w:rPr>
                      <w:rFonts w:hint="eastAsia"/>
                      <w:color w:val="auto"/>
                      <w:highlight w:val="none"/>
                      <w:lang w:val="en-US" w:eastAsia="zh-CN"/>
                    </w:rPr>
                    <w:t>9</w:t>
                  </w:r>
                </w:p>
              </w:tc>
              <w:tc>
                <w:tcPr>
                  <w:tcW w:w="652" w:type="pct"/>
                  <w:vMerge w:val="continue"/>
                  <w:vAlign w:val="center"/>
                </w:tcPr>
                <w:p w14:paraId="30F5C7CA">
                  <w:pPr>
                    <w:pStyle w:val="20"/>
                    <w:spacing w:before="31"/>
                    <w:jc w:val="both"/>
                    <w:rPr>
                      <w:rFonts w:hint="eastAsia"/>
                      <w:color w:val="auto"/>
                      <w:highlight w:val="none"/>
                    </w:rPr>
                  </w:pPr>
                </w:p>
              </w:tc>
              <w:tc>
                <w:tcPr>
                  <w:tcW w:w="2953" w:type="pct"/>
                  <w:gridSpan w:val="2"/>
                  <w:vAlign w:val="center"/>
                </w:tcPr>
                <w:p w14:paraId="52C792F4">
                  <w:pPr>
                    <w:pStyle w:val="20"/>
                    <w:spacing w:before="31"/>
                    <w:jc w:val="both"/>
                    <w:rPr>
                      <w:rFonts w:hint="eastAsia"/>
                      <w:color w:val="auto"/>
                      <w:highlight w:val="none"/>
                    </w:rPr>
                  </w:pPr>
                  <w:r>
                    <w:rPr>
                      <w:rFonts w:hint="eastAsia"/>
                      <w:color w:val="auto"/>
                      <w:highlight w:val="none"/>
                    </w:rPr>
                    <w:t>石油、化工及其他生产和使用有机溶剂的企业，应当采取措施对管道、设备进行日常维护、维修，减少物料的泄漏，对生产装置系统的停运、倒空、清洗等环节实施挥发性有机物排放控制；物料已经泄漏的，应当及时收集处理。</w:t>
                  </w:r>
                </w:p>
              </w:tc>
              <w:tc>
                <w:tcPr>
                  <w:tcW w:w="762" w:type="pct"/>
                  <w:vAlign w:val="center"/>
                </w:tcPr>
                <w:p w14:paraId="2C4EFDF4">
                  <w:pPr>
                    <w:pStyle w:val="20"/>
                    <w:spacing w:before="31"/>
                    <w:jc w:val="both"/>
                    <w:rPr>
                      <w:rFonts w:hint="eastAsia" w:eastAsia="宋体"/>
                      <w:color w:val="auto"/>
                      <w:highlight w:val="none"/>
                      <w:lang w:val="en-US" w:eastAsia="zh-CN"/>
                    </w:rPr>
                  </w:pPr>
                  <w:r>
                    <w:rPr>
                      <w:rFonts w:hint="eastAsia"/>
                      <w:color w:val="auto"/>
                      <w:highlight w:val="none"/>
                      <w:lang w:val="en-US" w:eastAsia="zh-CN"/>
                    </w:rPr>
                    <w:t>不涉及</w:t>
                  </w:r>
                </w:p>
              </w:tc>
              <w:tc>
                <w:tcPr>
                  <w:tcW w:w="324" w:type="pct"/>
                  <w:vAlign w:val="center"/>
                </w:tcPr>
                <w:p w14:paraId="2619416F">
                  <w:pPr>
                    <w:pStyle w:val="20"/>
                    <w:spacing w:before="31"/>
                    <w:jc w:val="center"/>
                    <w:rPr>
                      <w:color w:val="auto"/>
                      <w:highlight w:val="none"/>
                    </w:rPr>
                  </w:pPr>
                  <w:r>
                    <w:rPr>
                      <w:rFonts w:hint="eastAsia"/>
                      <w:color w:val="auto"/>
                      <w:szCs w:val="21"/>
                      <w:highlight w:val="none"/>
                      <w:lang w:val="en-US" w:eastAsia="zh-CN"/>
                    </w:rPr>
                    <w:t>符合</w:t>
                  </w:r>
                </w:p>
              </w:tc>
            </w:tr>
            <w:tr w14:paraId="4EBB3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306" w:type="pct"/>
                  <w:vAlign w:val="center"/>
                </w:tcPr>
                <w:p w14:paraId="0980494D">
                  <w:pPr>
                    <w:pStyle w:val="20"/>
                    <w:spacing w:before="31"/>
                    <w:rPr>
                      <w:rFonts w:hint="default" w:eastAsia="宋体"/>
                      <w:color w:val="auto"/>
                      <w:highlight w:val="none"/>
                      <w:lang w:val="en-US" w:eastAsia="zh-CN"/>
                    </w:rPr>
                  </w:pPr>
                  <w:r>
                    <w:rPr>
                      <w:rFonts w:hint="eastAsia"/>
                      <w:color w:val="auto"/>
                      <w:highlight w:val="none"/>
                      <w:lang w:val="en-US" w:eastAsia="zh-CN"/>
                    </w:rPr>
                    <w:t>10</w:t>
                  </w:r>
                </w:p>
              </w:tc>
              <w:tc>
                <w:tcPr>
                  <w:tcW w:w="652" w:type="pct"/>
                  <w:vMerge w:val="continue"/>
                  <w:vAlign w:val="center"/>
                </w:tcPr>
                <w:p w14:paraId="4734FA9F">
                  <w:pPr>
                    <w:pStyle w:val="20"/>
                    <w:spacing w:before="31"/>
                    <w:jc w:val="both"/>
                    <w:rPr>
                      <w:rFonts w:hint="eastAsia"/>
                      <w:color w:val="auto"/>
                      <w:highlight w:val="none"/>
                    </w:rPr>
                  </w:pPr>
                </w:p>
              </w:tc>
              <w:tc>
                <w:tcPr>
                  <w:tcW w:w="2953" w:type="pct"/>
                  <w:gridSpan w:val="2"/>
                  <w:vAlign w:val="center"/>
                </w:tcPr>
                <w:p w14:paraId="047A0D8A">
                  <w:pPr>
                    <w:pStyle w:val="20"/>
                    <w:spacing w:before="31"/>
                    <w:jc w:val="both"/>
                    <w:rPr>
                      <w:rFonts w:hint="eastAsia"/>
                      <w:color w:val="auto"/>
                      <w:highlight w:val="none"/>
                    </w:rPr>
                  </w:pPr>
                  <w:r>
                    <w:rPr>
                      <w:rFonts w:hint="eastAsia"/>
                      <w:color w:val="auto"/>
                      <w:highlight w:val="none"/>
                    </w:rPr>
                    <w:t>储油储气库、加油加气站和油罐车、气罐车等，应当开展油气回收治理，按照国家有关规定安装油气回收装置并保持正常使用，每年向生态环境主管部门报送油气排放检测报告。</w:t>
                  </w:r>
                </w:p>
              </w:tc>
              <w:tc>
                <w:tcPr>
                  <w:tcW w:w="762" w:type="pct"/>
                  <w:vAlign w:val="center"/>
                </w:tcPr>
                <w:p w14:paraId="2FD2387A">
                  <w:pPr>
                    <w:pStyle w:val="20"/>
                    <w:spacing w:before="31"/>
                    <w:jc w:val="both"/>
                    <w:rPr>
                      <w:color w:val="auto"/>
                      <w:highlight w:val="none"/>
                    </w:rPr>
                  </w:pPr>
                  <w:r>
                    <w:rPr>
                      <w:rFonts w:hint="eastAsia"/>
                      <w:color w:val="auto"/>
                      <w:highlight w:val="none"/>
                      <w:lang w:val="en-US" w:eastAsia="zh-CN"/>
                    </w:rPr>
                    <w:t>不涉及</w:t>
                  </w:r>
                </w:p>
              </w:tc>
              <w:tc>
                <w:tcPr>
                  <w:tcW w:w="324" w:type="pct"/>
                  <w:vAlign w:val="center"/>
                </w:tcPr>
                <w:p w14:paraId="13F893BA">
                  <w:pPr>
                    <w:pStyle w:val="20"/>
                    <w:spacing w:before="31"/>
                    <w:jc w:val="center"/>
                    <w:rPr>
                      <w:color w:val="auto"/>
                      <w:highlight w:val="none"/>
                    </w:rPr>
                  </w:pPr>
                  <w:r>
                    <w:rPr>
                      <w:rFonts w:hint="eastAsia"/>
                      <w:color w:val="auto"/>
                      <w:szCs w:val="21"/>
                      <w:highlight w:val="none"/>
                      <w:lang w:val="en-US" w:eastAsia="zh-CN"/>
                    </w:rPr>
                    <w:t>符合</w:t>
                  </w:r>
                </w:p>
              </w:tc>
            </w:tr>
            <w:tr w14:paraId="43873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306" w:type="pct"/>
                  <w:vAlign w:val="center"/>
                </w:tcPr>
                <w:p w14:paraId="224BE1C0">
                  <w:pPr>
                    <w:pStyle w:val="20"/>
                    <w:spacing w:before="31"/>
                    <w:rPr>
                      <w:rFonts w:hint="default" w:eastAsia="宋体"/>
                      <w:color w:val="auto"/>
                      <w:highlight w:val="none"/>
                      <w:lang w:val="en-US" w:eastAsia="zh-CN"/>
                    </w:rPr>
                  </w:pPr>
                  <w:r>
                    <w:rPr>
                      <w:rFonts w:hint="eastAsia"/>
                      <w:color w:val="auto"/>
                      <w:highlight w:val="none"/>
                      <w:lang w:val="en-US" w:eastAsia="zh-CN"/>
                    </w:rPr>
                    <w:t>11</w:t>
                  </w:r>
                </w:p>
              </w:tc>
              <w:tc>
                <w:tcPr>
                  <w:tcW w:w="652" w:type="pct"/>
                  <w:vMerge w:val="continue"/>
                  <w:vAlign w:val="center"/>
                </w:tcPr>
                <w:p w14:paraId="4853116C">
                  <w:pPr>
                    <w:pStyle w:val="20"/>
                    <w:spacing w:before="31"/>
                    <w:jc w:val="both"/>
                    <w:rPr>
                      <w:rFonts w:hint="eastAsia"/>
                      <w:color w:val="auto"/>
                      <w:highlight w:val="none"/>
                    </w:rPr>
                  </w:pPr>
                </w:p>
              </w:tc>
              <w:tc>
                <w:tcPr>
                  <w:tcW w:w="2953" w:type="pct"/>
                  <w:gridSpan w:val="2"/>
                  <w:vAlign w:val="center"/>
                </w:tcPr>
                <w:p w14:paraId="73DE71D3">
                  <w:pPr>
                    <w:pStyle w:val="20"/>
                    <w:spacing w:before="31"/>
                    <w:jc w:val="both"/>
                    <w:rPr>
                      <w:rFonts w:hint="eastAsia"/>
                      <w:color w:val="auto"/>
                      <w:highlight w:val="none"/>
                    </w:rPr>
                  </w:pPr>
                  <w:r>
                    <w:rPr>
                      <w:rFonts w:hint="eastAsia"/>
                      <w:color w:val="auto"/>
                      <w:highlight w:val="none"/>
                    </w:rPr>
                    <w:t>其他向大气排放粉尘、恶臭气体，以及含重金属、持久性有机污染物等有毒有害气体的工业企业，应当按照规定配套安装净化装置或者采取其他措施减少污染物排放。</w:t>
                  </w:r>
                </w:p>
              </w:tc>
              <w:tc>
                <w:tcPr>
                  <w:tcW w:w="762" w:type="pct"/>
                  <w:vAlign w:val="center"/>
                </w:tcPr>
                <w:p w14:paraId="37A181DC">
                  <w:pPr>
                    <w:pStyle w:val="20"/>
                    <w:spacing w:before="31"/>
                    <w:jc w:val="both"/>
                    <w:rPr>
                      <w:rFonts w:hint="default" w:eastAsia="宋体"/>
                      <w:color w:val="auto"/>
                      <w:highlight w:val="none"/>
                      <w:lang w:val="en-US" w:eastAsia="zh-CN"/>
                    </w:rPr>
                  </w:pPr>
                  <w:r>
                    <w:rPr>
                      <w:rFonts w:hint="eastAsia"/>
                      <w:color w:val="auto"/>
                      <w:highlight w:val="none"/>
                      <w:lang w:val="en-US" w:eastAsia="zh-CN"/>
                    </w:rPr>
                    <w:t>扩建项目废气采取有效措施收集处置后排放。</w:t>
                  </w:r>
                </w:p>
              </w:tc>
              <w:tc>
                <w:tcPr>
                  <w:tcW w:w="324" w:type="pct"/>
                  <w:vAlign w:val="center"/>
                </w:tcPr>
                <w:p w14:paraId="0C8D14F5">
                  <w:pPr>
                    <w:pStyle w:val="20"/>
                    <w:spacing w:before="31"/>
                    <w:jc w:val="center"/>
                    <w:rPr>
                      <w:color w:val="auto"/>
                      <w:highlight w:val="none"/>
                    </w:rPr>
                  </w:pPr>
                  <w:r>
                    <w:rPr>
                      <w:rFonts w:hint="eastAsia"/>
                      <w:color w:val="auto"/>
                      <w:szCs w:val="21"/>
                      <w:highlight w:val="none"/>
                      <w:lang w:val="en-US" w:eastAsia="zh-CN"/>
                    </w:rPr>
                    <w:t>符合</w:t>
                  </w:r>
                </w:p>
              </w:tc>
            </w:tr>
            <w:tr w14:paraId="5D4DA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306" w:type="pct"/>
                  <w:vAlign w:val="center"/>
                </w:tcPr>
                <w:p w14:paraId="0E6965F3">
                  <w:pPr>
                    <w:pStyle w:val="20"/>
                    <w:spacing w:before="31"/>
                    <w:rPr>
                      <w:rFonts w:hint="default" w:eastAsia="宋体"/>
                      <w:color w:val="auto"/>
                      <w:highlight w:val="none"/>
                      <w:lang w:val="en-US" w:eastAsia="zh-CN"/>
                    </w:rPr>
                  </w:pPr>
                  <w:r>
                    <w:rPr>
                      <w:rFonts w:hint="eastAsia"/>
                      <w:color w:val="auto"/>
                      <w:highlight w:val="none"/>
                      <w:lang w:val="en-US" w:eastAsia="zh-CN"/>
                    </w:rPr>
                    <w:t>12</w:t>
                  </w:r>
                </w:p>
              </w:tc>
              <w:tc>
                <w:tcPr>
                  <w:tcW w:w="3606" w:type="pct"/>
                  <w:gridSpan w:val="3"/>
                  <w:vAlign w:val="center"/>
                </w:tcPr>
                <w:p w14:paraId="50E91AB2">
                  <w:pPr>
                    <w:pStyle w:val="20"/>
                    <w:spacing w:before="31"/>
                    <w:jc w:val="both"/>
                    <w:rPr>
                      <w:rFonts w:hint="eastAsia"/>
                      <w:color w:val="auto"/>
                      <w:highlight w:val="none"/>
                    </w:rPr>
                  </w:pPr>
                  <w:r>
                    <w:rPr>
                      <w:rFonts w:hint="eastAsia"/>
                      <w:color w:val="auto"/>
                      <w:highlight w:val="none"/>
                    </w:rPr>
                    <w:t>任何单位和个人不得生产、销售和使用不符合质量标准或者要求的含挥发性有机物的原材料和产品。</w:t>
                  </w:r>
                </w:p>
              </w:tc>
              <w:tc>
                <w:tcPr>
                  <w:tcW w:w="762" w:type="pct"/>
                  <w:vAlign w:val="center"/>
                </w:tcPr>
                <w:p w14:paraId="2C983BBB">
                  <w:pPr>
                    <w:pStyle w:val="20"/>
                    <w:spacing w:before="31"/>
                    <w:jc w:val="both"/>
                    <w:rPr>
                      <w:rFonts w:hint="default" w:eastAsia="宋体"/>
                      <w:color w:val="auto"/>
                      <w:highlight w:val="none"/>
                      <w:lang w:val="en-US" w:eastAsia="zh-CN"/>
                    </w:rPr>
                  </w:pPr>
                  <w:r>
                    <w:rPr>
                      <w:rFonts w:hint="eastAsia"/>
                      <w:color w:val="auto"/>
                      <w:highlight w:val="none"/>
                      <w:lang w:val="en-US" w:eastAsia="zh-CN"/>
                    </w:rPr>
                    <w:t>扩建项目使用合格的原辅材料。</w:t>
                  </w:r>
                </w:p>
              </w:tc>
              <w:tc>
                <w:tcPr>
                  <w:tcW w:w="324" w:type="pct"/>
                  <w:vAlign w:val="center"/>
                </w:tcPr>
                <w:p w14:paraId="36D22C58">
                  <w:pPr>
                    <w:pStyle w:val="20"/>
                    <w:spacing w:before="31"/>
                    <w:jc w:val="center"/>
                    <w:rPr>
                      <w:color w:val="auto"/>
                      <w:highlight w:val="none"/>
                    </w:rPr>
                  </w:pPr>
                  <w:r>
                    <w:rPr>
                      <w:rFonts w:hint="eastAsia"/>
                      <w:color w:val="auto"/>
                      <w:szCs w:val="21"/>
                      <w:highlight w:val="none"/>
                      <w:lang w:val="en-US" w:eastAsia="zh-CN"/>
                    </w:rPr>
                    <w:t>符合</w:t>
                  </w:r>
                </w:p>
              </w:tc>
            </w:tr>
          </w:tbl>
          <w:p w14:paraId="03DAD164">
            <w:pPr>
              <w:pStyle w:val="18"/>
              <w:bidi w:val="0"/>
              <w:rPr>
                <w:rFonts w:hint="default"/>
                <w:color w:val="auto"/>
                <w:highlight w:val="none"/>
                <w:lang w:val="en-US" w:eastAsia="zh-CN"/>
              </w:rPr>
            </w:pPr>
            <w:r>
              <w:rPr>
                <w:rFonts w:hint="eastAsia"/>
                <w:color w:val="auto"/>
                <w:highlight w:val="none"/>
                <w:lang w:val="en-US" w:eastAsia="zh-CN"/>
              </w:rPr>
              <w:t>由上表，扩建项目符合《重庆市大气污染防治条例》（2021年修订）文件要求。</w:t>
            </w:r>
          </w:p>
          <w:p w14:paraId="4FCE81E2">
            <w:pPr>
              <w:pStyle w:val="18"/>
              <w:rPr>
                <w:rFonts w:hint="eastAsia"/>
                <w:color w:val="auto"/>
                <w:highlight w:val="none"/>
              </w:rPr>
            </w:pPr>
          </w:p>
          <w:p w14:paraId="3A0DC599">
            <w:pPr>
              <w:pStyle w:val="18"/>
              <w:rPr>
                <w:rFonts w:hint="eastAsia"/>
                <w:color w:val="auto"/>
                <w:highlight w:val="none"/>
              </w:rPr>
            </w:pPr>
          </w:p>
          <w:p w14:paraId="3EE4E7D2">
            <w:pPr>
              <w:pStyle w:val="18"/>
              <w:rPr>
                <w:rFonts w:hint="eastAsia"/>
                <w:color w:val="auto"/>
                <w:highlight w:val="none"/>
              </w:rPr>
            </w:pPr>
          </w:p>
          <w:p w14:paraId="26B7C6F6">
            <w:pPr>
              <w:pStyle w:val="18"/>
              <w:rPr>
                <w:rFonts w:hint="eastAsia"/>
                <w:color w:val="auto"/>
                <w:highlight w:val="none"/>
              </w:rPr>
            </w:pPr>
          </w:p>
          <w:p w14:paraId="10814BD0">
            <w:pPr>
              <w:pStyle w:val="18"/>
              <w:rPr>
                <w:rFonts w:hint="eastAsia"/>
                <w:color w:val="auto"/>
                <w:highlight w:val="none"/>
              </w:rPr>
            </w:pPr>
          </w:p>
          <w:p w14:paraId="51EFE72C">
            <w:pPr>
              <w:pStyle w:val="18"/>
              <w:rPr>
                <w:rFonts w:hint="eastAsia"/>
                <w:color w:val="auto"/>
                <w:highlight w:val="none"/>
              </w:rPr>
            </w:pPr>
          </w:p>
          <w:p w14:paraId="20D626EA">
            <w:pPr>
              <w:pStyle w:val="18"/>
              <w:rPr>
                <w:rFonts w:hint="eastAsia"/>
                <w:color w:val="auto"/>
                <w:highlight w:val="none"/>
              </w:rPr>
            </w:pPr>
          </w:p>
        </w:tc>
      </w:tr>
    </w:tbl>
    <w:p w14:paraId="04D4EE24">
      <w:pPr>
        <w:rPr>
          <w:color w:val="auto"/>
          <w:highlight w:val="none"/>
        </w:rPr>
        <w:sectPr>
          <w:footerReference r:id="rId6" w:type="default"/>
          <w:pgSz w:w="11906" w:h="16838"/>
          <w:pgMar w:top="1440" w:right="1463" w:bottom="1440" w:left="1463" w:header="720" w:footer="720" w:gutter="0"/>
          <w:pgNumType w:start="1"/>
          <w:cols w:space="425" w:num="1"/>
          <w:docGrid w:type="lines" w:linePitch="312" w:charSpace="0"/>
        </w:sectPr>
      </w:pPr>
    </w:p>
    <w:p w14:paraId="5A00367E">
      <w:pPr>
        <w:spacing w:beforeLines="10" w:afterLines="10"/>
        <w:jc w:val="center"/>
        <w:outlineLvl w:val="0"/>
        <w:rPr>
          <w:rFonts w:eastAsia="黑体"/>
          <w:snapToGrid w:val="0"/>
          <w:color w:val="auto"/>
          <w:sz w:val="30"/>
          <w:szCs w:val="30"/>
          <w:highlight w:val="none"/>
        </w:rPr>
      </w:pPr>
      <w:r>
        <w:rPr>
          <w:rFonts w:hint="eastAsia" w:eastAsia="黑体"/>
          <w:snapToGrid w:val="0"/>
          <w:color w:val="auto"/>
          <w:sz w:val="30"/>
          <w:szCs w:val="30"/>
          <w:highlight w:val="none"/>
        </w:rPr>
        <w:t>二、建设项目工程分析</w:t>
      </w: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33"/>
        <w:gridCol w:w="8456"/>
      </w:tblGrid>
      <w:tr w14:paraId="4BE26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41" w:hRule="atLeast"/>
          <w:jc w:val="center"/>
        </w:trPr>
        <w:tc>
          <w:tcPr>
            <w:tcW w:w="348" w:type="pct"/>
            <w:vAlign w:val="center"/>
          </w:tcPr>
          <w:p w14:paraId="50B54DA9">
            <w:pPr>
              <w:pStyle w:val="24"/>
              <w:spacing w:before="93" w:after="93"/>
              <w:rPr>
                <w:rFonts w:cs="宋体"/>
                <w:b/>
                <w:bCs/>
                <w:color w:val="auto"/>
                <w:highlight w:val="none"/>
              </w:rPr>
            </w:pPr>
            <w:r>
              <w:rPr>
                <w:rFonts w:hint="eastAsia"/>
                <w:b/>
                <w:bCs/>
                <w:color w:val="auto"/>
                <w:highlight w:val="none"/>
              </w:rPr>
              <w:t>建设内容</w:t>
            </w:r>
          </w:p>
        </w:tc>
        <w:tc>
          <w:tcPr>
            <w:tcW w:w="4651" w:type="pct"/>
            <w:vAlign w:val="center"/>
          </w:tcPr>
          <w:p w14:paraId="39A3E67A">
            <w:pPr>
              <w:pStyle w:val="2"/>
              <w:numPr>
                <w:ilvl w:val="0"/>
                <w:numId w:val="3"/>
              </w:numPr>
              <w:spacing w:before="156"/>
              <w:ind w:left="0" w:firstLine="0"/>
              <w:rPr>
                <w:color w:val="auto"/>
                <w:highlight w:val="none"/>
              </w:rPr>
            </w:pPr>
            <w:r>
              <w:rPr>
                <w:rFonts w:hint="eastAsia"/>
                <w:color w:val="auto"/>
                <w:highlight w:val="none"/>
              </w:rPr>
              <w:t>项目由来</w:t>
            </w:r>
          </w:p>
          <w:p w14:paraId="3A231CBA">
            <w:pPr>
              <w:pStyle w:val="18"/>
              <w:bidi w:val="0"/>
              <w:rPr>
                <w:rFonts w:hint="default"/>
                <w:color w:val="auto"/>
                <w:highlight w:val="none"/>
                <w:lang w:val="en-US" w:eastAsia="zh-CN"/>
              </w:rPr>
            </w:pPr>
            <w:r>
              <w:rPr>
                <w:rFonts w:hint="eastAsia"/>
                <w:color w:val="auto"/>
                <w:highlight w:val="none"/>
              </w:rPr>
              <w:t>重庆天畅汽车零部件有限公司</w:t>
            </w:r>
            <w:r>
              <w:rPr>
                <w:rFonts w:hint="eastAsia"/>
                <w:color w:val="auto"/>
                <w:highlight w:val="none"/>
                <w:lang w:eastAsia="zh-CN"/>
              </w:rPr>
              <w:t>（</w:t>
            </w:r>
            <w:r>
              <w:rPr>
                <w:rFonts w:hint="eastAsia"/>
                <w:color w:val="auto"/>
                <w:highlight w:val="none"/>
                <w:lang w:val="en-US" w:eastAsia="zh-CN"/>
              </w:rPr>
              <w:t>以下简称“建设单位”）是一家专业从事汽车塑料零部件</w:t>
            </w:r>
            <w:r>
              <w:rPr>
                <w:rFonts w:hint="eastAsia"/>
                <w:color w:val="auto"/>
                <w:highlight w:val="none"/>
              </w:rPr>
              <w:t>生产的企业</w:t>
            </w:r>
            <w:r>
              <w:rPr>
                <w:rFonts w:hint="eastAsia"/>
                <w:color w:val="auto"/>
                <w:highlight w:val="none"/>
                <w:lang w:eastAsia="zh-CN"/>
              </w:rPr>
              <w:t>。</w:t>
            </w:r>
            <w:r>
              <w:rPr>
                <w:rFonts w:hint="eastAsia"/>
                <w:color w:val="auto"/>
                <w:highlight w:val="none"/>
                <w:lang w:val="en-US" w:eastAsia="zh-CN"/>
              </w:rPr>
              <w:t>建设单位租赁重庆铝产业开发投资集团有限公司位于</w:t>
            </w:r>
            <w:r>
              <w:rPr>
                <w:rFonts w:hint="eastAsia"/>
                <w:color w:val="auto"/>
                <w:highlight w:val="none"/>
                <w:lang w:eastAsia="zh-CN"/>
              </w:rPr>
              <w:t>重庆市九龙坡区西彭镇铝城大道74号附1号</w:t>
            </w:r>
            <w:r>
              <w:rPr>
                <w:rFonts w:hint="eastAsia"/>
                <w:color w:val="auto"/>
                <w:highlight w:val="none"/>
                <w:lang w:val="en-US" w:eastAsia="zh-CN"/>
              </w:rPr>
              <w:t>的标准厂房建设汽车零部件项目，委托重庆大学编制《汽车零部件项目环境影响报告表》，于2015年11月30日取得《重庆市建设项目环境影响评价批准书》，批复文号：渝（九）环准（</w:t>
            </w:r>
            <w:r>
              <w:rPr>
                <w:rFonts w:hint="default"/>
                <w:color w:val="auto"/>
                <w:highlight w:val="none"/>
              </w:rPr>
              <w:t>四清四治第46号</w:t>
            </w:r>
            <w:r>
              <w:rPr>
                <w:rFonts w:hint="eastAsia"/>
                <w:color w:val="auto"/>
                <w:highlight w:val="none"/>
                <w:lang w:val="en-US" w:eastAsia="zh-CN"/>
              </w:rPr>
              <w:t>），批复全年生产约86万件塑料注塑件。汽车零部件项目于2016年3月7日完成竣工环保验收，取得《重庆市建设项目竣工环境保护验收批复》，批复文号：渝（九）环验（</w:t>
            </w:r>
            <w:r>
              <w:rPr>
                <w:rFonts w:hint="default"/>
                <w:color w:val="auto"/>
                <w:highlight w:val="none"/>
              </w:rPr>
              <w:t>四清四治第</w:t>
            </w:r>
            <w:r>
              <w:rPr>
                <w:rFonts w:hint="eastAsia"/>
                <w:color w:val="auto"/>
                <w:highlight w:val="none"/>
                <w:lang w:val="en-US" w:eastAsia="zh-CN"/>
              </w:rPr>
              <w:t>33</w:t>
            </w:r>
            <w:r>
              <w:rPr>
                <w:rFonts w:hint="default"/>
                <w:color w:val="auto"/>
                <w:highlight w:val="none"/>
              </w:rPr>
              <w:t>号</w:t>
            </w:r>
            <w:r>
              <w:rPr>
                <w:rFonts w:hint="eastAsia"/>
                <w:color w:val="auto"/>
                <w:highlight w:val="none"/>
                <w:lang w:val="en-US" w:eastAsia="zh-CN"/>
              </w:rPr>
              <w:t>）。</w:t>
            </w:r>
          </w:p>
          <w:p w14:paraId="0292DBD1">
            <w:pPr>
              <w:pStyle w:val="18"/>
              <w:bidi w:val="0"/>
              <w:rPr>
                <w:rFonts w:hint="default"/>
                <w:color w:val="auto"/>
                <w:highlight w:val="none"/>
                <w:lang w:val="en-US" w:eastAsia="zh-CN"/>
              </w:rPr>
            </w:pPr>
            <w:r>
              <w:rPr>
                <w:rFonts w:hint="eastAsia"/>
                <w:color w:val="auto"/>
                <w:highlight w:val="none"/>
                <w:lang w:val="en-US" w:eastAsia="zh-CN"/>
              </w:rPr>
              <w:t>近年来，建设单位深耕汽车塑料零部件领域，蓬勃发展，决定扩大生产，厂房位置不变，在位于</w:t>
            </w:r>
            <w:r>
              <w:rPr>
                <w:rFonts w:hint="eastAsia"/>
                <w:color w:val="auto"/>
                <w:highlight w:val="none"/>
                <w:lang w:eastAsia="zh-CN"/>
              </w:rPr>
              <w:t>重庆市九龙坡区西彭镇铝城大道74号附1号</w:t>
            </w:r>
            <w:r>
              <w:rPr>
                <w:rFonts w:hint="eastAsia"/>
                <w:color w:val="auto"/>
                <w:highlight w:val="none"/>
                <w:lang w:val="en-US" w:eastAsia="zh-CN"/>
              </w:rPr>
              <w:t>的厂房（为A9/03地块，根据最新西彭组团用地规划图，该地块编号为A9/03）内扩大租赁面积，增加生产设备，扩建后全厂年产汽车注塑零部件600万件。</w:t>
            </w:r>
          </w:p>
          <w:p w14:paraId="625627CE">
            <w:pPr>
              <w:pStyle w:val="18"/>
              <w:bidi w:val="0"/>
              <w:rPr>
                <w:rFonts w:hint="eastAsia"/>
                <w:color w:val="auto"/>
                <w:highlight w:val="none"/>
              </w:rPr>
            </w:pPr>
            <w:r>
              <w:rPr>
                <w:rFonts w:hint="eastAsia"/>
                <w:color w:val="auto"/>
                <w:highlight w:val="none"/>
              </w:rPr>
              <w:t>根据《建设项目环境影响评价分类管理名录》（2021年版），本项目属于“</w:t>
            </w:r>
            <w:r>
              <w:rPr>
                <w:rFonts w:hint="eastAsia" w:cs="宋体"/>
                <w:color w:val="auto"/>
                <w:sz w:val="24"/>
                <w:highlight w:val="none"/>
              </w:rPr>
              <w:t>二十六、橡胶和塑料制品业 29</w:t>
            </w:r>
            <w:r>
              <w:rPr>
                <w:rFonts w:hint="eastAsia" w:cs="宋体"/>
                <w:color w:val="auto"/>
                <w:sz w:val="24"/>
                <w:highlight w:val="none"/>
                <w:lang w:val="en-US" w:eastAsia="zh-CN"/>
              </w:rPr>
              <w:t>-</w:t>
            </w:r>
            <w:r>
              <w:rPr>
                <w:rFonts w:hint="eastAsia" w:cs="宋体"/>
                <w:color w:val="auto"/>
                <w:sz w:val="24"/>
                <w:highlight w:val="none"/>
              </w:rPr>
              <w:t>53、塑料制品业 292</w:t>
            </w:r>
            <w:r>
              <w:rPr>
                <w:rFonts w:hint="eastAsia" w:cs="宋体"/>
                <w:color w:val="auto"/>
                <w:sz w:val="24"/>
                <w:highlight w:val="none"/>
                <w:lang w:val="en-US" w:eastAsia="zh-CN"/>
              </w:rPr>
              <w:t>-</w:t>
            </w:r>
            <w:r>
              <w:rPr>
                <w:rFonts w:hint="eastAsia" w:cs="宋体"/>
                <w:color w:val="auto"/>
                <w:sz w:val="24"/>
                <w:highlight w:val="none"/>
              </w:rPr>
              <w:t>其他（年用非溶剂型低VOC</w:t>
            </w:r>
            <w:r>
              <w:rPr>
                <w:rFonts w:hint="eastAsia" w:cs="宋体"/>
                <w:color w:val="auto"/>
                <w:sz w:val="24"/>
                <w:highlight w:val="none"/>
                <w:vertAlign w:val="subscript"/>
              </w:rPr>
              <w:t>S</w:t>
            </w:r>
            <w:r>
              <w:rPr>
                <w:rFonts w:hint="eastAsia" w:cs="宋体"/>
                <w:color w:val="auto"/>
                <w:sz w:val="24"/>
                <w:highlight w:val="none"/>
              </w:rPr>
              <w:t>含量涂料10吨以下的除外）</w:t>
            </w:r>
            <w:r>
              <w:rPr>
                <w:rFonts w:hint="eastAsia"/>
                <w:color w:val="auto"/>
                <w:highlight w:val="none"/>
                <w:lang w:eastAsia="zh-CN"/>
              </w:rPr>
              <w:t>；</w:t>
            </w:r>
            <w:r>
              <w:rPr>
                <w:rFonts w:hint="eastAsia"/>
                <w:color w:val="auto"/>
                <w:highlight w:val="none"/>
              </w:rPr>
              <w:t>三十三、汽车制造业</w:t>
            </w:r>
            <w:r>
              <w:rPr>
                <w:color w:val="auto"/>
                <w:highlight w:val="none"/>
              </w:rPr>
              <w:t>36-</w:t>
            </w:r>
            <w:r>
              <w:rPr>
                <w:rFonts w:hint="eastAsia"/>
                <w:color w:val="auto"/>
                <w:highlight w:val="none"/>
              </w:rPr>
              <w:t>汽车零部件及配件制造</w:t>
            </w:r>
            <w:r>
              <w:rPr>
                <w:color w:val="auto"/>
                <w:highlight w:val="none"/>
              </w:rPr>
              <w:t>367-</w:t>
            </w:r>
            <w:r>
              <w:rPr>
                <w:rFonts w:hint="eastAsia"/>
                <w:color w:val="auto"/>
                <w:highlight w:val="none"/>
              </w:rPr>
              <w:t>其他（年用非溶剂型低</w:t>
            </w:r>
            <w:r>
              <w:rPr>
                <w:color w:val="auto"/>
                <w:highlight w:val="none"/>
              </w:rPr>
              <w:t>VOCS</w:t>
            </w:r>
            <w:r>
              <w:rPr>
                <w:rFonts w:hint="eastAsia"/>
                <w:color w:val="auto"/>
                <w:highlight w:val="none"/>
              </w:rPr>
              <w:t>含量涂料</w:t>
            </w:r>
            <w:r>
              <w:rPr>
                <w:color w:val="auto"/>
                <w:highlight w:val="none"/>
              </w:rPr>
              <w:t>10</w:t>
            </w:r>
            <w:r>
              <w:rPr>
                <w:rFonts w:hint="eastAsia"/>
                <w:color w:val="auto"/>
                <w:highlight w:val="none"/>
              </w:rPr>
              <w:t>吨以下的除外）”项目</w:t>
            </w:r>
            <w:r>
              <w:rPr>
                <w:rFonts w:hint="eastAsia"/>
                <w:color w:val="auto"/>
                <w:sz w:val="24"/>
                <w:highlight w:val="none"/>
              </w:rPr>
              <w:t>，</w:t>
            </w:r>
            <w:r>
              <w:rPr>
                <w:rFonts w:hint="eastAsia"/>
                <w:color w:val="auto"/>
                <w:sz w:val="24"/>
                <w:highlight w:val="none"/>
                <w:lang w:val="en-US" w:eastAsia="zh-CN"/>
              </w:rPr>
              <w:t>且</w:t>
            </w:r>
            <w:r>
              <w:rPr>
                <w:rFonts w:hint="eastAsia"/>
                <w:color w:val="auto"/>
                <w:sz w:val="24"/>
                <w:highlight w:val="none"/>
              </w:rPr>
              <w:t>不属于《</w:t>
            </w:r>
            <w:r>
              <w:rPr>
                <w:rFonts w:hint="eastAsia"/>
                <w:color w:val="auto"/>
                <w:sz w:val="24"/>
                <w:highlight w:val="none"/>
                <w:lang w:val="zh-CN"/>
              </w:rPr>
              <w:t>重庆市不纳入环境影响评价管理的建设项目名录（2023年版）</w:t>
            </w:r>
            <w:r>
              <w:rPr>
                <w:rFonts w:hint="eastAsia"/>
                <w:color w:val="auto"/>
                <w:sz w:val="24"/>
                <w:highlight w:val="none"/>
              </w:rPr>
              <w:t>》中所列项目</w:t>
            </w:r>
            <w:r>
              <w:rPr>
                <w:rFonts w:hint="eastAsia"/>
                <w:color w:val="auto"/>
                <w:sz w:val="24"/>
                <w:highlight w:val="none"/>
                <w:lang w:eastAsia="zh-CN"/>
              </w:rPr>
              <w:t>，</w:t>
            </w:r>
            <w:r>
              <w:rPr>
                <w:rFonts w:hint="eastAsia"/>
                <w:b w:val="0"/>
                <w:bCs w:val="0"/>
                <w:color w:val="auto"/>
                <w:sz w:val="24"/>
                <w:highlight w:val="none"/>
              </w:rPr>
              <w:t>应编制环境影响报告表。</w:t>
            </w:r>
            <w:r>
              <w:rPr>
                <w:rFonts w:hint="eastAsia"/>
                <w:b w:val="0"/>
                <w:bCs w:val="0"/>
                <w:color w:val="auto"/>
                <w:highlight w:val="none"/>
              </w:rPr>
              <w:t>受重庆天畅汽车零部件有限公司委托，我公司承担该项目的环境影响报告表编制工</w:t>
            </w:r>
            <w:r>
              <w:rPr>
                <w:rFonts w:hint="eastAsia"/>
                <w:color w:val="auto"/>
                <w:highlight w:val="none"/>
              </w:rPr>
              <w:t>作，组织技术人员，根据项目特点，现场调查，收集资料，在此基础上，编制完成《</w:t>
            </w:r>
            <w:r>
              <w:rPr>
                <w:rFonts w:hint="eastAsia"/>
                <w:color w:val="auto"/>
                <w:highlight w:val="none"/>
                <w:lang w:val="en-US" w:eastAsia="zh-CN"/>
              </w:rPr>
              <w:t>天畅注塑汽车零部件制造扩建项目</w:t>
            </w:r>
            <w:r>
              <w:rPr>
                <w:rFonts w:hint="eastAsia"/>
                <w:color w:val="auto"/>
                <w:highlight w:val="none"/>
              </w:rPr>
              <w:t>环境影响报告表》。</w:t>
            </w:r>
          </w:p>
          <w:p w14:paraId="670FC9E8">
            <w:pPr>
              <w:pStyle w:val="2"/>
              <w:numPr>
                <w:ilvl w:val="0"/>
                <w:numId w:val="3"/>
              </w:numPr>
              <w:spacing w:before="156"/>
              <w:ind w:left="0" w:firstLine="0"/>
              <w:rPr>
                <w:color w:val="auto"/>
                <w:highlight w:val="none"/>
              </w:rPr>
            </w:pPr>
            <w:r>
              <w:rPr>
                <w:rFonts w:hint="eastAsia"/>
                <w:color w:val="auto"/>
                <w:highlight w:val="none"/>
              </w:rPr>
              <w:t>项目概况</w:t>
            </w:r>
          </w:p>
          <w:p w14:paraId="6352D82B">
            <w:pPr>
              <w:pStyle w:val="18"/>
              <w:rPr>
                <w:color w:val="auto"/>
                <w:highlight w:val="none"/>
              </w:rPr>
            </w:pPr>
            <w:r>
              <w:rPr>
                <w:rFonts w:hint="eastAsia"/>
                <w:color w:val="auto"/>
                <w:highlight w:val="none"/>
              </w:rPr>
              <w:t>项目名称：</w:t>
            </w:r>
            <w:r>
              <w:rPr>
                <w:rFonts w:hint="eastAsia"/>
                <w:color w:val="auto"/>
                <w:highlight w:val="none"/>
                <w:lang w:eastAsia="zh-CN"/>
              </w:rPr>
              <w:t>天畅注塑汽车零部件制造扩建项目</w:t>
            </w:r>
            <w:r>
              <w:rPr>
                <w:rFonts w:hint="eastAsia"/>
                <w:color w:val="auto"/>
                <w:highlight w:val="none"/>
              </w:rPr>
              <w:t>；</w:t>
            </w:r>
          </w:p>
          <w:p w14:paraId="70D9C1ED">
            <w:pPr>
              <w:pStyle w:val="18"/>
              <w:rPr>
                <w:color w:val="auto"/>
                <w:highlight w:val="none"/>
              </w:rPr>
            </w:pPr>
            <w:r>
              <w:rPr>
                <w:rFonts w:hint="eastAsia"/>
                <w:color w:val="auto"/>
                <w:highlight w:val="none"/>
              </w:rPr>
              <w:t>建设</w:t>
            </w:r>
            <w:r>
              <w:rPr>
                <w:color w:val="auto"/>
                <w:highlight w:val="none"/>
              </w:rPr>
              <w:t>单位：</w:t>
            </w:r>
            <w:r>
              <w:rPr>
                <w:rFonts w:hint="eastAsia"/>
                <w:color w:val="auto"/>
                <w:highlight w:val="none"/>
                <w:lang w:eastAsia="zh-CN"/>
              </w:rPr>
              <w:t>重庆天畅汽车零部件有限公司</w:t>
            </w:r>
            <w:r>
              <w:rPr>
                <w:color w:val="auto"/>
                <w:highlight w:val="none"/>
              </w:rPr>
              <w:t>；</w:t>
            </w:r>
          </w:p>
          <w:p w14:paraId="7496B7A9">
            <w:pPr>
              <w:pStyle w:val="18"/>
              <w:rPr>
                <w:color w:val="auto"/>
                <w:highlight w:val="none"/>
              </w:rPr>
            </w:pPr>
            <w:r>
              <w:rPr>
                <w:rFonts w:hint="eastAsia"/>
                <w:color w:val="auto"/>
                <w:highlight w:val="none"/>
              </w:rPr>
              <w:t>项目性质</w:t>
            </w:r>
            <w:r>
              <w:rPr>
                <w:color w:val="auto"/>
                <w:highlight w:val="none"/>
              </w:rPr>
              <w:t>：</w:t>
            </w:r>
            <w:r>
              <w:rPr>
                <w:rFonts w:hint="eastAsia"/>
                <w:color w:val="auto"/>
                <w:highlight w:val="none"/>
                <w:lang w:val="en-US" w:eastAsia="zh-CN"/>
              </w:rPr>
              <w:t>扩建</w:t>
            </w:r>
            <w:r>
              <w:rPr>
                <w:color w:val="auto"/>
                <w:highlight w:val="none"/>
              </w:rPr>
              <w:t>；</w:t>
            </w:r>
          </w:p>
          <w:p w14:paraId="764DC98A">
            <w:pPr>
              <w:pStyle w:val="18"/>
              <w:rPr>
                <w:color w:val="auto"/>
                <w:highlight w:val="none"/>
              </w:rPr>
            </w:pPr>
            <w:r>
              <w:rPr>
                <w:rFonts w:hint="eastAsia"/>
                <w:color w:val="auto"/>
                <w:highlight w:val="none"/>
              </w:rPr>
              <w:t>建设地点</w:t>
            </w:r>
            <w:r>
              <w:rPr>
                <w:color w:val="auto"/>
                <w:highlight w:val="none"/>
              </w:rPr>
              <w:t>：</w:t>
            </w:r>
            <w:r>
              <w:rPr>
                <w:rFonts w:hint="eastAsia"/>
                <w:color w:val="auto"/>
                <w:highlight w:val="none"/>
                <w:lang w:eastAsia="zh-CN"/>
              </w:rPr>
              <w:t>重庆市九龙坡区西彭镇铝城大道74号附1号</w:t>
            </w:r>
            <w:r>
              <w:rPr>
                <w:rFonts w:hint="eastAsia"/>
                <w:color w:val="auto"/>
                <w:highlight w:val="none"/>
              </w:rPr>
              <w:t>；</w:t>
            </w:r>
          </w:p>
          <w:p w14:paraId="19DC1688">
            <w:pPr>
              <w:pStyle w:val="18"/>
              <w:rPr>
                <w:rFonts w:hint="default"/>
                <w:color w:val="auto"/>
                <w:highlight w:val="none"/>
                <w:lang w:val="en-US" w:eastAsia="zh-CN"/>
              </w:rPr>
            </w:pPr>
            <w:r>
              <w:rPr>
                <w:rFonts w:hint="eastAsia"/>
                <w:color w:val="auto"/>
                <w:highlight w:val="none"/>
              </w:rPr>
              <w:t>建筑面积：</w:t>
            </w:r>
            <w:r>
              <w:rPr>
                <w:rFonts w:hint="eastAsia"/>
                <w:color w:val="auto"/>
                <w:highlight w:val="none"/>
                <w:lang w:val="en-US" w:eastAsia="zh-CN"/>
              </w:rPr>
              <w:t>3339.5m</w:t>
            </w:r>
            <w:r>
              <w:rPr>
                <w:rFonts w:hint="eastAsia"/>
                <w:color w:val="auto"/>
                <w:highlight w:val="none"/>
                <w:vertAlign w:val="superscript"/>
                <w:lang w:val="en-US" w:eastAsia="zh-CN"/>
              </w:rPr>
              <w:t>2</w:t>
            </w:r>
            <w:r>
              <w:rPr>
                <w:rFonts w:hint="eastAsia"/>
                <w:color w:val="auto"/>
                <w:highlight w:val="none"/>
                <w:lang w:val="en-US" w:eastAsia="zh-CN"/>
              </w:rPr>
              <w:t>，现有项目建筑面积2203.5m</w:t>
            </w:r>
            <w:r>
              <w:rPr>
                <w:rFonts w:hint="eastAsia"/>
                <w:color w:val="auto"/>
                <w:highlight w:val="none"/>
                <w:vertAlign w:val="superscript"/>
                <w:lang w:val="en-US" w:eastAsia="zh-CN"/>
              </w:rPr>
              <w:t>2</w:t>
            </w:r>
            <w:r>
              <w:rPr>
                <w:rFonts w:hint="eastAsia"/>
                <w:color w:val="auto"/>
                <w:highlight w:val="none"/>
                <w:lang w:val="en-US" w:eastAsia="zh-CN"/>
              </w:rPr>
              <w:t>，扩建项目新增租赁面积1136m</w:t>
            </w:r>
            <w:r>
              <w:rPr>
                <w:rFonts w:hint="eastAsia"/>
                <w:color w:val="auto"/>
                <w:highlight w:val="none"/>
                <w:vertAlign w:val="superscript"/>
                <w:lang w:val="en-US" w:eastAsia="zh-CN"/>
              </w:rPr>
              <w:t>2</w:t>
            </w:r>
            <w:r>
              <w:rPr>
                <w:rFonts w:hint="eastAsia"/>
                <w:color w:val="auto"/>
                <w:highlight w:val="none"/>
                <w:lang w:val="en-US" w:eastAsia="zh-CN"/>
              </w:rPr>
              <w:t>。</w:t>
            </w:r>
          </w:p>
          <w:p w14:paraId="2777BD24">
            <w:pPr>
              <w:pStyle w:val="18"/>
              <w:rPr>
                <w:color w:val="auto"/>
                <w:highlight w:val="none"/>
              </w:rPr>
            </w:pPr>
            <w:r>
              <w:rPr>
                <w:rFonts w:hint="eastAsia"/>
                <w:color w:val="auto"/>
                <w:highlight w:val="none"/>
              </w:rPr>
              <w:t>劳动定员及工作制度：</w:t>
            </w:r>
            <w:r>
              <w:rPr>
                <w:rFonts w:hint="eastAsia"/>
                <w:color w:val="auto"/>
                <w:highlight w:val="none"/>
                <w:lang w:val="en-US" w:eastAsia="zh-CN"/>
              </w:rPr>
              <w:t>现有项目</w:t>
            </w:r>
            <w:r>
              <w:rPr>
                <w:rFonts w:hint="eastAsia"/>
                <w:color w:val="auto"/>
                <w:highlight w:val="none"/>
              </w:rPr>
              <w:t>劳动定员</w:t>
            </w:r>
            <w:r>
              <w:rPr>
                <w:rFonts w:hint="eastAsia"/>
                <w:color w:val="auto"/>
                <w:highlight w:val="none"/>
                <w:lang w:val="en-US" w:eastAsia="zh-CN"/>
              </w:rPr>
              <w:t>15</w:t>
            </w:r>
            <w:r>
              <w:rPr>
                <w:rFonts w:hint="eastAsia"/>
                <w:color w:val="auto"/>
                <w:highlight w:val="none"/>
              </w:rPr>
              <w:t>人</w:t>
            </w:r>
            <w:r>
              <w:rPr>
                <w:rFonts w:hint="eastAsia"/>
                <w:color w:val="auto"/>
                <w:highlight w:val="none"/>
                <w:lang w:eastAsia="zh-CN"/>
              </w:rPr>
              <w:t>，</w:t>
            </w:r>
            <w:r>
              <w:rPr>
                <w:rFonts w:hint="eastAsia"/>
                <w:color w:val="auto"/>
                <w:highlight w:val="none"/>
                <w:lang w:val="en-US" w:eastAsia="zh-CN"/>
              </w:rPr>
              <w:t>一班制生产</w:t>
            </w:r>
            <w:r>
              <w:rPr>
                <w:rFonts w:hint="eastAsia"/>
                <w:color w:val="auto"/>
                <w:highlight w:val="none"/>
              </w:rPr>
              <w:t>，</w:t>
            </w:r>
            <w:r>
              <w:rPr>
                <w:rFonts w:hint="eastAsia"/>
                <w:color w:val="auto"/>
                <w:highlight w:val="none"/>
                <w:lang w:val="en-US" w:eastAsia="zh-CN"/>
              </w:rPr>
              <w:t>扩建后</w:t>
            </w:r>
            <w:r>
              <w:rPr>
                <w:rFonts w:hint="eastAsia"/>
                <w:color w:val="auto"/>
                <w:highlight w:val="none"/>
              </w:rPr>
              <w:t>劳动定员</w:t>
            </w:r>
            <w:r>
              <w:rPr>
                <w:rFonts w:hint="eastAsia"/>
                <w:color w:val="auto"/>
                <w:highlight w:val="none"/>
                <w:lang w:val="en-US" w:eastAsia="zh-CN"/>
              </w:rPr>
              <w:t>60</w:t>
            </w:r>
            <w:r>
              <w:rPr>
                <w:rFonts w:hint="eastAsia"/>
                <w:color w:val="auto"/>
                <w:highlight w:val="none"/>
              </w:rPr>
              <w:t>人</w:t>
            </w:r>
            <w:r>
              <w:rPr>
                <w:rFonts w:hint="eastAsia"/>
                <w:color w:val="auto"/>
                <w:highlight w:val="none"/>
                <w:lang w:eastAsia="zh-CN"/>
              </w:rPr>
              <w:t>，</w:t>
            </w:r>
            <w:r>
              <w:rPr>
                <w:rFonts w:hint="eastAsia"/>
                <w:color w:val="auto"/>
                <w:highlight w:val="none"/>
                <w:lang w:val="en-US" w:eastAsia="zh-CN"/>
              </w:rPr>
              <w:t>新增</w:t>
            </w:r>
            <w:r>
              <w:rPr>
                <w:rFonts w:hint="eastAsia"/>
                <w:color w:val="auto"/>
                <w:highlight w:val="none"/>
              </w:rPr>
              <w:t>劳动定员</w:t>
            </w:r>
            <w:r>
              <w:rPr>
                <w:rFonts w:hint="eastAsia"/>
                <w:color w:val="auto"/>
                <w:highlight w:val="none"/>
                <w:lang w:val="en-US" w:eastAsia="zh-CN"/>
              </w:rPr>
              <w:t>45人</w:t>
            </w:r>
            <w:r>
              <w:rPr>
                <w:rFonts w:hint="eastAsia"/>
                <w:color w:val="auto"/>
                <w:highlight w:val="none"/>
              </w:rPr>
              <w:t>，年工作时间300d</w:t>
            </w:r>
            <w:r>
              <w:rPr>
                <w:rFonts w:hint="eastAsia"/>
                <w:color w:val="auto"/>
                <w:highlight w:val="none"/>
                <w:lang w:val="en-US" w:eastAsia="zh-CN"/>
              </w:rPr>
              <w:t>/a</w:t>
            </w:r>
            <w:r>
              <w:rPr>
                <w:rFonts w:hint="eastAsia"/>
                <w:color w:val="auto"/>
                <w:highlight w:val="none"/>
              </w:rPr>
              <w:t>，实行</w:t>
            </w:r>
            <w:r>
              <w:rPr>
                <w:rFonts w:hint="eastAsia"/>
                <w:color w:val="auto"/>
                <w:highlight w:val="none"/>
                <w:lang w:val="en-US" w:eastAsia="zh-CN"/>
              </w:rPr>
              <w:t>三</w:t>
            </w:r>
            <w:r>
              <w:rPr>
                <w:rFonts w:hint="eastAsia"/>
                <w:color w:val="auto"/>
                <w:highlight w:val="none"/>
              </w:rPr>
              <w:t>班</w:t>
            </w:r>
            <w:r>
              <w:rPr>
                <w:color w:val="auto"/>
                <w:highlight w:val="none"/>
              </w:rPr>
              <w:t>制，</w:t>
            </w:r>
            <w:r>
              <w:rPr>
                <w:rFonts w:hint="eastAsia"/>
                <w:color w:val="auto"/>
                <w:highlight w:val="none"/>
                <w:lang w:val="en-US" w:eastAsia="zh-CN"/>
              </w:rPr>
              <w:t>每班</w:t>
            </w:r>
            <w:r>
              <w:rPr>
                <w:color w:val="auto"/>
                <w:highlight w:val="none"/>
              </w:rPr>
              <w:t>工作时间</w:t>
            </w:r>
            <w:r>
              <w:rPr>
                <w:rFonts w:hint="eastAsia"/>
                <w:color w:val="auto"/>
                <w:highlight w:val="none"/>
              </w:rPr>
              <w:t>8h/班，</w:t>
            </w:r>
            <w:r>
              <w:rPr>
                <w:rFonts w:hint="eastAsia"/>
                <w:color w:val="auto"/>
                <w:highlight w:val="none"/>
                <w:lang w:val="en-US" w:eastAsia="zh-CN"/>
              </w:rPr>
              <w:t>不设置食堂和住宿</w:t>
            </w:r>
            <w:r>
              <w:rPr>
                <w:rFonts w:hint="eastAsia"/>
                <w:color w:val="auto"/>
                <w:highlight w:val="none"/>
              </w:rPr>
              <w:t>。</w:t>
            </w:r>
          </w:p>
          <w:p w14:paraId="1BED2735">
            <w:pPr>
              <w:pStyle w:val="18"/>
              <w:rPr>
                <w:color w:val="auto"/>
                <w:highlight w:val="none"/>
              </w:rPr>
            </w:pPr>
            <w:r>
              <w:rPr>
                <w:rFonts w:hint="eastAsia"/>
                <w:color w:val="auto"/>
                <w:highlight w:val="none"/>
              </w:rPr>
              <w:t>主要建设内容及规模：</w:t>
            </w:r>
          </w:p>
          <w:p w14:paraId="2304236A">
            <w:pPr>
              <w:pStyle w:val="18"/>
              <w:rPr>
                <w:color w:val="auto"/>
                <w:highlight w:val="none"/>
              </w:rPr>
            </w:pPr>
            <w:r>
              <w:rPr>
                <w:rFonts w:hint="eastAsia"/>
                <w:color w:val="auto"/>
                <w:highlight w:val="none"/>
                <w:lang w:val="en-US" w:eastAsia="zh-CN"/>
              </w:rPr>
              <w:t>新增租赁面积1136m</w:t>
            </w:r>
            <w:r>
              <w:rPr>
                <w:rFonts w:hint="eastAsia"/>
                <w:color w:val="auto"/>
                <w:highlight w:val="none"/>
                <w:vertAlign w:val="superscript"/>
                <w:lang w:val="en-US" w:eastAsia="zh-CN"/>
              </w:rPr>
              <w:t>2</w:t>
            </w:r>
            <w:r>
              <w:rPr>
                <w:rFonts w:hint="eastAsia"/>
                <w:color w:val="auto"/>
                <w:highlight w:val="none"/>
                <w:lang w:val="en-US" w:eastAsia="zh-CN"/>
              </w:rPr>
              <w:t>，在现有项目的基础上新增9台注塑设备，建成15台注塑机生产能力，通过配料、注塑、修整工序，生产塑料汽车零部件，涉及生产原料包括PP、ABS、ASA等塑料颗粒。涉及生产设备包括混料机、破碎机、注塑机，扩建后年产汽车后视镜、杯托等零部件600万件。</w:t>
            </w:r>
          </w:p>
          <w:p w14:paraId="7B04F161">
            <w:pPr>
              <w:pStyle w:val="18"/>
              <w:rPr>
                <w:color w:val="auto"/>
                <w:highlight w:val="none"/>
              </w:rPr>
            </w:pPr>
            <w:r>
              <w:rPr>
                <w:rFonts w:hint="eastAsia"/>
                <w:color w:val="auto"/>
                <w:highlight w:val="none"/>
              </w:rPr>
              <w:t>项目</w:t>
            </w:r>
            <w:r>
              <w:rPr>
                <w:color w:val="auto"/>
                <w:highlight w:val="none"/>
              </w:rPr>
              <w:t>总投资</w:t>
            </w:r>
            <w:r>
              <w:rPr>
                <w:rFonts w:hint="eastAsia"/>
                <w:color w:val="auto"/>
                <w:highlight w:val="none"/>
                <w:lang w:val="en-US" w:eastAsia="zh-CN"/>
              </w:rPr>
              <w:t>2</w:t>
            </w:r>
            <w:r>
              <w:rPr>
                <w:rFonts w:hint="eastAsia"/>
                <w:color w:val="auto"/>
                <w:highlight w:val="none"/>
              </w:rPr>
              <w:t>00万元</w:t>
            </w:r>
            <w:r>
              <w:rPr>
                <w:color w:val="auto"/>
                <w:highlight w:val="none"/>
              </w:rPr>
              <w:t>，其中环保投资</w:t>
            </w:r>
            <w:r>
              <w:rPr>
                <w:rFonts w:hint="eastAsia"/>
                <w:color w:val="auto"/>
                <w:highlight w:val="none"/>
                <w:lang w:val="en-US" w:eastAsia="zh-CN"/>
              </w:rPr>
              <w:t>20</w:t>
            </w:r>
            <w:r>
              <w:rPr>
                <w:rFonts w:hint="eastAsia"/>
                <w:color w:val="auto"/>
                <w:highlight w:val="none"/>
              </w:rPr>
              <w:t>万元</w:t>
            </w:r>
            <w:r>
              <w:rPr>
                <w:color w:val="auto"/>
                <w:highlight w:val="none"/>
              </w:rPr>
              <w:t>，占投资比例</w:t>
            </w:r>
            <w:r>
              <w:rPr>
                <w:rFonts w:hint="eastAsia"/>
                <w:color w:val="auto"/>
                <w:highlight w:val="none"/>
              </w:rPr>
              <w:t>10</w:t>
            </w:r>
            <w:r>
              <w:rPr>
                <w:color w:val="auto"/>
                <w:highlight w:val="none"/>
              </w:rPr>
              <w:t>%。</w:t>
            </w:r>
          </w:p>
          <w:p w14:paraId="25FF9736">
            <w:pPr>
              <w:pStyle w:val="2"/>
              <w:numPr>
                <w:ilvl w:val="0"/>
                <w:numId w:val="3"/>
              </w:numPr>
              <w:spacing w:before="156"/>
              <w:rPr>
                <w:color w:val="auto"/>
                <w:highlight w:val="none"/>
              </w:rPr>
            </w:pPr>
            <w:r>
              <w:rPr>
                <w:rFonts w:hint="eastAsia"/>
                <w:color w:val="auto"/>
                <w:highlight w:val="none"/>
              </w:rPr>
              <w:t>工程组成及内容</w:t>
            </w:r>
          </w:p>
          <w:p w14:paraId="3A2F8A4F">
            <w:pPr>
              <w:pStyle w:val="18"/>
              <w:rPr>
                <w:color w:val="auto"/>
                <w:highlight w:val="none"/>
              </w:rPr>
            </w:pPr>
            <w:r>
              <w:rPr>
                <w:rFonts w:hint="eastAsia"/>
                <w:color w:val="auto"/>
                <w:highlight w:val="none"/>
                <w:lang w:val="en-US" w:eastAsia="zh-CN"/>
              </w:rPr>
              <w:t>扩建项目新增租赁面积1136m</w:t>
            </w:r>
            <w:r>
              <w:rPr>
                <w:rFonts w:hint="eastAsia"/>
                <w:color w:val="auto"/>
                <w:highlight w:val="none"/>
                <w:vertAlign w:val="superscript"/>
                <w:lang w:val="en-US" w:eastAsia="zh-CN"/>
              </w:rPr>
              <w:t>2</w:t>
            </w:r>
            <w:r>
              <w:rPr>
                <w:rFonts w:hint="eastAsia"/>
                <w:color w:val="auto"/>
                <w:highlight w:val="none"/>
                <w:lang w:val="en-US" w:eastAsia="zh-CN"/>
              </w:rPr>
              <w:t>，在现有项目的基础上新增9台注塑设备。企业工程组成及内容梳理如下：</w:t>
            </w:r>
          </w:p>
          <w:p w14:paraId="5AB7FFE6">
            <w:pPr>
              <w:pStyle w:val="19"/>
              <w:bidi w:val="0"/>
              <w:rPr>
                <w:color w:val="auto"/>
                <w:highlight w:val="none"/>
              </w:rPr>
            </w:pPr>
            <w:bookmarkStart w:id="11" w:name="_Ref17769"/>
            <w:r>
              <w:rPr>
                <w:color w:val="auto"/>
                <w:highlight w:val="none"/>
              </w:rPr>
              <w:t>表2-</w:t>
            </w:r>
            <w:r>
              <w:rPr>
                <w:color w:val="auto"/>
                <w:highlight w:val="none"/>
              </w:rPr>
              <w:fldChar w:fldCharType="begin"/>
            </w:r>
            <w:r>
              <w:rPr>
                <w:color w:val="auto"/>
                <w:highlight w:val="none"/>
              </w:rPr>
              <w:instrText xml:space="preserve"> SEQ 表2- \* ARABIC </w:instrText>
            </w:r>
            <w:r>
              <w:rPr>
                <w:color w:val="auto"/>
                <w:highlight w:val="none"/>
              </w:rPr>
              <w:fldChar w:fldCharType="separate"/>
            </w:r>
            <w:r>
              <w:rPr>
                <w:color w:val="auto"/>
                <w:highlight w:val="none"/>
              </w:rPr>
              <w:t>1</w:t>
            </w:r>
            <w:r>
              <w:rPr>
                <w:color w:val="auto"/>
                <w:highlight w:val="none"/>
              </w:rPr>
              <w:fldChar w:fldCharType="end"/>
            </w:r>
            <w:bookmarkEnd w:id="11"/>
            <w:r>
              <w:rPr>
                <w:rFonts w:hint="eastAsia"/>
                <w:color w:val="auto"/>
                <w:highlight w:val="none"/>
              </w:rPr>
              <w:t xml:space="preserve">  项目工程组成一览表</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3"/>
              <w:gridCol w:w="464"/>
              <w:gridCol w:w="548"/>
              <w:gridCol w:w="2337"/>
              <w:gridCol w:w="3275"/>
              <w:gridCol w:w="1102"/>
            </w:tblGrid>
            <w:tr w14:paraId="558BD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1" w:type="pct"/>
                  <w:vMerge w:val="restart"/>
                  <w:tcBorders>
                    <w:tl2br w:val="nil"/>
                    <w:tr2bl w:val="nil"/>
                  </w:tcBorders>
                  <w:tcMar>
                    <w:top w:w="0" w:type="dxa"/>
                    <w:left w:w="28" w:type="dxa"/>
                    <w:bottom w:w="0" w:type="dxa"/>
                    <w:right w:w="28" w:type="dxa"/>
                  </w:tcMar>
                  <w:vAlign w:val="center"/>
                </w:tcPr>
                <w:p w14:paraId="2807F787">
                  <w:pPr>
                    <w:pStyle w:val="20"/>
                    <w:keepNext w:val="0"/>
                    <w:keepLines w:val="0"/>
                    <w:pageBreakBefore w:val="0"/>
                    <w:widowControl/>
                    <w:kinsoku/>
                    <w:wordWrap/>
                    <w:overflowPunct/>
                    <w:topLinePunct w:val="0"/>
                    <w:autoSpaceDE/>
                    <w:autoSpaceDN/>
                    <w:bidi w:val="0"/>
                    <w:adjustRightInd/>
                    <w:snapToGrid/>
                    <w:spacing w:before="31"/>
                    <w:textAlignment w:val="auto"/>
                    <w:rPr>
                      <w:b/>
                      <w:bCs/>
                      <w:color w:val="auto"/>
                      <w:highlight w:val="none"/>
                    </w:rPr>
                  </w:pPr>
                  <w:r>
                    <w:rPr>
                      <w:b/>
                      <w:bCs/>
                      <w:color w:val="auto"/>
                      <w:highlight w:val="none"/>
                    </w:rPr>
                    <w:t>项目类别</w:t>
                  </w:r>
                </w:p>
              </w:tc>
              <w:tc>
                <w:tcPr>
                  <w:tcW w:w="607" w:type="pct"/>
                  <w:gridSpan w:val="2"/>
                  <w:vMerge w:val="restart"/>
                  <w:tcBorders>
                    <w:tl2br w:val="nil"/>
                    <w:tr2bl w:val="nil"/>
                  </w:tcBorders>
                  <w:tcMar>
                    <w:top w:w="0" w:type="dxa"/>
                    <w:left w:w="28" w:type="dxa"/>
                    <w:bottom w:w="0" w:type="dxa"/>
                    <w:right w:w="28" w:type="dxa"/>
                  </w:tcMar>
                  <w:vAlign w:val="center"/>
                </w:tcPr>
                <w:p w14:paraId="4BB9AC0A">
                  <w:pPr>
                    <w:pStyle w:val="20"/>
                    <w:keepNext w:val="0"/>
                    <w:keepLines w:val="0"/>
                    <w:pageBreakBefore w:val="0"/>
                    <w:widowControl/>
                    <w:kinsoku/>
                    <w:wordWrap/>
                    <w:overflowPunct/>
                    <w:topLinePunct w:val="0"/>
                    <w:autoSpaceDE/>
                    <w:autoSpaceDN/>
                    <w:bidi w:val="0"/>
                    <w:adjustRightInd/>
                    <w:snapToGrid/>
                    <w:spacing w:before="31"/>
                    <w:textAlignment w:val="auto"/>
                    <w:rPr>
                      <w:b/>
                      <w:bCs/>
                      <w:color w:val="auto"/>
                      <w:highlight w:val="none"/>
                    </w:rPr>
                  </w:pPr>
                  <w:r>
                    <w:rPr>
                      <w:b/>
                      <w:bCs/>
                      <w:color w:val="auto"/>
                      <w:highlight w:val="none"/>
                    </w:rPr>
                    <w:t>建设内容</w:t>
                  </w:r>
                </w:p>
              </w:tc>
              <w:tc>
                <w:tcPr>
                  <w:tcW w:w="3368" w:type="pct"/>
                  <w:gridSpan w:val="2"/>
                  <w:tcBorders>
                    <w:tl2br w:val="nil"/>
                    <w:tr2bl w:val="nil"/>
                  </w:tcBorders>
                  <w:tcMar>
                    <w:top w:w="0" w:type="dxa"/>
                    <w:left w:w="28" w:type="dxa"/>
                    <w:bottom w:w="0" w:type="dxa"/>
                    <w:right w:w="28" w:type="dxa"/>
                  </w:tcMar>
                  <w:vAlign w:val="center"/>
                </w:tcPr>
                <w:p w14:paraId="55130411">
                  <w:pPr>
                    <w:pStyle w:val="20"/>
                    <w:keepNext w:val="0"/>
                    <w:keepLines w:val="0"/>
                    <w:pageBreakBefore w:val="0"/>
                    <w:widowControl/>
                    <w:kinsoku/>
                    <w:wordWrap/>
                    <w:overflowPunct/>
                    <w:topLinePunct w:val="0"/>
                    <w:autoSpaceDE/>
                    <w:autoSpaceDN/>
                    <w:bidi w:val="0"/>
                    <w:adjustRightInd/>
                    <w:snapToGrid/>
                    <w:spacing w:before="31"/>
                    <w:textAlignment w:val="auto"/>
                    <w:rPr>
                      <w:rFonts w:hint="default" w:eastAsia="宋体"/>
                      <w:b/>
                      <w:bCs/>
                      <w:color w:val="auto"/>
                      <w:highlight w:val="none"/>
                      <w:lang w:val="en-US" w:eastAsia="zh-CN"/>
                    </w:rPr>
                  </w:pPr>
                  <w:r>
                    <w:rPr>
                      <w:b/>
                      <w:bCs/>
                      <w:color w:val="auto"/>
                      <w:highlight w:val="none"/>
                    </w:rPr>
                    <w:t>规模及</w:t>
                  </w:r>
                  <w:r>
                    <w:rPr>
                      <w:rFonts w:hint="eastAsia"/>
                      <w:b/>
                      <w:bCs/>
                      <w:color w:val="auto"/>
                      <w:highlight w:val="none"/>
                    </w:rPr>
                    <w:t>内容</w:t>
                  </w:r>
                </w:p>
              </w:tc>
              <w:tc>
                <w:tcPr>
                  <w:tcW w:w="661" w:type="pct"/>
                  <w:vMerge w:val="restart"/>
                  <w:tcBorders>
                    <w:tl2br w:val="nil"/>
                    <w:tr2bl w:val="nil"/>
                  </w:tcBorders>
                  <w:tcMar>
                    <w:top w:w="0" w:type="dxa"/>
                    <w:left w:w="28" w:type="dxa"/>
                    <w:bottom w:w="0" w:type="dxa"/>
                    <w:right w:w="28" w:type="dxa"/>
                  </w:tcMar>
                  <w:vAlign w:val="center"/>
                </w:tcPr>
                <w:p w14:paraId="778441AB">
                  <w:pPr>
                    <w:pStyle w:val="20"/>
                    <w:keepNext w:val="0"/>
                    <w:keepLines w:val="0"/>
                    <w:pageBreakBefore w:val="0"/>
                    <w:widowControl/>
                    <w:kinsoku/>
                    <w:wordWrap/>
                    <w:overflowPunct/>
                    <w:topLinePunct w:val="0"/>
                    <w:autoSpaceDE/>
                    <w:autoSpaceDN/>
                    <w:bidi w:val="0"/>
                    <w:adjustRightInd/>
                    <w:snapToGrid/>
                    <w:spacing w:before="31"/>
                    <w:textAlignment w:val="auto"/>
                    <w:rPr>
                      <w:rFonts w:hint="default" w:eastAsia="宋体"/>
                      <w:b/>
                      <w:bCs/>
                      <w:color w:val="auto"/>
                      <w:highlight w:val="none"/>
                      <w:lang w:val="en-US" w:eastAsia="zh-CN"/>
                    </w:rPr>
                  </w:pPr>
                  <w:r>
                    <w:rPr>
                      <w:rFonts w:hint="eastAsia"/>
                      <w:b/>
                      <w:bCs/>
                      <w:color w:val="auto"/>
                      <w:highlight w:val="none"/>
                      <w:lang w:val="en-US" w:eastAsia="zh-CN"/>
                    </w:rPr>
                    <w:t>变化情况/备注</w:t>
                  </w:r>
                </w:p>
              </w:tc>
            </w:tr>
            <w:tr w14:paraId="1A4FE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1" w:type="pct"/>
                  <w:vMerge w:val="continue"/>
                  <w:tcBorders>
                    <w:tl2br w:val="nil"/>
                    <w:tr2bl w:val="nil"/>
                  </w:tcBorders>
                  <w:tcMar>
                    <w:top w:w="0" w:type="dxa"/>
                    <w:left w:w="28" w:type="dxa"/>
                    <w:bottom w:w="0" w:type="dxa"/>
                    <w:right w:w="28" w:type="dxa"/>
                  </w:tcMar>
                  <w:vAlign w:val="center"/>
                </w:tcPr>
                <w:p w14:paraId="018D9D16">
                  <w:pPr>
                    <w:pStyle w:val="20"/>
                    <w:keepNext w:val="0"/>
                    <w:keepLines w:val="0"/>
                    <w:pageBreakBefore w:val="0"/>
                    <w:widowControl/>
                    <w:kinsoku/>
                    <w:wordWrap/>
                    <w:overflowPunct/>
                    <w:topLinePunct w:val="0"/>
                    <w:autoSpaceDE/>
                    <w:autoSpaceDN/>
                    <w:bidi w:val="0"/>
                    <w:adjustRightInd/>
                    <w:snapToGrid/>
                    <w:spacing w:before="31"/>
                    <w:textAlignment w:val="auto"/>
                    <w:rPr>
                      <w:color w:val="auto"/>
                      <w:highlight w:val="none"/>
                    </w:rPr>
                  </w:pPr>
                </w:p>
              </w:tc>
              <w:tc>
                <w:tcPr>
                  <w:tcW w:w="607" w:type="pct"/>
                  <w:gridSpan w:val="2"/>
                  <w:vMerge w:val="continue"/>
                  <w:tcBorders>
                    <w:tl2br w:val="nil"/>
                    <w:tr2bl w:val="nil"/>
                  </w:tcBorders>
                  <w:tcMar>
                    <w:top w:w="0" w:type="dxa"/>
                    <w:left w:w="28" w:type="dxa"/>
                    <w:bottom w:w="0" w:type="dxa"/>
                    <w:right w:w="28" w:type="dxa"/>
                  </w:tcMar>
                  <w:vAlign w:val="center"/>
                </w:tcPr>
                <w:p w14:paraId="1B2F7C5B">
                  <w:pPr>
                    <w:pStyle w:val="20"/>
                    <w:keepNext w:val="0"/>
                    <w:keepLines w:val="0"/>
                    <w:pageBreakBefore w:val="0"/>
                    <w:widowControl/>
                    <w:kinsoku/>
                    <w:wordWrap/>
                    <w:overflowPunct/>
                    <w:topLinePunct w:val="0"/>
                    <w:autoSpaceDE/>
                    <w:autoSpaceDN/>
                    <w:bidi w:val="0"/>
                    <w:adjustRightInd/>
                    <w:snapToGrid/>
                    <w:spacing w:before="31"/>
                    <w:textAlignment w:val="auto"/>
                    <w:rPr>
                      <w:color w:val="auto"/>
                      <w:highlight w:val="none"/>
                    </w:rPr>
                  </w:pPr>
                </w:p>
              </w:tc>
              <w:tc>
                <w:tcPr>
                  <w:tcW w:w="1402" w:type="pct"/>
                  <w:tcBorders>
                    <w:tl2br w:val="nil"/>
                    <w:tr2bl w:val="nil"/>
                  </w:tcBorders>
                  <w:tcMar>
                    <w:top w:w="0" w:type="dxa"/>
                    <w:left w:w="28" w:type="dxa"/>
                    <w:bottom w:w="0" w:type="dxa"/>
                    <w:right w:w="28" w:type="dxa"/>
                  </w:tcMar>
                  <w:vAlign w:val="center"/>
                </w:tcPr>
                <w:p w14:paraId="4EA3C01E">
                  <w:pPr>
                    <w:pStyle w:val="20"/>
                    <w:keepNext w:val="0"/>
                    <w:keepLines w:val="0"/>
                    <w:pageBreakBefore w:val="0"/>
                    <w:widowControl/>
                    <w:kinsoku/>
                    <w:wordWrap/>
                    <w:overflowPunct/>
                    <w:topLinePunct w:val="0"/>
                    <w:autoSpaceDE/>
                    <w:autoSpaceDN/>
                    <w:bidi w:val="0"/>
                    <w:adjustRightInd/>
                    <w:snapToGrid/>
                    <w:spacing w:before="31"/>
                    <w:textAlignment w:val="auto"/>
                    <w:rPr>
                      <w:rFonts w:hint="default" w:eastAsia="宋体"/>
                      <w:b/>
                      <w:bCs/>
                      <w:color w:val="auto"/>
                      <w:highlight w:val="none"/>
                      <w:lang w:val="en-US" w:eastAsia="zh-CN"/>
                    </w:rPr>
                  </w:pPr>
                  <w:r>
                    <w:rPr>
                      <w:rFonts w:hint="eastAsia"/>
                      <w:b/>
                      <w:bCs/>
                      <w:color w:val="auto"/>
                      <w:highlight w:val="none"/>
                      <w:lang w:val="en-US" w:eastAsia="zh-CN"/>
                    </w:rPr>
                    <w:t>现有项目</w:t>
                  </w:r>
                </w:p>
              </w:tc>
              <w:tc>
                <w:tcPr>
                  <w:tcW w:w="1966" w:type="pct"/>
                  <w:tcBorders>
                    <w:tl2br w:val="nil"/>
                    <w:tr2bl w:val="nil"/>
                  </w:tcBorders>
                  <w:tcMar>
                    <w:top w:w="0" w:type="dxa"/>
                    <w:left w:w="28" w:type="dxa"/>
                    <w:bottom w:w="0" w:type="dxa"/>
                    <w:right w:w="28" w:type="dxa"/>
                  </w:tcMar>
                  <w:vAlign w:val="center"/>
                </w:tcPr>
                <w:p w14:paraId="0223D55F">
                  <w:pPr>
                    <w:pStyle w:val="20"/>
                    <w:keepNext w:val="0"/>
                    <w:keepLines w:val="0"/>
                    <w:pageBreakBefore w:val="0"/>
                    <w:widowControl/>
                    <w:kinsoku/>
                    <w:wordWrap/>
                    <w:overflowPunct/>
                    <w:topLinePunct w:val="0"/>
                    <w:autoSpaceDE/>
                    <w:autoSpaceDN/>
                    <w:bidi w:val="0"/>
                    <w:adjustRightInd/>
                    <w:snapToGrid/>
                    <w:spacing w:before="31"/>
                    <w:textAlignment w:val="auto"/>
                    <w:rPr>
                      <w:b/>
                      <w:bCs/>
                      <w:color w:val="auto"/>
                      <w:highlight w:val="none"/>
                    </w:rPr>
                  </w:pPr>
                  <w:r>
                    <w:rPr>
                      <w:rFonts w:hint="eastAsia"/>
                      <w:b/>
                      <w:bCs/>
                      <w:color w:val="auto"/>
                      <w:highlight w:val="none"/>
                      <w:lang w:val="en-US" w:eastAsia="zh-CN"/>
                    </w:rPr>
                    <w:t>扩建后</w:t>
                  </w:r>
                </w:p>
              </w:tc>
              <w:tc>
                <w:tcPr>
                  <w:tcW w:w="661" w:type="pct"/>
                  <w:vMerge w:val="continue"/>
                  <w:tcBorders>
                    <w:tl2br w:val="nil"/>
                    <w:tr2bl w:val="nil"/>
                  </w:tcBorders>
                  <w:tcMar>
                    <w:top w:w="0" w:type="dxa"/>
                    <w:left w:w="28" w:type="dxa"/>
                    <w:bottom w:w="0" w:type="dxa"/>
                    <w:right w:w="28" w:type="dxa"/>
                  </w:tcMar>
                  <w:vAlign w:val="center"/>
                </w:tcPr>
                <w:p w14:paraId="10D55884">
                  <w:pPr>
                    <w:pStyle w:val="20"/>
                    <w:keepNext w:val="0"/>
                    <w:keepLines w:val="0"/>
                    <w:pageBreakBefore w:val="0"/>
                    <w:widowControl/>
                    <w:kinsoku/>
                    <w:wordWrap/>
                    <w:overflowPunct/>
                    <w:topLinePunct w:val="0"/>
                    <w:autoSpaceDE/>
                    <w:autoSpaceDN/>
                    <w:bidi w:val="0"/>
                    <w:adjustRightInd/>
                    <w:snapToGrid/>
                    <w:spacing w:before="31"/>
                    <w:textAlignment w:val="auto"/>
                    <w:rPr>
                      <w:b/>
                      <w:bCs/>
                      <w:color w:val="auto"/>
                      <w:highlight w:val="none"/>
                    </w:rPr>
                  </w:pPr>
                </w:p>
              </w:tc>
            </w:tr>
            <w:tr w14:paraId="47CD5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1" w:type="pct"/>
                  <w:vMerge w:val="restart"/>
                  <w:tcBorders>
                    <w:tl2br w:val="nil"/>
                    <w:tr2bl w:val="nil"/>
                  </w:tcBorders>
                  <w:shd w:val="clear" w:color="auto" w:fill="auto"/>
                  <w:tcMar>
                    <w:top w:w="0" w:type="dxa"/>
                    <w:left w:w="28" w:type="dxa"/>
                    <w:bottom w:w="0" w:type="dxa"/>
                    <w:right w:w="28" w:type="dxa"/>
                  </w:tcMar>
                  <w:vAlign w:val="center"/>
                </w:tcPr>
                <w:p w14:paraId="3CCEBF70">
                  <w:pPr>
                    <w:pStyle w:val="20"/>
                    <w:keepNext w:val="0"/>
                    <w:keepLines w:val="0"/>
                    <w:pageBreakBefore w:val="0"/>
                    <w:widowControl/>
                    <w:kinsoku/>
                    <w:wordWrap/>
                    <w:overflowPunct/>
                    <w:topLinePunct w:val="0"/>
                    <w:autoSpaceDE/>
                    <w:autoSpaceDN/>
                    <w:bidi w:val="0"/>
                    <w:adjustRightInd/>
                    <w:snapToGrid/>
                    <w:spacing w:before="31"/>
                    <w:textAlignment w:val="auto"/>
                    <w:rPr>
                      <w:rFonts w:ascii="Times New Roman" w:hAnsi="Times New Roman" w:eastAsia="宋体" w:cs="宋体"/>
                      <w:color w:val="auto"/>
                      <w:kern w:val="2"/>
                      <w:sz w:val="21"/>
                      <w:szCs w:val="21"/>
                      <w:highlight w:val="none"/>
                      <w:lang w:val="en-US" w:eastAsia="zh-CN" w:bidi="ar-SA"/>
                    </w:rPr>
                  </w:pPr>
                  <w:r>
                    <w:rPr>
                      <w:color w:val="auto"/>
                      <w:highlight w:val="none"/>
                    </w:rPr>
                    <w:t>主体工程</w:t>
                  </w:r>
                </w:p>
              </w:tc>
              <w:tc>
                <w:tcPr>
                  <w:tcW w:w="607" w:type="pct"/>
                  <w:gridSpan w:val="2"/>
                  <w:vMerge w:val="restart"/>
                  <w:tcBorders>
                    <w:tl2br w:val="nil"/>
                    <w:tr2bl w:val="nil"/>
                  </w:tcBorders>
                  <w:shd w:val="clear" w:color="auto" w:fill="auto"/>
                  <w:tcMar>
                    <w:top w:w="0" w:type="dxa"/>
                    <w:left w:w="28" w:type="dxa"/>
                    <w:bottom w:w="0" w:type="dxa"/>
                    <w:right w:w="28" w:type="dxa"/>
                  </w:tcMar>
                  <w:vAlign w:val="center"/>
                </w:tcPr>
                <w:p w14:paraId="40327220">
                  <w:pPr>
                    <w:pStyle w:val="20"/>
                    <w:keepNext w:val="0"/>
                    <w:keepLines w:val="0"/>
                    <w:pageBreakBefore w:val="0"/>
                    <w:widowControl/>
                    <w:kinsoku/>
                    <w:wordWrap/>
                    <w:overflowPunct/>
                    <w:topLinePunct w:val="0"/>
                    <w:autoSpaceDE/>
                    <w:autoSpaceDN/>
                    <w:bidi w:val="0"/>
                    <w:adjustRightInd/>
                    <w:snapToGrid/>
                    <w:spacing w:before="31"/>
                    <w:jc w:val="center"/>
                    <w:textAlignment w:val="auto"/>
                    <w:rPr>
                      <w:rFonts w:hint="default" w:ascii="Times New Roman" w:hAnsi="Times New Roman"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生产厂房</w:t>
                  </w:r>
                </w:p>
              </w:tc>
              <w:tc>
                <w:tcPr>
                  <w:tcW w:w="1402" w:type="pct"/>
                  <w:tcBorders>
                    <w:bottom w:val="dashed" w:color="auto" w:sz="4" w:space="0"/>
                    <w:tl2br w:val="nil"/>
                    <w:tr2bl w:val="nil"/>
                  </w:tcBorders>
                  <w:tcMar>
                    <w:top w:w="0" w:type="dxa"/>
                    <w:left w:w="28" w:type="dxa"/>
                    <w:bottom w:w="0" w:type="dxa"/>
                    <w:right w:w="28" w:type="dxa"/>
                  </w:tcMar>
                  <w:vAlign w:val="center"/>
                </w:tcPr>
                <w:p w14:paraId="6ADB6AB1">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default"/>
                      <w:color w:val="auto"/>
                      <w:highlight w:val="none"/>
                      <w:lang w:val="en-US" w:eastAsia="zh-CN"/>
                    </w:rPr>
                  </w:pPr>
                  <w:r>
                    <w:rPr>
                      <w:rFonts w:hint="eastAsia"/>
                      <w:color w:val="auto"/>
                      <w:highlight w:val="none"/>
                      <w:lang w:val="en-US" w:eastAsia="zh-CN"/>
                    </w:rPr>
                    <w:t>厂房南北两侧为2层建筑，厂房1F面积1777.5m</w:t>
                  </w:r>
                  <w:r>
                    <w:rPr>
                      <w:rFonts w:hint="eastAsia"/>
                      <w:color w:val="auto"/>
                      <w:highlight w:val="none"/>
                      <w:vertAlign w:val="superscript"/>
                      <w:lang w:val="en-US" w:eastAsia="zh-CN"/>
                    </w:rPr>
                    <w:t>2</w:t>
                  </w:r>
                  <w:r>
                    <w:rPr>
                      <w:rFonts w:hint="eastAsia"/>
                      <w:color w:val="auto"/>
                      <w:highlight w:val="none"/>
                      <w:vertAlign w:val="baseline"/>
                      <w:lang w:val="en-US" w:eastAsia="zh-CN"/>
                    </w:rPr>
                    <w:t>，南侧2F面积426m</w:t>
                  </w:r>
                  <w:r>
                    <w:rPr>
                      <w:rFonts w:hint="eastAsia"/>
                      <w:color w:val="auto"/>
                      <w:highlight w:val="none"/>
                      <w:vertAlign w:val="superscript"/>
                      <w:lang w:val="en-US" w:eastAsia="zh-CN"/>
                    </w:rPr>
                    <w:t>2</w:t>
                  </w:r>
                  <w:r>
                    <w:rPr>
                      <w:rFonts w:hint="eastAsia"/>
                      <w:color w:val="auto"/>
                      <w:highlight w:val="none"/>
                      <w:vertAlign w:val="baseline"/>
                      <w:lang w:val="en-US" w:eastAsia="zh-CN"/>
                    </w:rPr>
                    <w:t>为办公区域。其中：</w:t>
                  </w:r>
                </w:p>
              </w:tc>
              <w:tc>
                <w:tcPr>
                  <w:tcW w:w="1966" w:type="pct"/>
                  <w:tcBorders>
                    <w:bottom w:val="dashed" w:color="auto" w:sz="4" w:space="0"/>
                    <w:tl2br w:val="nil"/>
                    <w:tr2bl w:val="nil"/>
                  </w:tcBorders>
                  <w:tcMar>
                    <w:top w:w="0" w:type="dxa"/>
                    <w:left w:w="28" w:type="dxa"/>
                    <w:bottom w:w="0" w:type="dxa"/>
                    <w:right w:w="28" w:type="dxa"/>
                  </w:tcMar>
                  <w:vAlign w:val="center"/>
                </w:tcPr>
                <w:p w14:paraId="27A70565">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default"/>
                      <w:color w:val="auto"/>
                      <w:highlight w:val="none"/>
                      <w:vertAlign w:val="baseline"/>
                      <w:lang w:val="en-US" w:eastAsia="zh-CN"/>
                    </w:rPr>
                  </w:pPr>
                  <w:r>
                    <w:rPr>
                      <w:rFonts w:hint="eastAsia"/>
                      <w:color w:val="auto"/>
                      <w:highlight w:val="none"/>
                      <w:lang w:val="en-US" w:eastAsia="zh-CN"/>
                    </w:rPr>
                    <w:t>厂房南北两侧为2层建筑，厂房1F面积1777.5m</w:t>
                  </w:r>
                  <w:r>
                    <w:rPr>
                      <w:rFonts w:hint="eastAsia"/>
                      <w:color w:val="auto"/>
                      <w:highlight w:val="none"/>
                      <w:vertAlign w:val="superscript"/>
                      <w:lang w:val="en-US" w:eastAsia="zh-CN"/>
                    </w:rPr>
                    <w:t>2</w:t>
                  </w:r>
                  <w:r>
                    <w:rPr>
                      <w:rFonts w:hint="eastAsia"/>
                      <w:color w:val="auto"/>
                      <w:highlight w:val="none"/>
                      <w:vertAlign w:val="baseline"/>
                      <w:lang w:val="en-US" w:eastAsia="zh-CN"/>
                    </w:rPr>
                    <w:t>，南侧2F面积426m</w:t>
                  </w:r>
                  <w:r>
                    <w:rPr>
                      <w:rFonts w:hint="eastAsia"/>
                      <w:color w:val="auto"/>
                      <w:highlight w:val="none"/>
                      <w:vertAlign w:val="superscript"/>
                      <w:lang w:val="en-US" w:eastAsia="zh-CN"/>
                    </w:rPr>
                    <w:t>2</w:t>
                  </w:r>
                  <w:r>
                    <w:rPr>
                      <w:rFonts w:hint="eastAsia"/>
                      <w:color w:val="auto"/>
                      <w:highlight w:val="none"/>
                      <w:vertAlign w:val="baseline"/>
                      <w:lang w:val="en-US" w:eastAsia="zh-CN"/>
                    </w:rPr>
                    <w:t>为办公区域。西侧新增租赁面积</w:t>
                  </w:r>
                  <w:r>
                    <w:rPr>
                      <w:rFonts w:hint="eastAsia"/>
                      <w:color w:val="auto"/>
                      <w:highlight w:val="none"/>
                      <w:lang w:val="en-US" w:eastAsia="zh-CN"/>
                    </w:rPr>
                    <w:t>1136m</w:t>
                  </w:r>
                  <w:r>
                    <w:rPr>
                      <w:rFonts w:hint="eastAsia"/>
                      <w:color w:val="auto"/>
                      <w:highlight w:val="none"/>
                      <w:vertAlign w:val="superscript"/>
                      <w:lang w:val="en-US" w:eastAsia="zh-CN"/>
                    </w:rPr>
                    <w:t>2</w:t>
                  </w:r>
                  <w:r>
                    <w:rPr>
                      <w:rFonts w:hint="eastAsia"/>
                      <w:color w:val="auto"/>
                      <w:highlight w:val="none"/>
                      <w:lang w:val="en-US" w:eastAsia="zh-CN"/>
                    </w:rPr>
                    <w:t>，用于仓储和注塑生产。</w:t>
                  </w:r>
                  <w:r>
                    <w:rPr>
                      <w:rFonts w:hint="eastAsia"/>
                      <w:color w:val="auto"/>
                      <w:highlight w:val="none"/>
                      <w:vertAlign w:val="baseline"/>
                      <w:lang w:val="en-US" w:eastAsia="zh-CN"/>
                    </w:rPr>
                    <w:t>其中：</w:t>
                  </w:r>
                </w:p>
              </w:tc>
              <w:tc>
                <w:tcPr>
                  <w:tcW w:w="661" w:type="pct"/>
                  <w:tcBorders>
                    <w:bottom w:val="dashed" w:color="auto" w:sz="4" w:space="0"/>
                    <w:tl2br w:val="nil"/>
                    <w:tr2bl w:val="nil"/>
                  </w:tcBorders>
                  <w:tcMar>
                    <w:top w:w="0" w:type="dxa"/>
                    <w:left w:w="28" w:type="dxa"/>
                    <w:bottom w:w="0" w:type="dxa"/>
                    <w:right w:w="28" w:type="dxa"/>
                  </w:tcMar>
                  <w:vAlign w:val="center"/>
                </w:tcPr>
                <w:p w14:paraId="283B5696">
                  <w:pPr>
                    <w:pStyle w:val="20"/>
                    <w:keepNext w:val="0"/>
                    <w:keepLines w:val="0"/>
                    <w:pageBreakBefore w:val="0"/>
                    <w:widowControl/>
                    <w:kinsoku/>
                    <w:wordWrap/>
                    <w:overflowPunct/>
                    <w:topLinePunct w:val="0"/>
                    <w:autoSpaceDE/>
                    <w:autoSpaceDN/>
                    <w:bidi w:val="0"/>
                    <w:adjustRightInd/>
                    <w:snapToGrid/>
                    <w:spacing w:before="31"/>
                    <w:textAlignment w:val="auto"/>
                    <w:rPr>
                      <w:rFonts w:hint="default"/>
                      <w:color w:val="auto"/>
                      <w:highlight w:val="none"/>
                      <w:lang w:val="en-US" w:eastAsia="zh-CN"/>
                    </w:rPr>
                  </w:pPr>
                  <w:r>
                    <w:rPr>
                      <w:rFonts w:hint="eastAsia"/>
                      <w:color w:val="auto"/>
                      <w:highlight w:val="none"/>
                      <w:vertAlign w:val="baseline"/>
                      <w:lang w:val="en-US" w:eastAsia="zh-CN"/>
                    </w:rPr>
                    <w:t>新增租赁面积</w:t>
                  </w:r>
                  <w:r>
                    <w:rPr>
                      <w:rFonts w:hint="eastAsia"/>
                      <w:color w:val="auto"/>
                      <w:highlight w:val="none"/>
                      <w:lang w:val="en-US" w:eastAsia="zh-CN"/>
                    </w:rPr>
                    <w:t>1136m</w:t>
                  </w:r>
                  <w:r>
                    <w:rPr>
                      <w:rFonts w:hint="eastAsia"/>
                      <w:color w:val="auto"/>
                      <w:highlight w:val="none"/>
                      <w:vertAlign w:val="superscript"/>
                      <w:lang w:val="en-US" w:eastAsia="zh-CN"/>
                    </w:rPr>
                    <w:t>2</w:t>
                  </w:r>
                  <w:r>
                    <w:rPr>
                      <w:rFonts w:hint="eastAsia"/>
                      <w:color w:val="auto"/>
                      <w:highlight w:val="none"/>
                      <w:lang w:val="en-US" w:eastAsia="zh-CN"/>
                    </w:rPr>
                    <w:t>，用于仓储和注塑生产。</w:t>
                  </w:r>
                </w:p>
              </w:tc>
            </w:tr>
            <w:tr w14:paraId="6439B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1" w:type="pct"/>
                  <w:vMerge w:val="continue"/>
                  <w:tcBorders>
                    <w:tl2br w:val="nil"/>
                    <w:tr2bl w:val="nil"/>
                  </w:tcBorders>
                  <w:shd w:val="clear" w:color="auto" w:fill="auto"/>
                  <w:tcMar>
                    <w:top w:w="0" w:type="dxa"/>
                    <w:left w:w="28" w:type="dxa"/>
                    <w:bottom w:w="0" w:type="dxa"/>
                    <w:right w:w="28" w:type="dxa"/>
                  </w:tcMar>
                  <w:vAlign w:val="center"/>
                </w:tcPr>
                <w:p w14:paraId="69371173">
                  <w:pPr>
                    <w:pStyle w:val="20"/>
                    <w:keepNext w:val="0"/>
                    <w:keepLines w:val="0"/>
                    <w:pageBreakBefore w:val="0"/>
                    <w:widowControl/>
                    <w:kinsoku/>
                    <w:wordWrap/>
                    <w:overflowPunct/>
                    <w:topLinePunct w:val="0"/>
                    <w:autoSpaceDE/>
                    <w:autoSpaceDN/>
                    <w:bidi w:val="0"/>
                    <w:adjustRightInd/>
                    <w:snapToGrid/>
                    <w:spacing w:before="31"/>
                    <w:textAlignment w:val="auto"/>
                    <w:rPr>
                      <w:color w:val="auto"/>
                      <w:highlight w:val="none"/>
                    </w:rPr>
                  </w:pPr>
                </w:p>
              </w:tc>
              <w:tc>
                <w:tcPr>
                  <w:tcW w:w="607" w:type="pct"/>
                  <w:gridSpan w:val="2"/>
                  <w:vMerge w:val="continue"/>
                  <w:tcBorders>
                    <w:tl2br w:val="nil"/>
                    <w:tr2bl w:val="nil"/>
                  </w:tcBorders>
                  <w:shd w:val="clear" w:color="auto" w:fill="auto"/>
                  <w:tcMar>
                    <w:top w:w="0" w:type="dxa"/>
                    <w:left w:w="28" w:type="dxa"/>
                    <w:bottom w:w="0" w:type="dxa"/>
                    <w:right w:w="28" w:type="dxa"/>
                  </w:tcMar>
                  <w:vAlign w:val="center"/>
                </w:tcPr>
                <w:p w14:paraId="2A82CCB6">
                  <w:pPr>
                    <w:pStyle w:val="20"/>
                    <w:keepNext w:val="0"/>
                    <w:keepLines w:val="0"/>
                    <w:pageBreakBefore w:val="0"/>
                    <w:widowControl/>
                    <w:kinsoku/>
                    <w:wordWrap/>
                    <w:overflowPunct/>
                    <w:topLinePunct w:val="0"/>
                    <w:autoSpaceDE/>
                    <w:autoSpaceDN/>
                    <w:bidi w:val="0"/>
                    <w:adjustRightInd/>
                    <w:snapToGrid/>
                    <w:spacing w:before="31"/>
                    <w:jc w:val="center"/>
                    <w:textAlignment w:val="auto"/>
                    <w:rPr>
                      <w:rFonts w:hint="eastAsia" w:cs="宋体"/>
                      <w:color w:val="auto"/>
                      <w:kern w:val="2"/>
                      <w:sz w:val="21"/>
                      <w:szCs w:val="21"/>
                      <w:highlight w:val="none"/>
                      <w:lang w:val="en-US" w:eastAsia="zh-CN" w:bidi="ar-SA"/>
                    </w:rPr>
                  </w:pPr>
                </w:p>
              </w:tc>
              <w:tc>
                <w:tcPr>
                  <w:tcW w:w="1402" w:type="pct"/>
                  <w:tcBorders>
                    <w:top w:val="dashed" w:color="auto" w:sz="4" w:space="0"/>
                    <w:bottom w:val="dashed" w:color="auto" w:sz="4" w:space="0"/>
                    <w:tl2br w:val="nil"/>
                    <w:tr2bl w:val="nil"/>
                  </w:tcBorders>
                  <w:tcMar>
                    <w:top w:w="0" w:type="dxa"/>
                    <w:left w:w="28" w:type="dxa"/>
                    <w:bottom w:w="0" w:type="dxa"/>
                    <w:right w:w="28" w:type="dxa"/>
                  </w:tcMar>
                  <w:vAlign w:val="center"/>
                </w:tcPr>
                <w:p w14:paraId="48B11D96">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eastAsia"/>
                      <w:color w:val="auto"/>
                      <w:sz w:val="18"/>
                      <w:szCs w:val="18"/>
                      <w:highlight w:val="none"/>
                      <w:lang w:val="en-US" w:eastAsia="zh-CN"/>
                    </w:rPr>
                  </w:pPr>
                  <w:r>
                    <w:rPr>
                      <w:rFonts w:hint="eastAsia"/>
                      <w:color w:val="auto"/>
                      <w:sz w:val="18"/>
                      <w:szCs w:val="18"/>
                      <w:highlight w:val="none"/>
                      <w:lang w:val="en-US" w:eastAsia="zh-CN"/>
                    </w:rPr>
                    <w:t>北侧1F为五金、备件仓库，通道一侧为检验包装区，2F非企业租赁范围。南侧1F设置就餐区，2F为办公区域。</w:t>
                  </w:r>
                </w:p>
              </w:tc>
              <w:tc>
                <w:tcPr>
                  <w:tcW w:w="1966" w:type="pct"/>
                  <w:tcBorders>
                    <w:top w:val="dashed" w:color="auto" w:sz="4" w:space="0"/>
                    <w:bottom w:val="dashed" w:color="auto" w:sz="4" w:space="0"/>
                    <w:tl2br w:val="nil"/>
                    <w:tr2bl w:val="nil"/>
                  </w:tcBorders>
                  <w:tcMar>
                    <w:top w:w="0" w:type="dxa"/>
                    <w:left w:w="28" w:type="dxa"/>
                    <w:bottom w:w="0" w:type="dxa"/>
                    <w:right w:w="28" w:type="dxa"/>
                  </w:tcMar>
                  <w:vAlign w:val="center"/>
                </w:tcPr>
                <w:p w14:paraId="5F3B3949">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default"/>
                      <w:color w:val="auto"/>
                      <w:sz w:val="18"/>
                      <w:szCs w:val="18"/>
                      <w:highlight w:val="none"/>
                      <w:lang w:val="en-US" w:eastAsia="zh-CN"/>
                    </w:rPr>
                  </w:pPr>
                  <w:r>
                    <w:rPr>
                      <w:rFonts w:hint="eastAsia"/>
                      <w:color w:val="auto"/>
                      <w:sz w:val="18"/>
                      <w:szCs w:val="18"/>
                      <w:highlight w:val="none"/>
                      <w:lang w:val="en-US" w:eastAsia="zh-CN"/>
                    </w:rPr>
                    <w:t>北侧1F为五金、备件仓库和原料库房，通道两侧为原料库房延伸，2F非企业租赁范围。南侧1F设置就餐区，2F为办公区域。</w:t>
                  </w:r>
                </w:p>
              </w:tc>
              <w:tc>
                <w:tcPr>
                  <w:tcW w:w="661" w:type="pct"/>
                  <w:tcBorders>
                    <w:top w:val="dashed" w:color="auto" w:sz="4" w:space="0"/>
                    <w:bottom w:val="dashed" w:color="auto" w:sz="4" w:space="0"/>
                    <w:tl2br w:val="nil"/>
                    <w:tr2bl w:val="nil"/>
                  </w:tcBorders>
                  <w:tcMar>
                    <w:top w:w="0" w:type="dxa"/>
                    <w:left w:w="28" w:type="dxa"/>
                    <w:bottom w:w="0" w:type="dxa"/>
                    <w:right w:w="28" w:type="dxa"/>
                  </w:tcMar>
                  <w:vAlign w:val="center"/>
                </w:tcPr>
                <w:p w14:paraId="2C747AB3">
                  <w:pPr>
                    <w:pStyle w:val="20"/>
                    <w:keepNext w:val="0"/>
                    <w:keepLines w:val="0"/>
                    <w:pageBreakBefore w:val="0"/>
                    <w:widowControl/>
                    <w:kinsoku/>
                    <w:wordWrap/>
                    <w:overflowPunct/>
                    <w:topLinePunct w:val="0"/>
                    <w:autoSpaceDE/>
                    <w:autoSpaceDN/>
                    <w:bidi w:val="0"/>
                    <w:adjustRightInd/>
                    <w:snapToGrid/>
                    <w:spacing w:before="31"/>
                    <w:textAlignment w:val="auto"/>
                    <w:rPr>
                      <w:rFonts w:hint="eastAsia"/>
                      <w:color w:val="auto"/>
                      <w:sz w:val="18"/>
                      <w:szCs w:val="18"/>
                      <w:highlight w:val="none"/>
                      <w:lang w:val="en-US" w:eastAsia="zh-CN"/>
                    </w:rPr>
                  </w:pPr>
                  <w:r>
                    <w:rPr>
                      <w:rFonts w:hint="eastAsia"/>
                      <w:color w:val="auto"/>
                      <w:sz w:val="18"/>
                      <w:szCs w:val="18"/>
                      <w:highlight w:val="none"/>
                      <w:lang w:val="en-US" w:eastAsia="zh-CN"/>
                    </w:rPr>
                    <w:t>五金、备件仓库所需面积较小，其余用于原料暂存。</w:t>
                  </w:r>
                </w:p>
              </w:tc>
            </w:tr>
            <w:tr w14:paraId="4822C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1" w:type="pct"/>
                  <w:vMerge w:val="continue"/>
                  <w:tcBorders>
                    <w:tl2br w:val="nil"/>
                    <w:tr2bl w:val="nil"/>
                  </w:tcBorders>
                  <w:shd w:val="clear" w:color="auto" w:fill="auto"/>
                  <w:tcMar>
                    <w:top w:w="0" w:type="dxa"/>
                    <w:left w:w="28" w:type="dxa"/>
                    <w:bottom w:w="0" w:type="dxa"/>
                    <w:right w:w="28" w:type="dxa"/>
                  </w:tcMar>
                  <w:vAlign w:val="center"/>
                </w:tcPr>
                <w:p w14:paraId="1179882C">
                  <w:pPr>
                    <w:pStyle w:val="20"/>
                    <w:keepNext w:val="0"/>
                    <w:keepLines w:val="0"/>
                    <w:pageBreakBefore w:val="0"/>
                    <w:widowControl/>
                    <w:kinsoku/>
                    <w:wordWrap/>
                    <w:overflowPunct/>
                    <w:topLinePunct w:val="0"/>
                    <w:autoSpaceDE/>
                    <w:autoSpaceDN/>
                    <w:bidi w:val="0"/>
                    <w:adjustRightInd/>
                    <w:snapToGrid/>
                    <w:spacing w:before="31"/>
                    <w:textAlignment w:val="auto"/>
                    <w:rPr>
                      <w:color w:val="auto"/>
                      <w:highlight w:val="none"/>
                    </w:rPr>
                  </w:pPr>
                </w:p>
              </w:tc>
              <w:tc>
                <w:tcPr>
                  <w:tcW w:w="607" w:type="pct"/>
                  <w:gridSpan w:val="2"/>
                  <w:vMerge w:val="continue"/>
                  <w:tcBorders>
                    <w:bottom w:val="single" w:color="auto" w:sz="4" w:space="0"/>
                    <w:tl2br w:val="nil"/>
                    <w:tr2bl w:val="nil"/>
                  </w:tcBorders>
                  <w:shd w:val="clear" w:color="auto" w:fill="auto"/>
                  <w:tcMar>
                    <w:top w:w="0" w:type="dxa"/>
                    <w:left w:w="28" w:type="dxa"/>
                    <w:bottom w:w="0" w:type="dxa"/>
                    <w:right w:w="28" w:type="dxa"/>
                  </w:tcMar>
                  <w:vAlign w:val="center"/>
                </w:tcPr>
                <w:p w14:paraId="69821045">
                  <w:pPr>
                    <w:pStyle w:val="20"/>
                    <w:keepNext w:val="0"/>
                    <w:keepLines w:val="0"/>
                    <w:pageBreakBefore w:val="0"/>
                    <w:widowControl/>
                    <w:kinsoku/>
                    <w:wordWrap/>
                    <w:overflowPunct/>
                    <w:topLinePunct w:val="0"/>
                    <w:autoSpaceDE/>
                    <w:autoSpaceDN/>
                    <w:bidi w:val="0"/>
                    <w:adjustRightInd/>
                    <w:snapToGrid/>
                    <w:spacing w:before="31"/>
                    <w:jc w:val="center"/>
                    <w:textAlignment w:val="auto"/>
                    <w:rPr>
                      <w:rFonts w:hint="eastAsia" w:cs="宋体"/>
                      <w:color w:val="auto"/>
                      <w:kern w:val="2"/>
                      <w:sz w:val="21"/>
                      <w:szCs w:val="21"/>
                      <w:highlight w:val="none"/>
                      <w:lang w:val="en-US" w:eastAsia="zh-CN" w:bidi="ar-SA"/>
                    </w:rPr>
                  </w:pPr>
                </w:p>
              </w:tc>
              <w:tc>
                <w:tcPr>
                  <w:tcW w:w="1402" w:type="pct"/>
                  <w:tcBorders>
                    <w:top w:val="dashed" w:color="auto" w:sz="4" w:space="0"/>
                    <w:bottom w:val="single" w:color="auto" w:sz="4" w:space="0"/>
                    <w:tl2br w:val="nil"/>
                    <w:tr2bl w:val="nil"/>
                  </w:tcBorders>
                  <w:tcMar>
                    <w:top w:w="0" w:type="dxa"/>
                    <w:left w:w="28" w:type="dxa"/>
                    <w:bottom w:w="0" w:type="dxa"/>
                    <w:right w:w="28" w:type="dxa"/>
                  </w:tcMar>
                  <w:vAlign w:val="center"/>
                </w:tcPr>
                <w:p w14:paraId="5B6B7249">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eastAsia"/>
                      <w:color w:val="auto"/>
                      <w:sz w:val="18"/>
                      <w:szCs w:val="18"/>
                      <w:highlight w:val="none"/>
                      <w:lang w:val="en-US" w:eastAsia="zh-CN"/>
                    </w:rPr>
                  </w:pPr>
                  <w:r>
                    <w:rPr>
                      <w:rFonts w:hint="eastAsia"/>
                      <w:color w:val="auto"/>
                      <w:sz w:val="18"/>
                      <w:szCs w:val="18"/>
                      <w:highlight w:val="none"/>
                      <w:lang w:val="en-US" w:eastAsia="zh-CN"/>
                    </w:rPr>
                    <w:t>南部区域</w:t>
                  </w:r>
                  <w:r>
                    <w:rPr>
                      <w:rFonts w:hint="eastAsia"/>
                      <w:iCs/>
                      <w:color w:val="auto"/>
                      <w:sz w:val="18"/>
                      <w:szCs w:val="18"/>
                      <w:highlight w:val="none"/>
                      <w:lang w:val="en-US" w:eastAsia="zh-CN"/>
                    </w:rPr>
                    <w:t>设置6台注塑机</w:t>
                  </w:r>
                  <w:r>
                    <w:rPr>
                      <w:rFonts w:hint="eastAsia"/>
                      <w:color w:val="auto"/>
                      <w:highlight w:val="none"/>
                      <w:lang w:eastAsia="zh-CN"/>
                    </w:rPr>
                    <w:t>，</w:t>
                  </w:r>
                  <w:r>
                    <w:rPr>
                      <w:rFonts w:hint="eastAsia"/>
                      <w:iCs/>
                      <w:color w:val="auto"/>
                      <w:sz w:val="18"/>
                      <w:szCs w:val="18"/>
                      <w:highlight w:val="none"/>
                      <w:lang w:val="en-US" w:eastAsia="zh-CN"/>
                    </w:rPr>
                    <w:t>1台干燥机，中部生产准备区，中部偏北区域为模修区，北侧区域为原辅材料、成品暂存区。</w:t>
                  </w:r>
                </w:p>
              </w:tc>
              <w:tc>
                <w:tcPr>
                  <w:tcW w:w="1966" w:type="pct"/>
                  <w:tcBorders>
                    <w:top w:val="dashed" w:color="auto" w:sz="4" w:space="0"/>
                    <w:bottom w:val="single" w:color="auto" w:sz="4" w:space="0"/>
                    <w:tl2br w:val="nil"/>
                    <w:tr2bl w:val="nil"/>
                  </w:tcBorders>
                  <w:tcMar>
                    <w:top w:w="0" w:type="dxa"/>
                    <w:left w:w="28" w:type="dxa"/>
                    <w:bottom w:w="0" w:type="dxa"/>
                    <w:right w:w="28" w:type="dxa"/>
                  </w:tcMar>
                  <w:vAlign w:val="center"/>
                </w:tcPr>
                <w:p w14:paraId="6C5A1D6E">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eastAsia"/>
                      <w:iCs/>
                      <w:color w:val="auto"/>
                      <w:sz w:val="18"/>
                      <w:szCs w:val="18"/>
                      <w:highlight w:val="none"/>
                      <w:lang w:val="en-US" w:eastAsia="zh-CN"/>
                    </w:rPr>
                  </w:pPr>
                  <w:r>
                    <w:rPr>
                      <w:rFonts w:hint="eastAsia"/>
                      <w:color w:val="auto"/>
                      <w:sz w:val="18"/>
                      <w:szCs w:val="18"/>
                      <w:highlight w:val="none"/>
                      <w:lang w:val="en-US" w:eastAsia="zh-CN"/>
                    </w:rPr>
                    <w:t>南部及中部区域紧凑</w:t>
                  </w:r>
                  <w:r>
                    <w:rPr>
                      <w:rFonts w:hint="eastAsia"/>
                      <w:iCs/>
                      <w:color w:val="auto"/>
                      <w:sz w:val="18"/>
                      <w:szCs w:val="18"/>
                      <w:highlight w:val="none"/>
                      <w:lang w:val="en-US" w:eastAsia="zh-CN"/>
                    </w:rPr>
                    <w:t>设置11台注塑机，向北依次设置检验包装区、模修区、成品库房。西侧新增厂房依次设置成品库房、辅料库房以及注塑区，生产区域设置1台干燥机和4台新注塑机。</w:t>
                  </w:r>
                </w:p>
              </w:tc>
              <w:tc>
                <w:tcPr>
                  <w:tcW w:w="661" w:type="pct"/>
                  <w:tcBorders>
                    <w:top w:val="dashed" w:color="auto" w:sz="4" w:space="0"/>
                    <w:bottom w:val="single" w:color="auto" w:sz="4" w:space="0"/>
                    <w:tl2br w:val="nil"/>
                    <w:tr2bl w:val="nil"/>
                  </w:tcBorders>
                  <w:tcMar>
                    <w:top w:w="0" w:type="dxa"/>
                    <w:left w:w="28" w:type="dxa"/>
                    <w:bottom w:w="0" w:type="dxa"/>
                    <w:right w:w="28" w:type="dxa"/>
                  </w:tcMar>
                  <w:vAlign w:val="center"/>
                </w:tcPr>
                <w:p w14:paraId="00F723C8">
                  <w:pPr>
                    <w:pStyle w:val="20"/>
                    <w:keepNext w:val="0"/>
                    <w:keepLines w:val="0"/>
                    <w:pageBreakBefore w:val="0"/>
                    <w:widowControl/>
                    <w:kinsoku/>
                    <w:wordWrap/>
                    <w:overflowPunct/>
                    <w:topLinePunct w:val="0"/>
                    <w:autoSpaceDE/>
                    <w:autoSpaceDN/>
                    <w:bidi w:val="0"/>
                    <w:adjustRightInd/>
                    <w:snapToGrid/>
                    <w:spacing w:before="31"/>
                    <w:textAlignment w:val="auto"/>
                    <w:rPr>
                      <w:rFonts w:hint="default"/>
                      <w:color w:val="auto"/>
                      <w:sz w:val="18"/>
                      <w:szCs w:val="18"/>
                      <w:highlight w:val="none"/>
                      <w:lang w:val="en-US" w:eastAsia="zh-CN"/>
                    </w:rPr>
                  </w:pPr>
                  <w:r>
                    <w:rPr>
                      <w:rFonts w:hint="eastAsia"/>
                      <w:color w:val="auto"/>
                      <w:sz w:val="18"/>
                      <w:szCs w:val="18"/>
                      <w:highlight w:val="none"/>
                      <w:lang w:val="en-US" w:eastAsia="zh-CN"/>
                    </w:rPr>
                    <w:t>/</w:t>
                  </w:r>
                </w:p>
              </w:tc>
            </w:tr>
            <w:tr w14:paraId="78A2E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1" w:type="pct"/>
                  <w:vMerge w:val="restart"/>
                  <w:tcBorders>
                    <w:tl2br w:val="nil"/>
                    <w:tr2bl w:val="nil"/>
                  </w:tcBorders>
                  <w:tcMar>
                    <w:top w:w="0" w:type="dxa"/>
                    <w:left w:w="28" w:type="dxa"/>
                    <w:bottom w:w="0" w:type="dxa"/>
                    <w:right w:w="28" w:type="dxa"/>
                  </w:tcMar>
                  <w:vAlign w:val="center"/>
                </w:tcPr>
                <w:p w14:paraId="5F839375">
                  <w:pPr>
                    <w:pStyle w:val="20"/>
                    <w:keepNext w:val="0"/>
                    <w:keepLines w:val="0"/>
                    <w:pageBreakBefore w:val="0"/>
                    <w:widowControl/>
                    <w:kinsoku/>
                    <w:wordWrap/>
                    <w:overflowPunct/>
                    <w:topLinePunct w:val="0"/>
                    <w:autoSpaceDE/>
                    <w:autoSpaceDN/>
                    <w:bidi w:val="0"/>
                    <w:adjustRightInd/>
                    <w:snapToGrid/>
                    <w:spacing w:before="31"/>
                    <w:textAlignment w:val="auto"/>
                    <w:rPr>
                      <w:color w:val="auto"/>
                      <w:highlight w:val="none"/>
                    </w:rPr>
                  </w:pPr>
                  <w:r>
                    <w:rPr>
                      <w:rFonts w:hint="eastAsia"/>
                      <w:color w:val="auto"/>
                      <w:highlight w:val="none"/>
                    </w:rPr>
                    <w:t>辅助工程</w:t>
                  </w:r>
                </w:p>
              </w:tc>
              <w:tc>
                <w:tcPr>
                  <w:tcW w:w="607" w:type="pct"/>
                  <w:gridSpan w:val="2"/>
                  <w:tcBorders>
                    <w:tl2br w:val="nil"/>
                    <w:tr2bl w:val="nil"/>
                  </w:tcBorders>
                  <w:tcMar>
                    <w:top w:w="0" w:type="dxa"/>
                    <w:left w:w="28" w:type="dxa"/>
                    <w:bottom w:w="0" w:type="dxa"/>
                    <w:right w:w="28" w:type="dxa"/>
                  </w:tcMar>
                  <w:vAlign w:val="center"/>
                </w:tcPr>
                <w:p w14:paraId="59222850">
                  <w:pPr>
                    <w:pStyle w:val="20"/>
                    <w:keepNext w:val="0"/>
                    <w:keepLines w:val="0"/>
                    <w:pageBreakBefore w:val="0"/>
                    <w:widowControl/>
                    <w:kinsoku/>
                    <w:wordWrap/>
                    <w:overflowPunct/>
                    <w:topLinePunct w:val="0"/>
                    <w:autoSpaceDE/>
                    <w:autoSpaceDN/>
                    <w:bidi w:val="0"/>
                    <w:adjustRightInd/>
                    <w:snapToGrid/>
                    <w:spacing w:before="31"/>
                    <w:jc w:val="center"/>
                    <w:textAlignment w:val="auto"/>
                    <w:rPr>
                      <w:rFonts w:hint="default" w:eastAsia="宋体"/>
                      <w:color w:val="auto"/>
                      <w:highlight w:val="none"/>
                      <w:lang w:val="en-US" w:eastAsia="zh-CN"/>
                    </w:rPr>
                  </w:pPr>
                  <w:r>
                    <w:rPr>
                      <w:rFonts w:hint="eastAsia"/>
                      <w:color w:val="auto"/>
                      <w:highlight w:val="none"/>
                      <w:lang w:val="en-US" w:eastAsia="zh-CN"/>
                    </w:rPr>
                    <w:t>办公区</w:t>
                  </w:r>
                </w:p>
              </w:tc>
              <w:tc>
                <w:tcPr>
                  <w:tcW w:w="3368" w:type="pct"/>
                  <w:gridSpan w:val="2"/>
                  <w:tcBorders>
                    <w:tl2br w:val="nil"/>
                    <w:tr2bl w:val="nil"/>
                  </w:tcBorders>
                  <w:tcMar>
                    <w:top w:w="0" w:type="dxa"/>
                    <w:left w:w="28" w:type="dxa"/>
                    <w:bottom w:w="0" w:type="dxa"/>
                    <w:right w:w="28" w:type="dxa"/>
                  </w:tcMar>
                  <w:vAlign w:val="center"/>
                </w:tcPr>
                <w:p w14:paraId="5449E8CD">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default" w:eastAsia="宋体"/>
                      <w:color w:val="auto"/>
                      <w:highlight w:val="none"/>
                      <w:vertAlign w:val="baseline"/>
                      <w:lang w:val="en-US" w:eastAsia="zh-CN"/>
                    </w:rPr>
                  </w:pPr>
                  <w:r>
                    <w:rPr>
                      <w:rFonts w:hint="eastAsia"/>
                      <w:color w:val="auto"/>
                      <w:highlight w:val="none"/>
                      <w:vertAlign w:val="baseline"/>
                      <w:lang w:val="en-US" w:eastAsia="zh-CN"/>
                    </w:rPr>
                    <w:t>办公面积426m</w:t>
                  </w:r>
                  <w:r>
                    <w:rPr>
                      <w:rFonts w:hint="eastAsia"/>
                      <w:color w:val="auto"/>
                      <w:highlight w:val="none"/>
                      <w:vertAlign w:val="superscript"/>
                      <w:lang w:val="en-US" w:eastAsia="zh-CN"/>
                    </w:rPr>
                    <w:t>2</w:t>
                  </w:r>
                  <w:r>
                    <w:rPr>
                      <w:rFonts w:hint="eastAsia"/>
                      <w:color w:val="auto"/>
                      <w:highlight w:val="none"/>
                      <w:vertAlign w:val="baseline"/>
                      <w:lang w:val="en-US" w:eastAsia="zh-CN"/>
                    </w:rPr>
                    <w:t>，厂房南侧1F设置车间办公室，2F设置总经理办公室、财务室、厂长室、会议室、综合办公室等。</w:t>
                  </w:r>
                </w:p>
              </w:tc>
              <w:tc>
                <w:tcPr>
                  <w:tcW w:w="661" w:type="pct"/>
                  <w:tcBorders>
                    <w:tl2br w:val="nil"/>
                    <w:tr2bl w:val="nil"/>
                  </w:tcBorders>
                  <w:tcMar>
                    <w:top w:w="0" w:type="dxa"/>
                    <w:left w:w="28" w:type="dxa"/>
                    <w:bottom w:w="0" w:type="dxa"/>
                    <w:right w:w="28" w:type="dxa"/>
                  </w:tcMar>
                  <w:vAlign w:val="center"/>
                </w:tcPr>
                <w:p w14:paraId="10284822">
                  <w:pPr>
                    <w:pStyle w:val="20"/>
                    <w:keepNext w:val="0"/>
                    <w:keepLines w:val="0"/>
                    <w:pageBreakBefore w:val="0"/>
                    <w:widowControl/>
                    <w:kinsoku/>
                    <w:wordWrap/>
                    <w:overflowPunct/>
                    <w:topLinePunct w:val="0"/>
                    <w:autoSpaceDE/>
                    <w:autoSpaceDN/>
                    <w:bidi w:val="0"/>
                    <w:adjustRightInd/>
                    <w:snapToGrid/>
                    <w:spacing w:before="31"/>
                    <w:textAlignment w:val="auto"/>
                    <w:rPr>
                      <w:rFonts w:hint="default"/>
                      <w:color w:val="auto"/>
                      <w:highlight w:val="none"/>
                      <w:lang w:val="en-US" w:eastAsia="zh-CN"/>
                    </w:rPr>
                  </w:pPr>
                  <w:r>
                    <w:rPr>
                      <w:rFonts w:hint="eastAsia"/>
                      <w:color w:val="auto"/>
                      <w:highlight w:val="none"/>
                      <w:lang w:val="en-US" w:eastAsia="zh-CN"/>
                    </w:rPr>
                    <w:t>不变</w:t>
                  </w:r>
                </w:p>
              </w:tc>
            </w:tr>
            <w:tr w14:paraId="6290B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1" w:type="pct"/>
                  <w:vMerge w:val="continue"/>
                  <w:tcBorders>
                    <w:tl2br w:val="nil"/>
                    <w:tr2bl w:val="nil"/>
                  </w:tcBorders>
                  <w:tcMar>
                    <w:top w:w="0" w:type="dxa"/>
                    <w:left w:w="28" w:type="dxa"/>
                    <w:bottom w:w="0" w:type="dxa"/>
                    <w:right w:w="28" w:type="dxa"/>
                  </w:tcMar>
                  <w:vAlign w:val="center"/>
                </w:tcPr>
                <w:p w14:paraId="45FC2878">
                  <w:pPr>
                    <w:pStyle w:val="20"/>
                    <w:keepNext w:val="0"/>
                    <w:keepLines w:val="0"/>
                    <w:pageBreakBefore w:val="0"/>
                    <w:widowControl/>
                    <w:kinsoku/>
                    <w:wordWrap/>
                    <w:overflowPunct/>
                    <w:topLinePunct w:val="0"/>
                    <w:autoSpaceDE/>
                    <w:autoSpaceDN/>
                    <w:bidi w:val="0"/>
                    <w:adjustRightInd/>
                    <w:snapToGrid/>
                    <w:spacing w:before="31"/>
                    <w:textAlignment w:val="auto"/>
                    <w:rPr>
                      <w:rFonts w:hint="eastAsia"/>
                      <w:color w:val="auto"/>
                      <w:highlight w:val="none"/>
                    </w:rPr>
                  </w:pPr>
                </w:p>
              </w:tc>
              <w:tc>
                <w:tcPr>
                  <w:tcW w:w="607" w:type="pct"/>
                  <w:gridSpan w:val="2"/>
                  <w:tcBorders>
                    <w:tl2br w:val="nil"/>
                    <w:tr2bl w:val="nil"/>
                  </w:tcBorders>
                  <w:tcMar>
                    <w:top w:w="0" w:type="dxa"/>
                    <w:left w:w="28" w:type="dxa"/>
                    <w:bottom w:w="0" w:type="dxa"/>
                    <w:right w:w="28" w:type="dxa"/>
                  </w:tcMar>
                  <w:vAlign w:val="center"/>
                </w:tcPr>
                <w:p w14:paraId="2C2AF6D4">
                  <w:pPr>
                    <w:pStyle w:val="20"/>
                    <w:keepNext w:val="0"/>
                    <w:keepLines w:val="0"/>
                    <w:pageBreakBefore w:val="0"/>
                    <w:widowControl/>
                    <w:kinsoku/>
                    <w:wordWrap/>
                    <w:overflowPunct/>
                    <w:topLinePunct w:val="0"/>
                    <w:autoSpaceDE/>
                    <w:autoSpaceDN/>
                    <w:bidi w:val="0"/>
                    <w:adjustRightInd/>
                    <w:snapToGrid/>
                    <w:spacing w:before="31"/>
                    <w:jc w:val="center"/>
                    <w:textAlignment w:val="auto"/>
                    <w:rPr>
                      <w:rFonts w:hint="default"/>
                      <w:color w:val="auto"/>
                      <w:highlight w:val="none"/>
                      <w:lang w:val="en-US" w:eastAsia="zh-CN"/>
                    </w:rPr>
                  </w:pPr>
                  <w:r>
                    <w:rPr>
                      <w:rFonts w:hint="eastAsia"/>
                      <w:color w:val="auto"/>
                      <w:highlight w:val="none"/>
                      <w:lang w:val="en-US" w:eastAsia="zh-CN"/>
                    </w:rPr>
                    <w:t>就餐区</w:t>
                  </w:r>
                </w:p>
              </w:tc>
              <w:tc>
                <w:tcPr>
                  <w:tcW w:w="3368" w:type="pct"/>
                  <w:gridSpan w:val="2"/>
                  <w:tcBorders>
                    <w:tl2br w:val="nil"/>
                    <w:tr2bl w:val="nil"/>
                  </w:tcBorders>
                  <w:tcMar>
                    <w:top w:w="0" w:type="dxa"/>
                    <w:left w:w="28" w:type="dxa"/>
                    <w:bottom w:w="0" w:type="dxa"/>
                    <w:right w:w="28" w:type="dxa"/>
                  </w:tcMar>
                  <w:vAlign w:val="center"/>
                </w:tcPr>
                <w:p w14:paraId="09394170">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default"/>
                      <w:color w:val="auto"/>
                      <w:highlight w:val="none"/>
                      <w:lang w:val="en-US" w:eastAsia="zh-CN"/>
                    </w:rPr>
                  </w:pPr>
                  <w:r>
                    <w:rPr>
                      <w:rFonts w:hint="eastAsia"/>
                      <w:color w:val="auto"/>
                      <w:highlight w:val="none"/>
                      <w:vertAlign w:val="baseline"/>
                      <w:lang w:val="en-US" w:eastAsia="zh-CN"/>
                    </w:rPr>
                    <w:t>厂房南侧1F设置面积约100m</w:t>
                  </w:r>
                  <w:r>
                    <w:rPr>
                      <w:rFonts w:hint="eastAsia"/>
                      <w:color w:val="auto"/>
                      <w:highlight w:val="none"/>
                      <w:vertAlign w:val="superscript"/>
                      <w:lang w:val="en-US" w:eastAsia="zh-CN"/>
                    </w:rPr>
                    <w:t>2</w:t>
                  </w:r>
                  <w:r>
                    <w:rPr>
                      <w:rFonts w:hint="eastAsia"/>
                      <w:color w:val="auto"/>
                      <w:highlight w:val="none"/>
                      <w:vertAlign w:val="baseline"/>
                      <w:lang w:val="en-US" w:eastAsia="zh-CN"/>
                    </w:rPr>
                    <w:t>就餐区，用于员工用餐，采用送餐，不设置灶头</w:t>
                  </w:r>
                </w:p>
              </w:tc>
              <w:tc>
                <w:tcPr>
                  <w:tcW w:w="661" w:type="pct"/>
                  <w:tcBorders>
                    <w:tl2br w:val="nil"/>
                    <w:tr2bl w:val="nil"/>
                  </w:tcBorders>
                  <w:tcMar>
                    <w:top w:w="0" w:type="dxa"/>
                    <w:left w:w="28" w:type="dxa"/>
                    <w:bottom w:w="0" w:type="dxa"/>
                    <w:right w:w="28" w:type="dxa"/>
                  </w:tcMar>
                  <w:vAlign w:val="center"/>
                </w:tcPr>
                <w:p w14:paraId="052E7EB6">
                  <w:pPr>
                    <w:pStyle w:val="20"/>
                    <w:keepNext w:val="0"/>
                    <w:keepLines w:val="0"/>
                    <w:pageBreakBefore w:val="0"/>
                    <w:widowControl/>
                    <w:kinsoku/>
                    <w:wordWrap/>
                    <w:overflowPunct/>
                    <w:topLinePunct w:val="0"/>
                    <w:autoSpaceDE/>
                    <w:autoSpaceDN/>
                    <w:bidi w:val="0"/>
                    <w:adjustRightInd/>
                    <w:snapToGrid/>
                    <w:spacing w:before="31"/>
                    <w:textAlignment w:val="auto"/>
                    <w:rPr>
                      <w:rFonts w:hint="eastAsia"/>
                      <w:color w:val="auto"/>
                      <w:highlight w:val="none"/>
                      <w:lang w:val="en-US" w:eastAsia="zh-CN"/>
                    </w:rPr>
                  </w:pPr>
                  <w:r>
                    <w:rPr>
                      <w:rFonts w:hint="eastAsia"/>
                      <w:color w:val="auto"/>
                      <w:highlight w:val="none"/>
                      <w:lang w:val="en-US" w:eastAsia="zh-CN"/>
                    </w:rPr>
                    <w:t>不变</w:t>
                  </w:r>
                </w:p>
              </w:tc>
            </w:tr>
            <w:tr w14:paraId="25DC8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1" w:type="pct"/>
                  <w:vMerge w:val="continue"/>
                  <w:tcBorders>
                    <w:tl2br w:val="nil"/>
                    <w:tr2bl w:val="nil"/>
                  </w:tcBorders>
                  <w:tcMar>
                    <w:top w:w="0" w:type="dxa"/>
                    <w:left w:w="28" w:type="dxa"/>
                    <w:bottom w:w="0" w:type="dxa"/>
                    <w:right w:w="28" w:type="dxa"/>
                  </w:tcMar>
                  <w:vAlign w:val="center"/>
                </w:tcPr>
                <w:p w14:paraId="6182514A">
                  <w:pPr>
                    <w:pStyle w:val="20"/>
                    <w:keepNext w:val="0"/>
                    <w:keepLines w:val="0"/>
                    <w:pageBreakBefore w:val="0"/>
                    <w:widowControl/>
                    <w:kinsoku/>
                    <w:wordWrap/>
                    <w:overflowPunct/>
                    <w:topLinePunct w:val="0"/>
                    <w:autoSpaceDE/>
                    <w:autoSpaceDN/>
                    <w:bidi w:val="0"/>
                    <w:adjustRightInd/>
                    <w:snapToGrid/>
                    <w:spacing w:before="31"/>
                    <w:textAlignment w:val="auto"/>
                    <w:rPr>
                      <w:rFonts w:hint="eastAsia"/>
                      <w:color w:val="auto"/>
                      <w:highlight w:val="none"/>
                    </w:rPr>
                  </w:pPr>
                </w:p>
              </w:tc>
              <w:tc>
                <w:tcPr>
                  <w:tcW w:w="607" w:type="pct"/>
                  <w:gridSpan w:val="2"/>
                  <w:tcBorders>
                    <w:tl2br w:val="nil"/>
                    <w:tr2bl w:val="nil"/>
                  </w:tcBorders>
                  <w:tcMar>
                    <w:top w:w="0" w:type="dxa"/>
                    <w:left w:w="28" w:type="dxa"/>
                    <w:bottom w:w="0" w:type="dxa"/>
                    <w:right w:w="28" w:type="dxa"/>
                  </w:tcMar>
                  <w:vAlign w:val="center"/>
                </w:tcPr>
                <w:p w14:paraId="0E9AC833">
                  <w:pPr>
                    <w:pStyle w:val="20"/>
                    <w:keepNext w:val="0"/>
                    <w:keepLines w:val="0"/>
                    <w:pageBreakBefore w:val="0"/>
                    <w:widowControl/>
                    <w:kinsoku/>
                    <w:wordWrap/>
                    <w:overflowPunct/>
                    <w:topLinePunct w:val="0"/>
                    <w:autoSpaceDE/>
                    <w:autoSpaceDN/>
                    <w:bidi w:val="0"/>
                    <w:adjustRightInd/>
                    <w:snapToGrid/>
                    <w:spacing w:before="31"/>
                    <w:jc w:val="center"/>
                    <w:textAlignment w:val="auto"/>
                    <w:rPr>
                      <w:rFonts w:hint="default"/>
                      <w:color w:val="auto"/>
                      <w:highlight w:val="none"/>
                      <w:lang w:val="en-US" w:eastAsia="zh-CN"/>
                    </w:rPr>
                  </w:pPr>
                  <w:r>
                    <w:rPr>
                      <w:rFonts w:hint="eastAsia"/>
                      <w:color w:val="auto"/>
                      <w:highlight w:val="none"/>
                      <w:lang w:val="en-US" w:eastAsia="zh-CN"/>
                    </w:rPr>
                    <w:t>冷却塔</w:t>
                  </w:r>
                </w:p>
              </w:tc>
              <w:tc>
                <w:tcPr>
                  <w:tcW w:w="1402" w:type="pct"/>
                  <w:tcBorders>
                    <w:tl2br w:val="nil"/>
                    <w:tr2bl w:val="nil"/>
                  </w:tcBorders>
                  <w:tcMar>
                    <w:top w:w="0" w:type="dxa"/>
                    <w:left w:w="28" w:type="dxa"/>
                    <w:bottom w:w="0" w:type="dxa"/>
                    <w:right w:w="28" w:type="dxa"/>
                  </w:tcMar>
                  <w:vAlign w:val="center"/>
                </w:tcPr>
                <w:p w14:paraId="0868B1B2">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eastAsia"/>
                      <w:color w:val="auto"/>
                      <w:highlight w:val="none"/>
                      <w:lang w:val="en-US" w:eastAsia="zh-CN"/>
                    </w:rPr>
                  </w:pPr>
                  <w:r>
                    <w:rPr>
                      <w:rFonts w:hint="eastAsia"/>
                      <w:color w:val="auto"/>
                      <w:highlight w:val="none"/>
                      <w:lang w:val="en-US" w:eastAsia="zh-CN"/>
                    </w:rPr>
                    <w:t>设置在室外，位于厂房东南角，循环水量约为65m</w:t>
                  </w:r>
                  <w:r>
                    <w:rPr>
                      <w:rFonts w:hint="eastAsia"/>
                      <w:color w:val="auto"/>
                      <w:highlight w:val="none"/>
                      <w:vertAlign w:val="superscript"/>
                      <w:lang w:val="en-US" w:eastAsia="zh-CN"/>
                    </w:rPr>
                    <w:t>3</w:t>
                  </w:r>
                  <w:r>
                    <w:rPr>
                      <w:rFonts w:hint="eastAsia"/>
                      <w:color w:val="auto"/>
                      <w:highlight w:val="none"/>
                      <w:lang w:val="en-US" w:eastAsia="zh-CN"/>
                    </w:rPr>
                    <w:t>/h，用于注塑产品的冷却</w:t>
                  </w:r>
                </w:p>
              </w:tc>
              <w:tc>
                <w:tcPr>
                  <w:tcW w:w="1966" w:type="pct"/>
                  <w:tcBorders>
                    <w:tl2br w:val="nil"/>
                    <w:tr2bl w:val="nil"/>
                  </w:tcBorders>
                  <w:tcMar>
                    <w:top w:w="0" w:type="dxa"/>
                    <w:left w:w="28" w:type="dxa"/>
                    <w:bottom w:w="0" w:type="dxa"/>
                    <w:right w:w="28" w:type="dxa"/>
                  </w:tcMar>
                  <w:vAlign w:val="center"/>
                </w:tcPr>
                <w:p w14:paraId="474BBC91">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default"/>
                      <w:color w:val="auto"/>
                      <w:highlight w:val="none"/>
                      <w:lang w:val="en-US" w:eastAsia="zh-CN"/>
                    </w:rPr>
                  </w:pPr>
                  <w:r>
                    <w:rPr>
                      <w:rFonts w:hint="eastAsia"/>
                      <w:color w:val="auto"/>
                      <w:highlight w:val="none"/>
                      <w:lang w:val="en-US" w:eastAsia="zh-CN"/>
                    </w:rPr>
                    <w:t>冷却塔设置在室外，一座循环水量约为65m</w:t>
                  </w:r>
                  <w:r>
                    <w:rPr>
                      <w:rFonts w:hint="eastAsia"/>
                      <w:color w:val="auto"/>
                      <w:highlight w:val="none"/>
                      <w:vertAlign w:val="superscript"/>
                      <w:lang w:val="en-US" w:eastAsia="zh-CN"/>
                    </w:rPr>
                    <w:t>3</w:t>
                  </w:r>
                  <w:r>
                    <w:rPr>
                      <w:rFonts w:hint="eastAsia"/>
                      <w:color w:val="auto"/>
                      <w:highlight w:val="none"/>
                      <w:lang w:val="en-US" w:eastAsia="zh-CN"/>
                    </w:rPr>
                    <w:t>/h，位于厂房东南角，厂房南侧外新增一台15m</w:t>
                  </w:r>
                  <w:r>
                    <w:rPr>
                      <w:rFonts w:hint="eastAsia"/>
                      <w:color w:val="auto"/>
                      <w:highlight w:val="none"/>
                      <w:vertAlign w:val="superscript"/>
                      <w:lang w:val="en-US" w:eastAsia="zh-CN"/>
                    </w:rPr>
                    <w:t>3</w:t>
                  </w:r>
                  <w:r>
                    <w:rPr>
                      <w:rFonts w:hint="eastAsia"/>
                      <w:color w:val="auto"/>
                      <w:highlight w:val="none"/>
                      <w:lang w:val="en-US" w:eastAsia="zh-CN"/>
                    </w:rPr>
                    <w:t>/h冷却塔。用于注塑产品的冷却。</w:t>
                  </w:r>
                </w:p>
              </w:tc>
              <w:tc>
                <w:tcPr>
                  <w:tcW w:w="661" w:type="pct"/>
                  <w:tcBorders>
                    <w:tl2br w:val="nil"/>
                    <w:tr2bl w:val="nil"/>
                  </w:tcBorders>
                  <w:tcMar>
                    <w:top w:w="0" w:type="dxa"/>
                    <w:left w:w="28" w:type="dxa"/>
                    <w:bottom w:w="0" w:type="dxa"/>
                    <w:right w:w="28" w:type="dxa"/>
                  </w:tcMar>
                  <w:vAlign w:val="center"/>
                </w:tcPr>
                <w:p w14:paraId="7F719D69">
                  <w:pPr>
                    <w:pStyle w:val="20"/>
                    <w:keepNext w:val="0"/>
                    <w:keepLines w:val="0"/>
                    <w:pageBreakBefore w:val="0"/>
                    <w:widowControl/>
                    <w:kinsoku/>
                    <w:wordWrap/>
                    <w:overflowPunct/>
                    <w:topLinePunct w:val="0"/>
                    <w:autoSpaceDE/>
                    <w:autoSpaceDN/>
                    <w:bidi w:val="0"/>
                    <w:adjustRightInd/>
                    <w:snapToGrid/>
                    <w:spacing w:before="31"/>
                    <w:textAlignment w:val="auto"/>
                    <w:rPr>
                      <w:rFonts w:hint="eastAsia"/>
                      <w:color w:val="auto"/>
                      <w:highlight w:val="none"/>
                      <w:lang w:val="en-US" w:eastAsia="zh-CN"/>
                    </w:rPr>
                  </w:pPr>
                  <w:r>
                    <w:rPr>
                      <w:rFonts w:hint="eastAsia"/>
                      <w:color w:val="auto"/>
                      <w:highlight w:val="none"/>
                      <w:lang w:val="en-US" w:eastAsia="zh-CN"/>
                    </w:rPr>
                    <w:t>厂房南侧外新增一台15m</w:t>
                  </w:r>
                  <w:r>
                    <w:rPr>
                      <w:rFonts w:hint="eastAsia"/>
                      <w:color w:val="auto"/>
                      <w:highlight w:val="none"/>
                      <w:vertAlign w:val="superscript"/>
                      <w:lang w:val="en-US" w:eastAsia="zh-CN"/>
                    </w:rPr>
                    <w:t>3</w:t>
                  </w:r>
                  <w:r>
                    <w:rPr>
                      <w:rFonts w:hint="eastAsia"/>
                      <w:color w:val="auto"/>
                      <w:highlight w:val="none"/>
                      <w:lang w:val="en-US" w:eastAsia="zh-CN"/>
                    </w:rPr>
                    <w:t>/h冷却塔</w:t>
                  </w:r>
                </w:p>
              </w:tc>
            </w:tr>
            <w:tr w14:paraId="57FAE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1" w:type="pct"/>
                  <w:vMerge w:val="continue"/>
                  <w:tcBorders>
                    <w:tl2br w:val="nil"/>
                    <w:tr2bl w:val="nil"/>
                  </w:tcBorders>
                  <w:tcMar>
                    <w:top w:w="0" w:type="dxa"/>
                    <w:left w:w="28" w:type="dxa"/>
                    <w:bottom w:w="0" w:type="dxa"/>
                    <w:right w:w="28" w:type="dxa"/>
                  </w:tcMar>
                  <w:vAlign w:val="center"/>
                </w:tcPr>
                <w:p w14:paraId="6BBD2AA1">
                  <w:pPr>
                    <w:pStyle w:val="20"/>
                    <w:keepNext w:val="0"/>
                    <w:keepLines w:val="0"/>
                    <w:pageBreakBefore w:val="0"/>
                    <w:widowControl/>
                    <w:kinsoku/>
                    <w:wordWrap/>
                    <w:overflowPunct/>
                    <w:topLinePunct w:val="0"/>
                    <w:autoSpaceDE/>
                    <w:autoSpaceDN/>
                    <w:bidi w:val="0"/>
                    <w:adjustRightInd/>
                    <w:snapToGrid/>
                    <w:spacing w:before="31"/>
                    <w:textAlignment w:val="auto"/>
                    <w:rPr>
                      <w:rFonts w:hint="eastAsia"/>
                      <w:color w:val="auto"/>
                      <w:highlight w:val="none"/>
                    </w:rPr>
                  </w:pPr>
                </w:p>
              </w:tc>
              <w:tc>
                <w:tcPr>
                  <w:tcW w:w="607" w:type="pct"/>
                  <w:gridSpan w:val="2"/>
                  <w:tcBorders>
                    <w:tl2br w:val="nil"/>
                    <w:tr2bl w:val="nil"/>
                  </w:tcBorders>
                  <w:tcMar>
                    <w:top w:w="0" w:type="dxa"/>
                    <w:left w:w="28" w:type="dxa"/>
                    <w:bottom w:w="0" w:type="dxa"/>
                    <w:right w:w="28" w:type="dxa"/>
                  </w:tcMar>
                  <w:vAlign w:val="center"/>
                </w:tcPr>
                <w:p w14:paraId="0EF845BA">
                  <w:pPr>
                    <w:pStyle w:val="20"/>
                    <w:keepNext w:val="0"/>
                    <w:keepLines w:val="0"/>
                    <w:pageBreakBefore w:val="0"/>
                    <w:widowControl/>
                    <w:kinsoku/>
                    <w:wordWrap/>
                    <w:overflowPunct/>
                    <w:topLinePunct w:val="0"/>
                    <w:autoSpaceDE/>
                    <w:autoSpaceDN/>
                    <w:bidi w:val="0"/>
                    <w:adjustRightInd/>
                    <w:snapToGrid/>
                    <w:spacing w:before="31"/>
                    <w:jc w:val="center"/>
                    <w:textAlignment w:val="auto"/>
                    <w:rPr>
                      <w:rFonts w:hint="default"/>
                      <w:color w:val="auto"/>
                      <w:highlight w:val="none"/>
                      <w:lang w:val="en-US" w:eastAsia="zh-CN"/>
                    </w:rPr>
                  </w:pPr>
                  <w:r>
                    <w:rPr>
                      <w:rFonts w:hint="eastAsia"/>
                      <w:color w:val="auto"/>
                      <w:highlight w:val="none"/>
                      <w:lang w:val="en-US" w:eastAsia="zh-CN"/>
                    </w:rPr>
                    <w:t>空压机系统</w:t>
                  </w:r>
                </w:p>
              </w:tc>
              <w:tc>
                <w:tcPr>
                  <w:tcW w:w="1402" w:type="pct"/>
                  <w:tcBorders>
                    <w:tl2br w:val="nil"/>
                    <w:tr2bl w:val="nil"/>
                  </w:tcBorders>
                  <w:tcMar>
                    <w:top w:w="0" w:type="dxa"/>
                    <w:left w:w="28" w:type="dxa"/>
                    <w:bottom w:w="0" w:type="dxa"/>
                    <w:right w:w="28" w:type="dxa"/>
                  </w:tcMar>
                  <w:vAlign w:val="center"/>
                </w:tcPr>
                <w:p w14:paraId="3B3F22E3">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default"/>
                      <w:color w:val="auto"/>
                      <w:highlight w:val="none"/>
                      <w:lang w:val="en-US" w:eastAsia="zh-CN"/>
                    </w:rPr>
                  </w:pPr>
                  <w:r>
                    <w:rPr>
                      <w:rFonts w:hint="eastAsia"/>
                      <w:color w:val="auto"/>
                      <w:highlight w:val="none"/>
                      <w:lang w:val="en-US" w:eastAsia="zh-CN"/>
                    </w:rPr>
                    <w:t>设置在室外，位于厂房东南角，设置隔声措施。</w:t>
                  </w:r>
                </w:p>
              </w:tc>
              <w:tc>
                <w:tcPr>
                  <w:tcW w:w="1966" w:type="pct"/>
                  <w:tcBorders>
                    <w:tl2br w:val="nil"/>
                    <w:tr2bl w:val="nil"/>
                  </w:tcBorders>
                  <w:tcMar>
                    <w:top w:w="0" w:type="dxa"/>
                    <w:left w:w="28" w:type="dxa"/>
                    <w:bottom w:w="0" w:type="dxa"/>
                    <w:right w:w="28" w:type="dxa"/>
                  </w:tcMar>
                  <w:vAlign w:val="center"/>
                </w:tcPr>
                <w:p w14:paraId="5CF0BAEC">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default"/>
                      <w:color w:val="auto"/>
                      <w:highlight w:val="none"/>
                      <w:lang w:val="en-US" w:eastAsia="zh-CN"/>
                    </w:rPr>
                  </w:pPr>
                  <w:r>
                    <w:rPr>
                      <w:rFonts w:hint="eastAsia"/>
                      <w:color w:val="auto"/>
                      <w:highlight w:val="none"/>
                      <w:lang w:val="en-US" w:eastAsia="zh-CN"/>
                    </w:rPr>
                    <w:t>设置在室外，位于厂房东南角，设置隔声措施，新增一套空压机设施。</w:t>
                  </w:r>
                </w:p>
              </w:tc>
              <w:tc>
                <w:tcPr>
                  <w:tcW w:w="661" w:type="pct"/>
                  <w:tcBorders>
                    <w:tl2br w:val="nil"/>
                    <w:tr2bl w:val="nil"/>
                  </w:tcBorders>
                  <w:tcMar>
                    <w:top w:w="0" w:type="dxa"/>
                    <w:left w:w="28" w:type="dxa"/>
                    <w:bottom w:w="0" w:type="dxa"/>
                    <w:right w:w="28" w:type="dxa"/>
                  </w:tcMar>
                  <w:vAlign w:val="center"/>
                </w:tcPr>
                <w:p w14:paraId="0168F2E3">
                  <w:pPr>
                    <w:pStyle w:val="20"/>
                    <w:keepNext w:val="0"/>
                    <w:keepLines w:val="0"/>
                    <w:pageBreakBefore w:val="0"/>
                    <w:widowControl/>
                    <w:kinsoku/>
                    <w:wordWrap/>
                    <w:overflowPunct/>
                    <w:topLinePunct w:val="0"/>
                    <w:autoSpaceDE/>
                    <w:autoSpaceDN/>
                    <w:bidi w:val="0"/>
                    <w:adjustRightInd/>
                    <w:snapToGrid/>
                    <w:spacing w:before="31"/>
                    <w:textAlignment w:val="auto"/>
                    <w:rPr>
                      <w:rFonts w:hint="default"/>
                      <w:color w:val="auto"/>
                      <w:highlight w:val="none"/>
                      <w:lang w:val="en-US" w:eastAsia="zh-CN"/>
                    </w:rPr>
                  </w:pPr>
                  <w:r>
                    <w:rPr>
                      <w:rFonts w:hint="eastAsia"/>
                      <w:color w:val="auto"/>
                      <w:highlight w:val="none"/>
                      <w:lang w:val="en-US" w:eastAsia="zh-CN"/>
                    </w:rPr>
                    <w:t>新增1台</w:t>
                  </w:r>
                </w:p>
              </w:tc>
            </w:tr>
            <w:tr w14:paraId="6C337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1" w:type="pct"/>
                  <w:vMerge w:val="restart"/>
                  <w:tcBorders>
                    <w:tl2br w:val="nil"/>
                    <w:tr2bl w:val="nil"/>
                  </w:tcBorders>
                  <w:tcMar>
                    <w:top w:w="0" w:type="dxa"/>
                    <w:left w:w="28" w:type="dxa"/>
                    <w:bottom w:w="0" w:type="dxa"/>
                    <w:right w:w="28" w:type="dxa"/>
                  </w:tcMar>
                  <w:vAlign w:val="center"/>
                </w:tcPr>
                <w:p w14:paraId="0DCA44C9">
                  <w:pPr>
                    <w:pStyle w:val="20"/>
                    <w:keepNext w:val="0"/>
                    <w:keepLines w:val="0"/>
                    <w:pageBreakBefore w:val="0"/>
                    <w:widowControl/>
                    <w:kinsoku/>
                    <w:wordWrap/>
                    <w:overflowPunct/>
                    <w:topLinePunct w:val="0"/>
                    <w:autoSpaceDE/>
                    <w:autoSpaceDN/>
                    <w:bidi w:val="0"/>
                    <w:adjustRightInd/>
                    <w:snapToGrid/>
                    <w:spacing w:before="31"/>
                    <w:textAlignment w:val="auto"/>
                    <w:rPr>
                      <w:color w:val="auto"/>
                      <w:highlight w:val="none"/>
                    </w:rPr>
                  </w:pPr>
                  <w:r>
                    <w:rPr>
                      <w:color w:val="auto"/>
                      <w:highlight w:val="none"/>
                    </w:rPr>
                    <w:t>储运工程</w:t>
                  </w:r>
                </w:p>
              </w:tc>
              <w:tc>
                <w:tcPr>
                  <w:tcW w:w="607" w:type="pct"/>
                  <w:gridSpan w:val="2"/>
                  <w:tcBorders>
                    <w:tl2br w:val="nil"/>
                    <w:tr2bl w:val="nil"/>
                  </w:tcBorders>
                  <w:tcMar>
                    <w:top w:w="0" w:type="dxa"/>
                    <w:left w:w="28" w:type="dxa"/>
                    <w:bottom w:w="0" w:type="dxa"/>
                    <w:right w:w="28" w:type="dxa"/>
                  </w:tcMar>
                  <w:vAlign w:val="center"/>
                </w:tcPr>
                <w:p w14:paraId="6C02AB94">
                  <w:pPr>
                    <w:pStyle w:val="20"/>
                    <w:keepNext w:val="0"/>
                    <w:keepLines w:val="0"/>
                    <w:pageBreakBefore w:val="0"/>
                    <w:widowControl/>
                    <w:kinsoku/>
                    <w:wordWrap/>
                    <w:overflowPunct/>
                    <w:topLinePunct w:val="0"/>
                    <w:autoSpaceDE/>
                    <w:autoSpaceDN/>
                    <w:bidi w:val="0"/>
                    <w:adjustRightInd/>
                    <w:snapToGrid/>
                    <w:spacing w:before="31"/>
                    <w:jc w:val="center"/>
                    <w:textAlignment w:val="auto"/>
                    <w:rPr>
                      <w:rFonts w:hint="default"/>
                      <w:color w:val="auto"/>
                      <w:highlight w:val="none"/>
                      <w:lang w:val="en-US" w:eastAsia="zh-CN"/>
                    </w:rPr>
                  </w:pPr>
                  <w:r>
                    <w:rPr>
                      <w:rFonts w:hint="eastAsia"/>
                      <w:color w:val="auto"/>
                      <w:highlight w:val="none"/>
                      <w:lang w:val="en-US" w:eastAsia="zh-CN"/>
                    </w:rPr>
                    <w:t>原料准备区</w:t>
                  </w:r>
                </w:p>
              </w:tc>
              <w:tc>
                <w:tcPr>
                  <w:tcW w:w="1402" w:type="pct"/>
                  <w:tcBorders>
                    <w:tl2br w:val="nil"/>
                    <w:tr2bl w:val="nil"/>
                  </w:tcBorders>
                  <w:shd w:val="clear" w:color="auto" w:fill="auto"/>
                  <w:tcMar>
                    <w:top w:w="0" w:type="dxa"/>
                    <w:left w:w="28" w:type="dxa"/>
                    <w:bottom w:w="0" w:type="dxa"/>
                    <w:right w:w="28" w:type="dxa"/>
                  </w:tcMar>
                  <w:vAlign w:val="center"/>
                </w:tcPr>
                <w:p w14:paraId="5B892795">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北侧厂区内设置面积约486m</w:t>
                  </w:r>
                  <w:r>
                    <w:rPr>
                      <w:rFonts w:hint="eastAsia"/>
                      <w:color w:val="auto"/>
                      <w:highlight w:val="none"/>
                      <w:vertAlign w:val="superscript"/>
                      <w:lang w:val="en-US" w:eastAsia="zh-CN"/>
                    </w:rPr>
                    <w:t>2</w:t>
                  </w:r>
                  <w:r>
                    <w:rPr>
                      <w:rFonts w:hint="eastAsia"/>
                      <w:color w:val="auto"/>
                      <w:highlight w:val="none"/>
                      <w:lang w:val="en-US" w:eastAsia="zh-CN"/>
                    </w:rPr>
                    <w:t>的原料准备区，西南侧为面积80m</w:t>
                  </w:r>
                  <w:r>
                    <w:rPr>
                      <w:rFonts w:hint="eastAsia"/>
                      <w:color w:val="auto"/>
                      <w:highlight w:val="none"/>
                      <w:vertAlign w:val="superscript"/>
                      <w:lang w:val="en-US" w:eastAsia="zh-CN"/>
                    </w:rPr>
                    <w:t>2</w:t>
                  </w:r>
                  <w:r>
                    <w:rPr>
                      <w:rFonts w:hint="eastAsia"/>
                      <w:color w:val="auto"/>
                      <w:highlight w:val="none"/>
                      <w:lang w:val="en-US" w:eastAsia="zh-CN"/>
                    </w:rPr>
                    <w:t>的破碎间，设置1台破碎机和1台混料机，其余为原料库房1。</w:t>
                  </w:r>
                </w:p>
              </w:tc>
              <w:tc>
                <w:tcPr>
                  <w:tcW w:w="1966" w:type="pct"/>
                  <w:tcBorders>
                    <w:tl2br w:val="nil"/>
                    <w:tr2bl w:val="nil"/>
                  </w:tcBorders>
                  <w:shd w:val="clear" w:color="auto" w:fill="auto"/>
                  <w:tcMar>
                    <w:top w:w="0" w:type="dxa"/>
                    <w:left w:w="28" w:type="dxa"/>
                    <w:bottom w:w="0" w:type="dxa"/>
                    <w:right w:w="28" w:type="dxa"/>
                  </w:tcMar>
                  <w:vAlign w:val="center"/>
                </w:tcPr>
                <w:p w14:paraId="3169FCB4">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北侧厂区内设置面积约486m</w:t>
                  </w:r>
                  <w:r>
                    <w:rPr>
                      <w:rFonts w:hint="eastAsia"/>
                      <w:color w:val="auto"/>
                      <w:highlight w:val="none"/>
                      <w:vertAlign w:val="superscript"/>
                      <w:lang w:val="en-US" w:eastAsia="zh-CN"/>
                    </w:rPr>
                    <w:t>2</w:t>
                  </w:r>
                  <w:r>
                    <w:rPr>
                      <w:rFonts w:hint="eastAsia"/>
                      <w:color w:val="auto"/>
                      <w:highlight w:val="none"/>
                      <w:lang w:val="en-US" w:eastAsia="zh-CN"/>
                    </w:rPr>
                    <w:t>的原料准备区，西南侧为面积80m</w:t>
                  </w:r>
                  <w:r>
                    <w:rPr>
                      <w:rFonts w:hint="eastAsia"/>
                      <w:color w:val="auto"/>
                      <w:highlight w:val="none"/>
                      <w:vertAlign w:val="superscript"/>
                      <w:lang w:val="en-US" w:eastAsia="zh-CN"/>
                    </w:rPr>
                    <w:t>2</w:t>
                  </w:r>
                  <w:r>
                    <w:rPr>
                      <w:rFonts w:hint="eastAsia"/>
                      <w:color w:val="auto"/>
                      <w:highlight w:val="none"/>
                      <w:lang w:val="en-US" w:eastAsia="zh-CN"/>
                    </w:rPr>
                    <w:t>的破碎间，设置2台破碎机和1台混料机，其余为原料库房1。</w:t>
                  </w:r>
                </w:p>
              </w:tc>
              <w:tc>
                <w:tcPr>
                  <w:tcW w:w="661" w:type="pct"/>
                  <w:tcBorders>
                    <w:tl2br w:val="nil"/>
                    <w:tr2bl w:val="nil"/>
                  </w:tcBorders>
                  <w:tcMar>
                    <w:top w:w="0" w:type="dxa"/>
                    <w:left w:w="28" w:type="dxa"/>
                    <w:bottom w:w="0" w:type="dxa"/>
                    <w:right w:w="28" w:type="dxa"/>
                  </w:tcMar>
                  <w:vAlign w:val="center"/>
                </w:tcPr>
                <w:p w14:paraId="2223E56C">
                  <w:pPr>
                    <w:pStyle w:val="20"/>
                    <w:keepNext w:val="0"/>
                    <w:keepLines w:val="0"/>
                    <w:pageBreakBefore w:val="0"/>
                    <w:widowControl/>
                    <w:kinsoku/>
                    <w:wordWrap/>
                    <w:overflowPunct/>
                    <w:topLinePunct w:val="0"/>
                    <w:autoSpaceDE/>
                    <w:autoSpaceDN/>
                    <w:bidi w:val="0"/>
                    <w:adjustRightInd/>
                    <w:snapToGrid/>
                    <w:spacing w:before="31"/>
                    <w:textAlignment w:val="auto"/>
                    <w:rPr>
                      <w:rFonts w:hint="default"/>
                      <w:color w:val="auto"/>
                      <w:highlight w:val="none"/>
                      <w:lang w:val="en-US" w:eastAsia="zh-CN"/>
                    </w:rPr>
                  </w:pPr>
                  <w:r>
                    <w:rPr>
                      <w:rFonts w:hint="eastAsia"/>
                      <w:color w:val="auto"/>
                      <w:highlight w:val="none"/>
                      <w:lang w:val="en-US" w:eastAsia="zh-CN"/>
                    </w:rPr>
                    <w:t>增加一台破碎机</w:t>
                  </w:r>
                </w:p>
              </w:tc>
            </w:tr>
            <w:tr w14:paraId="78139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1" w:type="pct"/>
                  <w:vMerge w:val="continue"/>
                  <w:tcBorders>
                    <w:tl2br w:val="nil"/>
                    <w:tr2bl w:val="nil"/>
                  </w:tcBorders>
                  <w:tcMar>
                    <w:top w:w="0" w:type="dxa"/>
                    <w:left w:w="28" w:type="dxa"/>
                    <w:bottom w:w="0" w:type="dxa"/>
                    <w:right w:w="28" w:type="dxa"/>
                  </w:tcMar>
                  <w:vAlign w:val="center"/>
                </w:tcPr>
                <w:p w14:paraId="461EB7AA">
                  <w:pPr>
                    <w:pStyle w:val="20"/>
                    <w:keepNext w:val="0"/>
                    <w:keepLines w:val="0"/>
                    <w:pageBreakBefore w:val="0"/>
                    <w:widowControl/>
                    <w:kinsoku/>
                    <w:wordWrap/>
                    <w:overflowPunct/>
                    <w:topLinePunct w:val="0"/>
                    <w:autoSpaceDE/>
                    <w:autoSpaceDN/>
                    <w:bidi w:val="0"/>
                    <w:adjustRightInd/>
                    <w:snapToGrid/>
                    <w:spacing w:before="31"/>
                    <w:textAlignment w:val="auto"/>
                    <w:rPr>
                      <w:color w:val="auto"/>
                      <w:highlight w:val="none"/>
                    </w:rPr>
                  </w:pPr>
                </w:p>
              </w:tc>
              <w:tc>
                <w:tcPr>
                  <w:tcW w:w="607" w:type="pct"/>
                  <w:gridSpan w:val="2"/>
                  <w:tcBorders>
                    <w:tl2br w:val="nil"/>
                    <w:tr2bl w:val="nil"/>
                  </w:tcBorders>
                  <w:tcMar>
                    <w:top w:w="0" w:type="dxa"/>
                    <w:left w:w="28" w:type="dxa"/>
                    <w:bottom w:w="0" w:type="dxa"/>
                    <w:right w:w="28" w:type="dxa"/>
                  </w:tcMar>
                  <w:vAlign w:val="center"/>
                </w:tcPr>
                <w:p w14:paraId="0DC9B8CD">
                  <w:pPr>
                    <w:pStyle w:val="20"/>
                    <w:keepNext w:val="0"/>
                    <w:keepLines w:val="0"/>
                    <w:pageBreakBefore w:val="0"/>
                    <w:widowControl/>
                    <w:kinsoku/>
                    <w:wordWrap/>
                    <w:overflowPunct/>
                    <w:topLinePunct w:val="0"/>
                    <w:autoSpaceDE/>
                    <w:autoSpaceDN/>
                    <w:bidi w:val="0"/>
                    <w:adjustRightInd/>
                    <w:snapToGrid/>
                    <w:spacing w:before="31"/>
                    <w:jc w:val="center"/>
                    <w:textAlignment w:val="auto"/>
                    <w:rPr>
                      <w:rFonts w:hint="default" w:eastAsia="宋体"/>
                      <w:color w:val="auto"/>
                      <w:highlight w:val="none"/>
                      <w:lang w:val="en-US" w:eastAsia="zh-CN"/>
                    </w:rPr>
                  </w:pPr>
                  <w:r>
                    <w:rPr>
                      <w:rFonts w:hint="eastAsia"/>
                      <w:color w:val="auto"/>
                      <w:highlight w:val="none"/>
                      <w:lang w:val="en-US" w:eastAsia="zh-CN"/>
                    </w:rPr>
                    <w:t>原料库房2</w:t>
                  </w:r>
                </w:p>
              </w:tc>
              <w:tc>
                <w:tcPr>
                  <w:tcW w:w="1402" w:type="pct"/>
                  <w:vMerge w:val="restart"/>
                  <w:tcBorders>
                    <w:tl2br w:val="nil"/>
                    <w:tr2bl w:val="nil"/>
                  </w:tcBorders>
                  <w:tcMar>
                    <w:top w:w="0" w:type="dxa"/>
                    <w:left w:w="28" w:type="dxa"/>
                    <w:bottom w:w="0" w:type="dxa"/>
                    <w:right w:w="28" w:type="dxa"/>
                  </w:tcMar>
                  <w:vAlign w:val="center"/>
                </w:tcPr>
                <w:p w14:paraId="3ADF9EE7">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default" w:eastAsia="宋体"/>
                      <w:iCs/>
                      <w:color w:val="auto"/>
                      <w:highlight w:val="none"/>
                      <w:lang w:val="en-US" w:eastAsia="zh-CN"/>
                    </w:rPr>
                  </w:pPr>
                  <w:r>
                    <w:rPr>
                      <w:rFonts w:hint="eastAsia"/>
                      <w:iCs/>
                      <w:color w:val="auto"/>
                      <w:highlight w:val="none"/>
                      <w:lang w:val="en-US" w:eastAsia="zh-CN"/>
                    </w:rPr>
                    <w:t>车间北部区域面积约340m</w:t>
                  </w:r>
                  <w:r>
                    <w:rPr>
                      <w:rFonts w:hint="eastAsia"/>
                      <w:iCs/>
                      <w:color w:val="auto"/>
                      <w:highlight w:val="none"/>
                      <w:vertAlign w:val="superscript"/>
                      <w:lang w:val="en-US" w:eastAsia="zh-CN"/>
                    </w:rPr>
                    <w:t>2</w:t>
                  </w:r>
                  <w:r>
                    <w:rPr>
                      <w:rFonts w:hint="eastAsia"/>
                      <w:iCs/>
                      <w:color w:val="auto"/>
                      <w:highlight w:val="none"/>
                      <w:lang w:val="en-US" w:eastAsia="zh-CN"/>
                    </w:rPr>
                    <w:t>，用于原辅料、成品暂存，其中用于原料暂存的面积约100</w:t>
                  </w:r>
                  <w:r>
                    <w:rPr>
                      <w:rFonts w:hint="eastAsia"/>
                      <w:iCs/>
                      <w:color w:val="auto"/>
                      <w:highlight w:val="none"/>
                    </w:rPr>
                    <w:t>m</w:t>
                  </w:r>
                  <w:r>
                    <w:rPr>
                      <w:rFonts w:hint="eastAsia"/>
                      <w:iCs/>
                      <w:color w:val="auto"/>
                      <w:highlight w:val="none"/>
                      <w:vertAlign w:val="superscript"/>
                    </w:rPr>
                    <w:t>2</w:t>
                  </w:r>
                  <w:r>
                    <w:rPr>
                      <w:rFonts w:hint="eastAsia"/>
                      <w:iCs/>
                      <w:color w:val="auto"/>
                      <w:highlight w:val="none"/>
                      <w:lang w:val="en-US" w:eastAsia="zh-CN"/>
                    </w:rPr>
                    <w:t>，辅料暂存面积约60m</w:t>
                  </w:r>
                  <w:r>
                    <w:rPr>
                      <w:rFonts w:hint="eastAsia"/>
                      <w:iCs/>
                      <w:color w:val="auto"/>
                      <w:highlight w:val="none"/>
                      <w:vertAlign w:val="superscript"/>
                      <w:lang w:val="en-US" w:eastAsia="zh-CN"/>
                    </w:rPr>
                    <w:t>2</w:t>
                  </w:r>
                  <w:r>
                    <w:rPr>
                      <w:rFonts w:hint="eastAsia"/>
                      <w:iCs/>
                      <w:color w:val="auto"/>
                      <w:highlight w:val="none"/>
                      <w:lang w:val="en-US" w:eastAsia="zh-CN"/>
                    </w:rPr>
                    <w:t>，成品暂存的面积约180</w:t>
                  </w:r>
                  <w:r>
                    <w:rPr>
                      <w:rFonts w:hint="eastAsia"/>
                      <w:iCs/>
                      <w:color w:val="auto"/>
                      <w:highlight w:val="none"/>
                    </w:rPr>
                    <w:t>m</w:t>
                  </w:r>
                  <w:r>
                    <w:rPr>
                      <w:rFonts w:hint="eastAsia"/>
                      <w:iCs/>
                      <w:color w:val="auto"/>
                      <w:highlight w:val="none"/>
                      <w:vertAlign w:val="superscript"/>
                    </w:rPr>
                    <w:t>2</w:t>
                  </w:r>
                  <w:r>
                    <w:rPr>
                      <w:rFonts w:hint="eastAsia"/>
                      <w:iCs/>
                      <w:color w:val="auto"/>
                      <w:highlight w:val="none"/>
                      <w:vertAlign w:val="baseline"/>
                      <w:lang w:eastAsia="zh-CN"/>
                    </w:rPr>
                    <w:t>。</w:t>
                  </w:r>
                </w:p>
              </w:tc>
              <w:tc>
                <w:tcPr>
                  <w:tcW w:w="1966" w:type="pct"/>
                  <w:tcBorders>
                    <w:tl2br w:val="nil"/>
                    <w:tr2bl w:val="nil"/>
                  </w:tcBorders>
                  <w:tcMar>
                    <w:top w:w="0" w:type="dxa"/>
                    <w:left w:w="28" w:type="dxa"/>
                    <w:bottom w:w="0" w:type="dxa"/>
                    <w:right w:w="28" w:type="dxa"/>
                  </w:tcMar>
                  <w:vAlign w:val="center"/>
                </w:tcPr>
                <w:p w14:paraId="7DC25A8A">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default"/>
                      <w:iCs/>
                      <w:color w:val="auto"/>
                      <w:highlight w:val="none"/>
                      <w:lang w:val="en-US"/>
                    </w:rPr>
                  </w:pPr>
                  <w:r>
                    <w:rPr>
                      <w:rFonts w:hint="eastAsia"/>
                      <w:iCs/>
                      <w:color w:val="auto"/>
                      <w:highlight w:val="none"/>
                      <w:lang w:val="en-US" w:eastAsia="zh-CN"/>
                    </w:rPr>
                    <w:t>北侧1F区域，包括过道两侧及库房，面积约200</w:t>
                  </w:r>
                  <w:r>
                    <w:rPr>
                      <w:rFonts w:hint="eastAsia"/>
                      <w:color w:val="auto"/>
                      <w:highlight w:val="none"/>
                      <w:vertAlign w:val="baseline"/>
                      <w:lang w:val="en-US" w:eastAsia="zh-CN"/>
                    </w:rPr>
                    <w:t>m</w:t>
                  </w:r>
                  <w:r>
                    <w:rPr>
                      <w:rFonts w:hint="eastAsia"/>
                      <w:color w:val="auto"/>
                      <w:highlight w:val="none"/>
                      <w:vertAlign w:val="superscript"/>
                      <w:lang w:val="en-US" w:eastAsia="zh-CN"/>
                    </w:rPr>
                    <w:t>2</w:t>
                  </w:r>
                  <w:r>
                    <w:rPr>
                      <w:rFonts w:hint="eastAsia"/>
                      <w:color w:val="auto"/>
                      <w:highlight w:val="none"/>
                      <w:vertAlign w:val="baseline"/>
                      <w:lang w:val="en-US" w:eastAsia="zh-CN"/>
                    </w:rPr>
                    <w:t>，用于部分原料颗粒暂存。</w:t>
                  </w:r>
                </w:p>
              </w:tc>
              <w:tc>
                <w:tcPr>
                  <w:tcW w:w="661" w:type="pct"/>
                  <w:vMerge w:val="restart"/>
                  <w:tcBorders>
                    <w:tl2br w:val="nil"/>
                    <w:tr2bl w:val="nil"/>
                  </w:tcBorders>
                  <w:tcMar>
                    <w:top w:w="0" w:type="dxa"/>
                    <w:left w:w="28" w:type="dxa"/>
                    <w:bottom w:w="0" w:type="dxa"/>
                    <w:right w:w="28" w:type="dxa"/>
                  </w:tcMar>
                  <w:vAlign w:val="center"/>
                </w:tcPr>
                <w:p w14:paraId="71FEA3BF">
                  <w:pPr>
                    <w:pStyle w:val="20"/>
                    <w:keepNext w:val="0"/>
                    <w:keepLines w:val="0"/>
                    <w:pageBreakBefore w:val="0"/>
                    <w:widowControl/>
                    <w:kinsoku/>
                    <w:wordWrap/>
                    <w:overflowPunct/>
                    <w:topLinePunct w:val="0"/>
                    <w:autoSpaceDE/>
                    <w:autoSpaceDN/>
                    <w:bidi w:val="0"/>
                    <w:adjustRightInd/>
                    <w:snapToGrid/>
                    <w:spacing w:before="31"/>
                    <w:textAlignment w:val="auto"/>
                    <w:rPr>
                      <w:rFonts w:hint="eastAsia"/>
                      <w:color w:val="auto"/>
                      <w:highlight w:val="none"/>
                      <w:lang w:val="en-US" w:eastAsia="zh-CN"/>
                    </w:rPr>
                  </w:pPr>
                  <w:r>
                    <w:rPr>
                      <w:rFonts w:hint="eastAsia"/>
                      <w:color w:val="auto"/>
                      <w:highlight w:val="none"/>
                      <w:lang w:val="en-US" w:eastAsia="zh-CN"/>
                    </w:rPr>
                    <w:t>辅料库房，原料、成品库房面积增大，布局变动。</w:t>
                  </w:r>
                </w:p>
              </w:tc>
            </w:tr>
            <w:tr w14:paraId="27051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1" w:type="pct"/>
                  <w:vMerge w:val="continue"/>
                  <w:tcBorders>
                    <w:tl2br w:val="nil"/>
                    <w:tr2bl w:val="nil"/>
                  </w:tcBorders>
                  <w:tcMar>
                    <w:top w:w="0" w:type="dxa"/>
                    <w:left w:w="28" w:type="dxa"/>
                    <w:bottom w:w="0" w:type="dxa"/>
                    <w:right w:w="28" w:type="dxa"/>
                  </w:tcMar>
                  <w:vAlign w:val="center"/>
                </w:tcPr>
                <w:p w14:paraId="353AED46">
                  <w:pPr>
                    <w:pStyle w:val="20"/>
                    <w:keepNext w:val="0"/>
                    <w:keepLines w:val="0"/>
                    <w:pageBreakBefore w:val="0"/>
                    <w:widowControl/>
                    <w:kinsoku/>
                    <w:wordWrap/>
                    <w:overflowPunct/>
                    <w:topLinePunct w:val="0"/>
                    <w:autoSpaceDE/>
                    <w:autoSpaceDN/>
                    <w:bidi w:val="0"/>
                    <w:adjustRightInd/>
                    <w:snapToGrid/>
                    <w:spacing w:before="31"/>
                    <w:textAlignment w:val="auto"/>
                    <w:rPr>
                      <w:color w:val="auto"/>
                      <w:highlight w:val="none"/>
                    </w:rPr>
                  </w:pPr>
                </w:p>
              </w:tc>
              <w:tc>
                <w:tcPr>
                  <w:tcW w:w="607" w:type="pct"/>
                  <w:gridSpan w:val="2"/>
                  <w:tcBorders>
                    <w:tl2br w:val="nil"/>
                    <w:tr2bl w:val="nil"/>
                  </w:tcBorders>
                  <w:tcMar>
                    <w:top w:w="0" w:type="dxa"/>
                    <w:left w:w="28" w:type="dxa"/>
                    <w:bottom w:w="0" w:type="dxa"/>
                    <w:right w:w="28" w:type="dxa"/>
                  </w:tcMar>
                  <w:vAlign w:val="center"/>
                </w:tcPr>
                <w:p w14:paraId="1C731A11">
                  <w:pPr>
                    <w:pStyle w:val="20"/>
                    <w:keepNext w:val="0"/>
                    <w:keepLines w:val="0"/>
                    <w:pageBreakBefore w:val="0"/>
                    <w:widowControl/>
                    <w:kinsoku/>
                    <w:wordWrap/>
                    <w:overflowPunct/>
                    <w:topLinePunct w:val="0"/>
                    <w:autoSpaceDE/>
                    <w:autoSpaceDN/>
                    <w:bidi w:val="0"/>
                    <w:adjustRightInd/>
                    <w:snapToGrid/>
                    <w:spacing w:before="31"/>
                    <w:jc w:val="center"/>
                    <w:textAlignment w:val="auto"/>
                    <w:rPr>
                      <w:rFonts w:hint="default"/>
                      <w:color w:val="auto"/>
                      <w:highlight w:val="none"/>
                      <w:lang w:val="en-US" w:eastAsia="zh-CN"/>
                    </w:rPr>
                  </w:pPr>
                  <w:r>
                    <w:rPr>
                      <w:rFonts w:hint="eastAsia"/>
                      <w:color w:val="auto"/>
                      <w:highlight w:val="none"/>
                      <w:lang w:val="en-US" w:eastAsia="zh-CN"/>
                    </w:rPr>
                    <w:t>辅料库房</w:t>
                  </w:r>
                </w:p>
              </w:tc>
              <w:tc>
                <w:tcPr>
                  <w:tcW w:w="1402" w:type="pct"/>
                  <w:vMerge w:val="continue"/>
                  <w:tcBorders>
                    <w:tl2br w:val="nil"/>
                    <w:tr2bl w:val="nil"/>
                  </w:tcBorders>
                  <w:tcMar>
                    <w:top w:w="0" w:type="dxa"/>
                    <w:left w:w="28" w:type="dxa"/>
                    <w:bottom w:w="0" w:type="dxa"/>
                    <w:right w:w="28" w:type="dxa"/>
                  </w:tcMar>
                  <w:vAlign w:val="center"/>
                </w:tcPr>
                <w:p w14:paraId="792725B4">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eastAsia" w:eastAsia="宋体"/>
                      <w:iCs/>
                      <w:color w:val="auto"/>
                      <w:highlight w:val="none"/>
                      <w:lang w:val="en-US" w:eastAsia="zh-CN"/>
                    </w:rPr>
                  </w:pPr>
                </w:p>
              </w:tc>
              <w:tc>
                <w:tcPr>
                  <w:tcW w:w="1966" w:type="pct"/>
                  <w:tcBorders>
                    <w:tl2br w:val="nil"/>
                    <w:tr2bl w:val="nil"/>
                  </w:tcBorders>
                  <w:tcMar>
                    <w:top w:w="0" w:type="dxa"/>
                    <w:left w:w="28" w:type="dxa"/>
                    <w:bottom w:w="0" w:type="dxa"/>
                    <w:right w:w="28" w:type="dxa"/>
                  </w:tcMar>
                  <w:vAlign w:val="center"/>
                </w:tcPr>
                <w:p w14:paraId="1795A6B5">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eastAsia"/>
                      <w:iCs/>
                      <w:color w:val="auto"/>
                      <w:highlight w:val="none"/>
                    </w:rPr>
                  </w:pPr>
                  <w:r>
                    <w:rPr>
                      <w:rFonts w:hint="eastAsia"/>
                      <w:iCs/>
                      <w:color w:val="auto"/>
                      <w:highlight w:val="none"/>
                      <w:lang w:val="en-US" w:eastAsia="zh-CN"/>
                    </w:rPr>
                    <w:t>新增，</w:t>
                  </w:r>
                  <w:r>
                    <w:rPr>
                      <w:rFonts w:hint="eastAsia"/>
                      <w:iCs/>
                      <w:color w:val="auto"/>
                      <w:highlight w:val="none"/>
                    </w:rPr>
                    <w:t>位于车间</w:t>
                  </w:r>
                  <w:r>
                    <w:rPr>
                      <w:rFonts w:hint="eastAsia"/>
                      <w:iCs/>
                      <w:color w:val="auto"/>
                      <w:highlight w:val="none"/>
                      <w:lang w:val="en-US" w:eastAsia="zh-CN"/>
                    </w:rPr>
                    <w:t>西</w:t>
                  </w:r>
                  <w:r>
                    <w:rPr>
                      <w:rFonts w:hint="eastAsia"/>
                      <w:iCs/>
                      <w:color w:val="auto"/>
                      <w:highlight w:val="none"/>
                    </w:rPr>
                    <w:t>侧，用于</w:t>
                  </w:r>
                  <w:r>
                    <w:rPr>
                      <w:rFonts w:hint="eastAsia"/>
                      <w:iCs/>
                      <w:color w:val="auto"/>
                      <w:highlight w:val="none"/>
                      <w:lang w:val="en-US" w:eastAsia="zh-CN"/>
                    </w:rPr>
                    <w:t>包装材料</w:t>
                  </w:r>
                  <w:r>
                    <w:rPr>
                      <w:rFonts w:hint="eastAsia"/>
                      <w:iCs/>
                      <w:color w:val="auto"/>
                      <w:highlight w:val="none"/>
                    </w:rPr>
                    <w:t>暂存，面积约300m</w:t>
                  </w:r>
                  <w:r>
                    <w:rPr>
                      <w:rFonts w:hint="eastAsia"/>
                      <w:iCs/>
                      <w:color w:val="auto"/>
                      <w:highlight w:val="none"/>
                      <w:vertAlign w:val="superscript"/>
                    </w:rPr>
                    <w:t>2</w:t>
                  </w:r>
                  <w:r>
                    <w:rPr>
                      <w:rFonts w:hint="eastAsia"/>
                      <w:iCs/>
                      <w:color w:val="auto"/>
                      <w:highlight w:val="none"/>
                      <w:vertAlign w:val="baseline"/>
                      <w:lang w:eastAsia="zh-CN"/>
                    </w:rPr>
                    <w:t>。</w:t>
                  </w:r>
                </w:p>
              </w:tc>
              <w:tc>
                <w:tcPr>
                  <w:tcW w:w="661" w:type="pct"/>
                  <w:vMerge w:val="continue"/>
                  <w:tcBorders>
                    <w:tl2br w:val="nil"/>
                    <w:tr2bl w:val="nil"/>
                  </w:tcBorders>
                  <w:tcMar>
                    <w:top w:w="0" w:type="dxa"/>
                    <w:left w:w="28" w:type="dxa"/>
                    <w:bottom w:w="0" w:type="dxa"/>
                    <w:right w:w="28" w:type="dxa"/>
                  </w:tcMar>
                  <w:vAlign w:val="center"/>
                </w:tcPr>
                <w:p w14:paraId="350ECC29">
                  <w:pPr>
                    <w:pStyle w:val="20"/>
                    <w:keepNext w:val="0"/>
                    <w:keepLines w:val="0"/>
                    <w:pageBreakBefore w:val="0"/>
                    <w:widowControl/>
                    <w:kinsoku/>
                    <w:wordWrap/>
                    <w:overflowPunct/>
                    <w:topLinePunct w:val="0"/>
                    <w:autoSpaceDE/>
                    <w:autoSpaceDN/>
                    <w:bidi w:val="0"/>
                    <w:adjustRightInd/>
                    <w:snapToGrid/>
                    <w:spacing w:before="31"/>
                    <w:textAlignment w:val="auto"/>
                    <w:rPr>
                      <w:rFonts w:hint="eastAsia" w:eastAsia="宋体"/>
                      <w:color w:val="auto"/>
                      <w:highlight w:val="none"/>
                      <w:lang w:val="en-US" w:eastAsia="zh-CN"/>
                    </w:rPr>
                  </w:pPr>
                </w:p>
              </w:tc>
            </w:tr>
            <w:tr w14:paraId="4A39A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1" w:type="pct"/>
                  <w:vMerge w:val="continue"/>
                  <w:tcBorders>
                    <w:tl2br w:val="nil"/>
                    <w:tr2bl w:val="nil"/>
                  </w:tcBorders>
                  <w:tcMar>
                    <w:top w:w="0" w:type="dxa"/>
                    <w:left w:w="28" w:type="dxa"/>
                    <w:bottom w:w="0" w:type="dxa"/>
                    <w:right w:w="28" w:type="dxa"/>
                  </w:tcMar>
                  <w:vAlign w:val="center"/>
                </w:tcPr>
                <w:p w14:paraId="6BAD7836">
                  <w:pPr>
                    <w:pStyle w:val="20"/>
                    <w:keepNext w:val="0"/>
                    <w:keepLines w:val="0"/>
                    <w:pageBreakBefore w:val="0"/>
                    <w:widowControl/>
                    <w:kinsoku/>
                    <w:wordWrap/>
                    <w:overflowPunct/>
                    <w:topLinePunct w:val="0"/>
                    <w:autoSpaceDE/>
                    <w:autoSpaceDN/>
                    <w:bidi w:val="0"/>
                    <w:adjustRightInd/>
                    <w:snapToGrid/>
                    <w:spacing w:before="31"/>
                    <w:textAlignment w:val="auto"/>
                    <w:rPr>
                      <w:color w:val="auto"/>
                      <w:highlight w:val="none"/>
                    </w:rPr>
                  </w:pPr>
                </w:p>
              </w:tc>
              <w:tc>
                <w:tcPr>
                  <w:tcW w:w="607" w:type="pct"/>
                  <w:gridSpan w:val="2"/>
                  <w:tcBorders>
                    <w:tl2br w:val="nil"/>
                    <w:tr2bl w:val="nil"/>
                  </w:tcBorders>
                  <w:tcMar>
                    <w:top w:w="0" w:type="dxa"/>
                    <w:left w:w="28" w:type="dxa"/>
                    <w:bottom w:w="0" w:type="dxa"/>
                    <w:right w:w="28" w:type="dxa"/>
                  </w:tcMar>
                  <w:vAlign w:val="center"/>
                </w:tcPr>
                <w:p w14:paraId="1839BC5B">
                  <w:pPr>
                    <w:pStyle w:val="20"/>
                    <w:keepNext w:val="0"/>
                    <w:keepLines w:val="0"/>
                    <w:pageBreakBefore w:val="0"/>
                    <w:widowControl/>
                    <w:kinsoku/>
                    <w:wordWrap/>
                    <w:overflowPunct/>
                    <w:topLinePunct w:val="0"/>
                    <w:autoSpaceDE/>
                    <w:autoSpaceDN/>
                    <w:bidi w:val="0"/>
                    <w:adjustRightInd/>
                    <w:snapToGrid/>
                    <w:spacing w:before="31"/>
                    <w:jc w:val="center"/>
                    <w:textAlignment w:val="auto"/>
                    <w:rPr>
                      <w:rFonts w:hint="default"/>
                      <w:color w:val="auto"/>
                      <w:highlight w:val="none"/>
                      <w:lang w:val="en-US" w:eastAsia="zh-CN"/>
                    </w:rPr>
                  </w:pPr>
                  <w:r>
                    <w:rPr>
                      <w:rFonts w:hint="eastAsia"/>
                      <w:color w:val="auto"/>
                      <w:highlight w:val="none"/>
                      <w:lang w:val="en-US" w:eastAsia="zh-CN"/>
                    </w:rPr>
                    <w:t>成品库房1</w:t>
                  </w:r>
                </w:p>
              </w:tc>
              <w:tc>
                <w:tcPr>
                  <w:tcW w:w="1402" w:type="pct"/>
                  <w:vMerge w:val="continue"/>
                  <w:tcBorders>
                    <w:tl2br w:val="nil"/>
                    <w:tr2bl w:val="nil"/>
                  </w:tcBorders>
                  <w:tcMar>
                    <w:top w:w="0" w:type="dxa"/>
                    <w:left w:w="28" w:type="dxa"/>
                    <w:bottom w:w="0" w:type="dxa"/>
                    <w:right w:w="28" w:type="dxa"/>
                  </w:tcMar>
                  <w:vAlign w:val="center"/>
                </w:tcPr>
                <w:p w14:paraId="6DF72368">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default" w:eastAsia="宋体"/>
                      <w:iCs/>
                      <w:color w:val="auto"/>
                      <w:highlight w:val="none"/>
                      <w:lang w:val="en-US" w:eastAsia="zh-CN"/>
                    </w:rPr>
                  </w:pPr>
                </w:p>
              </w:tc>
              <w:tc>
                <w:tcPr>
                  <w:tcW w:w="1966" w:type="pct"/>
                  <w:tcBorders>
                    <w:tl2br w:val="nil"/>
                    <w:tr2bl w:val="nil"/>
                  </w:tcBorders>
                  <w:tcMar>
                    <w:top w:w="0" w:type="dxa"/>
                    <w:left w:w="28" w:type="dxa"/>
                    <w:bottom w:w="0" w:type="dxa"/>
                    <w:right w:w="28" w:type="dxa"/>
                  </w:tcMar>
                  <w:vAlign w:val="center"/>
                </w:tcPr>
                <w:p w14:paraId="5B427B7E">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eastAsia"/>
                      <w:iCs/>
                      <w:color w:val="auto"/>
                      <w:highlight w:val="none"/>
                    </w:rPr>
                  </w:pPr>
                  <w:r>
                    <w:rPr>
                      <w:rFonts w:hint="eastAsia"/>
                      <w:iCs/>
                      <w:color w:val="auto"/>
                      <w:highlight w:val="none"/>
                      <w:lang w:val="en-US" w:eastAsia="zh-CN"/>
                    </w:rPr>
                    <w:t>车间北部区域用于成品暂存。除去过道等，面积约340m</w:t>
                  </w:r>
                  <w:r>
                    <w:rPr>
                      <w:rFonts w:hint="eastAsia"/>
                      <w:iCs/>
                      <w:color w:val="auto"/>
                      <w:highlight w:val="none"/>
                      <w:vertAlign w:val="superscript"/>
                      <w:lang w:val="en-US" w:eastAsia="zh-CN"/>
                    </w:rPr>
                    <w:t>2</w:t>
                  </w:r>
                  <w:r>
                    <w:rPr>
                      <w:rFonts w:hint="eastAsia"/>
                      <w:iCs/>
                      <w:color w:val="auto"/>
                      <w:highlight w:val="none"/>
                      <w:lang w:val="en-US" w:eastAsia="zh-CN"/>
                    </w:rPr>
                    <w:t>。</w:t>
                  </w:r>
                </w:p>
              </w:tc>
              <w:tc>
                <w:tcPr>
                  <w:tcW w:w="661" w:type="pct"/>
                  <w:vMerge w:val="continue"/>
                  <w:tcBorders>
                    <w:tl2br w:val="nil"/>
                    <w:tr2bl w:val="nil"/>
                  </w:tcBorders>
                  <w:tcMar>
                    <w:top w:w="0" w:type="dxa"/>
                    <w:left w:w="28" w:type="dxa"/>
                    <w:bottom w:w="0" w:type="dxa"/>
                    <w:right w:w="28" w:type="dxa"/>
                  </w:tcMar>
                  <w:vAlign w:val="center"/>
                </w:tcPr>
                <w:p w14:paraId="4D413C54">
                  <w:pPr>
                    <w:pStyle w:val="20"/>
                    <w:keepNext w:val="0"/>
                    <w:keepLines w:val="0"/>
                    <w:pageBreakBefore w:val="0"/>
                    <w:widowControl/>
                    <w:kinsoku/>
                    <w:wordWrap/>
                    <w:overflowPunct/>
                    <w:topLinePunct w:val="0"/>
                    <w:autoSpaceDE/>
                    <w:autoSpaceDN/>
                    <w:bidi w:val="0"/>
                    <w:adjustRightInd/>
                    <w:snapToGrid/>
                    <w:spacing w:before="31"/>
                    <w:textAlignment w:val="auto"/>
                    <w:rPr>
                      <w:rFonts w:hint="eastAsia" w:eastAsia="宋体"/>
                      <w:color w:val="auto"/>
                      <w:highlight w:val="none"/>
                      <w:lang w:val="en-US" w:eastAsia="zh-CN"/>
                    </w:rPr>
                  </w:pPr>
                </w:p>
              </w:tc>
            </w:tr>
            <w:tr w14:paraId="314F7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1" w:type="pct"/>
                  <w:vMerge w:val="continue"/>
                  <w:tcBorders>
                    <w:tl2br w:val="nil"/>
                    <w:tr2bl w:val="nil"/>
                  </w:tcBorders>
                  <w:tcMar>
                    <w:top w:w="0" w:type="dxa"/>
                    <w:left w:w="28" w:type="dxa"/>
                    <w:bottom w:w="0" w:type="dxa"/>
                    <w:right w:w="28" w:type="dxa"/>
                  </w:tcMar>
                  <w:vAlign w:val="center"/>
                </w:tcPr>
                <w:p w14:paraId="4AA359D1">
                  <w:pPr>
                    <w:pStyle w:val="20"/>
                    <w:keepNext w:val="0"/>
                    <w:keepLines w:val="0"/>
                    <w:pageBreakBefore w:val="0"/>
                    <w:widowControl/>
                    <w:kinsoku/>
                    <w:wordWrap/>
                    <w:overflowPunct/>
                    <w:topLinePunct w:val="0"/>
                    <w:autoSpaceDE/>
                    <w:autoSpaceDN/>
                    <w:bidi w:val="0"/>
                    <w:adjustRightInd/>
                    <w:snapToGrid/>
                    <w:spacing w:before="31"/>
                    <w:textAlignment w:val="auto"/>
                    <w:rPr>
                      <w:color w:val="auto"/>
                      <w:highlight w:val="none"/>
                    </w:rPr>
                  </w:pPr>
                </w:p>
              </w:tc>
              <w:tc>
                <w:tcPr>
                  <w:tcW w:w="607" w:type="pct"/>
                  <w:gridSpan w:val="2"/>
                  <w:tcBorders>
                    <w:tl2br w:val="nil"/>
                    <w:tr2bl w:val="nil"/>
                  </w:tcBorders>
                  <w:tcMar>
                    <w:top w:w="0" w:type="dxa"/>
                    <w:left w:w="28" w:type="dxa"/>
                    <w:bottom w:w="0" w:type="dxa"/>
                    <w:right w:w="28" w:type="dxa"/>
                  </w:tcMar>
                  <w:vAlign w:val="center"/>
                </w:tcPr>
                <w:p w14:paraId="1E077014">
                  <w:pPr>
                    <w:pStyle w:val="20"/>
                    <w:keepNext w:val="0"/>
                    <w:keepLines w:val="0"/>
                    <w:pageBreakBefore w:val="0"/>
                    <w:widowControl/>
                    <w:kinsoku/>
                    <w:wordWrap/>
                    <w:overflowPunct/>
                    <w:topLinePunct w:val="0"/>
                    <w:autoSpaceDE/>
                    <w:autoSpaceDN/>
                    <w:bidi w:val="0"/>
                    <w:adjustRightInd/>
                    <w:snapToGrid/>
                    <w:spacing w:before="31"/>
                    <w:jc w:val="center"/>
                    <w:textAlignment w:val="auto"/>
                    <w:rPr>
                      <w:rFonts w:hint="default"/>
                      <w:color w:val="auto"/>
                      <w:highlight w:val="none"/>
                      <w:lang w:val="en-US" w:eastAsia="zh-CN"/>
                    </w:rPr>
                  </w:pPr>
                  <w:r>
                    <w:rPr>
                      <w:rFonts w:hint="eastAsia"/>
                      <w:color w:val="auto"/>
                      <w:highlight w:val="none"/>
                      <w:lang w:val="en-US" w:eastAsia="zh-CN"/>
                    </w:rPr>
                    <w:t>成品库房2</w:t>
                  </w:r>
                </w:p>
              </w:tc>
              <w:tc>
                <w:tcPr>
                  <w:tcW w:w="1402" w:type="pct"/>
                  <w:vMerge w:val="continue"/>
                  <w:tcBorders>
                    <w:tl2br w:val="nil"/>
                    <w:tr2bl w:val="nil"/>
                  </w:tcBorders>
                  <w:tcMar>
                    <w:top w:w="0" w:type="dxa"/>
                    <w:left w:w="28" w:type="dxa"/>
                    <w:bottom w:w="0" w:type="dxa"/>
                    <w:right w:w="28" w:type="dxa"/>
                  </w:tcMar>
                  <w:vAlign w:val="center"/>
                </w:tcPr>
                <w:p w14:paraId="5979E00C">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default"/>
                      <w:iCs/>
                      <w:color w:val="auto"/>
                      <w:highlight w:val="none"/>
                      <w:lang w:val="en-US" w:eastAsia="zh-CN"/>
                    </w:rPr>
                  </w:pPr>
                </w:p>
              </w:tc>
              <w:tc>
                <w:tcPr>
                  <w:tcW w:w="1966" w:type="pct"/>
                  <w:tcBorders>
                    <w:tl2br w:val="nil"/>
                    <w:tr2bl w:val="nil"/>
                  </w:tcBorders>
                  <w:tcMar>
                    <w:top w:w="0" w:type="dxa"/>
                    <w:left w:w="28" w:type="dxa"/>
                    <w:bottom w:w="0" w:type="dxa"/>
                    <w:right w:w="28" w:type="dxa"/>
                  </w:tcMar>
                  <w:vAlign w:val="center"/>
                </w:tcPr>
                <w:p w14:paraId="006F3775">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eastAsia"/>
                      <w:iCs/>
                      <w:color w:val="auto"/>
                      <w:highlight w:val="none"/>
                      <w:lang w:val="en-US" w:eastAsia="zh-CN"/>
                    </w:rPr>
                  </w:pPr>
                  <w:r>
                    <w:rPr>
                      <w:rFonts w:hint="eastAsia"/>
                      <w:iCs/>
                      <w:color w:val="auto"/>
                      <w:highlight w:val="none"/>
                      <w:lang w:val="en-US" w:eastAsia="zh-CN"/>
                    </w:rPr>
                    <w:t>新增，</w:t>
                  </w:r>
                  <w:r>
                    <w:rPr>
                      <w:rFonts w:hint="eastAsia"/>
                      <w:iCs/>
                      <w:color w:val="auto"/>
                      <w:highlight w:val="none"/>
                    </w:rPr>
                    <w:t>位于车间</w:t>
                  </w:r>
                  <w:r>
                    <w:rPr>
                      <w:rFonts w:hint="eastAsia"/>
                      <w:iCs/>
                      <w:color w:val="auto"/>
                      <w:highlight w:val="none"/>
                      <w:lang w:val="en-US" w:eastAsia="zh-CN"/>
                    </w:rPr>
                    <w:t>西</w:t>
                  </w:r>
                  <w:r>
                    <w:rPr>
                      <w:rFonts w:hint="eastAsia"/>
                      <w:iCs/>
                      <w:color w:val="auto"/>
                      <w:highlight w:val="none"/>
                    </w:rPr>
                    <w:t>侧，用于</w:t>
                  </w:r>
                  <w:r>
                    <w:rPr>
                      <w:rFonts w:hint="eastAsia"/>
                      <w:iCs/>
                      <w:color w:val="auto"/>
                      <w:highlight w:val="none"/>
                      <w:lang w:val="en-US" w:eastAsia="zh-CN"/>
                    </w:rPr>
                    <w:t>成品暂存</w:t>
                  </w:r>
                  <w:r>
                    <w:rPr>
                      <w:rFonts w:hint="eastAsia"/>
                      <w:iCs/>
                      <w:color w:val="auto"/>
                      <w:highlight w:val="none"/>
                    </w:rPr>
                    <w:t>，面积约</w:t>
                  </w:r>
                  <w:r>
                    <w:rPr>
                      <w:rFonts w:hint="eastAsia"/>
                      <w:iCs/>
                      <w:color w:val="auto"/>
                      <w:highlight w:val="none"/>
                      <w:lang w:val="en-US" w:eastAsia="zh-CN"/>
                    </w:rPr>
                    <w:t>4</w:t>
                  </w:r>
                  <w:r>
                    <w:rPr>
                      <w:rFonts w:hint="eastAsia"/>
                      <w:iCs/>
                      <w:color w:val="auto"/>
                      <w:highlight w:val="none"/>
                    </w:rPr>
                    <w:t>00m</w:t>
                  </w:r>
                  <w:r>
                    <w:rPr>
                      <w:rFonts w:hint="eastAsia"/>
                      <w:iCs/>
                      <w:color w:val="auto"/>
                      <w:highlight w:val="none"/>
                      <w:vertAlign w:val="superscript"/>
                    </w:rPr>
                    <w:t>2</w:t>
                  </w:r>
                  <w:r>
                    <w:rPr>
                      <w:rFonts w:hint="eastAsia"/>
                      <w:iCs/>
                      <w:color w:val="auto"/>
                      <w:highlight w:val="none"/>
                      <w:vertAlign w:val="baseline"/>
                      <w:lang w:eastAsia="zh-CN"/>
                    </w:rPr>
                    <w:t>。</w:t>
                  </w:r>
                </w:p>
              </w:tc>
              <w:tc>
                <w:tcPr>
                  <w:tcW w:w="661" w:type="pct"/>
                  <w:vMerge w:val="continue"/>
                  <w:tcBorders>
                    <w:tl2br w:val="nil"/>
                    <w:tr2bl w:val="nil"/>
                  </w:tcBorders>
                  <w:tcMar>
                    <w:top w:w="0" w:type="dxa"/>
                    <w:left w:w="28" w:type="dxa"/>
                    <w:bottom w:w="0" w:type="dxa"/>
                    <w:right w:w="28" w:type="dxa"/>
                  </w:tcMar>
                  <w:vAlign w:val="center"/>
                </w:tcPr>
                <w:p w14:paraId="19DABB8D">
                  <w:pPr>
                    <w:pStyle w:val="20"/>
                    <w:keepNext w:val="0"/>
                    <w:keepLines w:val="0"/>
                    <w:pageBreakBefore w:val="0"/>
                    <w:widowControl/>
                    <w:kinsoku/>
                    <w:wordWrap/>
                    <w:overflowPunct/>
                    <w:topLinePunct w:val="0"/>
                    <w:autoSpaceDE/>
                    <w:autoSpaceDN/>
                    <w:bidi w:val="0"/>
                    <w:adjustRightInd/>
                    <w:snapToGrid/>
                    <w:spacing w:before="31"/>
                    <w:textAlignment w:val="auto"/>
                    <w:rPr>
                      <w:rFonts w:hint="eastAsia"/>
                      <w:color w:val="auto"/>
                      <w:highlight w:val="none"/>
                      <w:lang w:val="en-US" w:eastAsia="zh-CN"/>
                    </w:rPr>
                  </w:pPr>
                </w:p>
              </w:tc>
            </w:tr>
            <w:tr w14:paraId="5E222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1" w:type="pct"/>
                  <w:vMerge w:val="continue"/>
                  <w:tcBorders>
                    <w:tl2br w:val="nil"/>
                    <w:tr2bl w:val="nil"/>
                  </w:tcBorders>
                  <w:tcMar>
                    <w:top w:w="0" w:type="dxa"/>
                    <w:left w:w="28" w:type="dxa"/>
                    <w:bottom w:w="0" w:type="dxa"/>
                    <w:right w:w="28" w:type="dxa"/>
                  </w:tcMar>
                  <w:vAlign w:val="center"/>
                </w:tcPr>
                <w:p w14:paraId="3F834C14">
                  <w:pPr>
                    <w:pStyle w:val="20"/>
                    <w:keepNext w:val="0"/>
                    <w:keepLines w:val="0"/>
                    <w:pageBreakBefore w:val="0"/>
                    <w:widowControl/>
                    <w:kinsoku/>
                    <w:wordWrap/>
                    <w:overflowPunct/>
                    <w:topLinePunct w:val="0"/>
                    <w:autoSpaceDE/>
                    <w:autoSpaceDN/>
                    <w:bidi w:val="0"/>
                    <w:adjustRightInd/>
                    <w:snapToGrid/>
                    <w:spacing w:before="31"/>
                    <w:textAlignment w:val="auto"/>
                    <w:rPr>
                      <w:color w:val="auto"/>
                      <w:highlight w:val="none"/>
                    </w:rPr>
                  </w:pPr>
                </w:p>
              </w:tc>
              <w:tc>
                <w:tcPr>
                  <w:tcW w:w="607" w:type="pct"/>
                  <w:gridSpan w:val="2"/>
                  <w:tcBorders>
                    <w:tl2br w:val="nil"/>
                    <w:tr2bl w:val="nil"/>
                  </w:tcBorders>
                  <w:tcMar>
                    <w:top w:w="0" w:type="dxa"/>
                    <w:left w:w="28" w:type="dxa"/>
                    <w:bottom w:w="0" w:type="dxa"/>
                    <w:right w:w="28" w:type="dxa"/>
                  </w:tcMar>
                  <w:vAlign w:val="center"/>
                </w:tcPr>
                <w:p w14:paraId="26B06D74">
                  <w:pPr>
                    <w:pStyle w:val="20"/>
                    <w:bidi w:val="0"/>
                    <w:jc w:val="center"/>
                    <w:rPr>
                      <w:rFonts w:hint="default"/>
                      <w:color w:val="auto"/>
                      <w:highlight w:val="none"/>
                      <w:lang w:val="en-US" w:eastAsia="zh-CN"/>
                    </w:rPr>
                  </w:pPr>
                  <w:r>
                    <w:rPr>
                      <w:rFonts w:hint="eastAsia"/>
                      <w:color w:val="auto"/>
                      <w:highlight w:val="none"/>
                      <w:lang w:val="en-US" w:eastAsia="zh-CN"/>
                    </w:rPr>
                    <w:t>五金、备件库房</w:t>
                  </w:r>
                </w:p>
              </w:tc>
              <w:tc>
                <w:tcPr>
                  <w:tcW w:w="1402" w:type="pct"/>
                  <w:tcBorders>
                    <w:tl2br w:val="nil"/>
                    <w:tr2bl w:val="nil"/>
                  </w:tcBorders>
                  <w:tcMar>
                    <w:top w:w="0" w:type="dxa"/>
                    <w:left w:w="28" w:type="dxa"/>
                    <w:bottom w:w="0" w:type="dxa"/>
                    <w:right w:w="28" w:type="dxa"/>
                  </w:tcMar>
                  <w:vAlign w:val="center"/>
                </w:tcPr>
                <w:p w14:paraId="3DA5BA5F">
                  <w:pPr>
                    <w:pStyle w:val="20"/>
                    <w:bidi w:val="0"/>
                    <w:jc w:val="left"/>
                    <w:rPr>
                      <w:rFonts w:hint="default"/>
                      <w:color w:val="auto"/>
                      <w:highlight w:val="none"/>
                      <w:lang w:val="en-US"/>
                    </w:rPr>
                  </w:pPr>
                  <w:r>
                    <w:rPr>
                      <w:rFonts w:hint="eastAsia"/>
                      <w:color w:val="auto"/>
                      <w:highlight w:val="none"/>
                      <w:lang w:val="en-US" w:eastAsia="zh-CN"/>
                    </w:rPr>
                    <w:t>北侧1F为五金、备件仓库，面积约150m</w:t>
                  </w:r>
                  <w:r>
                    <w:rPr>
                      <w:rFonts w:hint="eastAsia"/>
                      <w:color w:val="auto"/>
                      <w:highlight w:val="none"/>
                      <w:vertAlign w:val="superscript"/>
                      <w:lang w:val="en-US" w:eastAsia="zh-CN"/>
                    </w:rPr>
                    <w:t>2</w:t>
                  </w:r>
                </w:p>
              </w:tc>
              <w:tc>
                <w:tcPr>
                  <w:tcW w:w="1966" w:type="pct"/>
                  <w:tcBorders>
                    <w:tl2br w:val="nil"/>
                    <w:tr2bl w:val="nil"/>
                  </w:tcBorders>
                  <w:tcMar>
                    <w:top w:w="0" w:type="dxa"/>
                    <w:left w:w="28" w:type="dxa"/>
                    <w:bottom w:w="0" w:type="dxa"/>
                    <w:right w:w="28" w:type="dxa"/>
                  </w:tcMar>
                  <w:vAlign w:val="center"/>
                </w:tcPr>
                <w:p w14:paraId="6D512E3F">
                  <w:pPr>
                    <w:pStyle w:val="20"/>
                    <w:bidi w:val="0"/>
                    <w:jc w:val="left"/>
                    <w:rPr>
                      <w:rFonts w:hint="default"/>
                      <w:color w:val="auto"/>
                      <w:highlight w:val="none"/>
                      <w:lang w:val="en-US"/>
                    </w:rPr>
                  </w:pPr>
                  <w:r>
                    <w:rPr>
                      <w:rFonts w:hint="eastAsia"/>
                      <w:color w:val="auto"/>
                      <w:highlight w:val="none"/>
                      <w:lang w:val="en-US" w:eastAsia="zh-CN"/>
                    </w:rPr>
                    <w:t>北侧1F为五金、备件仓库，面积约70m</w:t>
                  </w:r>
                  <w:r>
                    <w:rPr>
                      <w:rFonts w:hint="eastAsia"/>
                      <w:color w:val="auto"/>
                      <w:highlight w:val="none"/>
                      <w:vertAlign w:val="superscript"/>
                      <w:lang w:val="en-US" w:eastAsia="zh-CN"/>
                    </w:rPr>
                    <w:t>2</w:t>
                  </w:r>
                </w:p>
              </w:tc>
              <w:tc>
                <w:tcPr>
                  <w:tcW w:w="661" w:type="pct"/>
                  <w:tcBorders>
                    <w:tl2br w:val="nil"/>
                    <w:tr2bl w:val="nil"/>
                  </w:tcBorders>
                  <w:tcMar>
                    <w:top w:w="0" w:type="dxa"/>
                    <w:left w:w="28" w:type="dxa"/>
                    <w:bottom w:w="0" w:type="dxa"/>
                    <w:right w:w="28" w:type="dxa"/>
                  </w:tcMar>
                  <w:vAlign w:val="center"/>
                </w:tcPr>
                <w:p w14:paraId="5C363CFB">
                  <w:pPr>
                    <w:pStyle w:val="20"/>
                    <w:bidi w:val="0"/>
                    <w:jc w:val="center"/>
                    <w:rPr>
                      <w:rFonts w:hint="default" w:eastAsia="宋体"/>
                      <w:color w:val="auto"/>
                      <w:highlight w:val="none"/>
                      <w:lang w:val="en-US" w:eastAsia="zh-CN"/>
                    </w:rPr>
                  </w:pPr>
                  <w:r>
                    <w:rPr>
                      <w:rFonts w:hint="eastAsia"/>
                      <w:color w:val="auto"/>
                      <w:highlight w:val="none"/>
                      <w:lang w:val="en-US" w:eastAsia="zh-CN"/>
                    </w:rPr>
                    <w:t>面积减少。</w:t>
                  </w:r>
                </w:p>
              </w:tc>
            </w:tr>
            <w:tr w14:paraId="1FC8A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1" w:type="pct"/>
                  <w:vMerge w:val="continue"/>
                  <w:tcBorders>
                    <w:tl2br w:val="nil"/>
                    <w:tr2bl w:val="nil"/>
                  </w:tcBorders>
                  <w:tcMar>
                    <w:top w:w="0" w:type="dxa"/>
                    <w:left w:w="28" w:type="dxa"/>
                    <w:bottom w:w="0" w:type="dxa"/>
                    <w:right w:w="28" w:type="dxa"/>
                  </w:tcMar>
                  <w:vAlign w:val="center"/>
                </w:tcPr>
                <w:p w14:paraId="520249EB">
                  <w:pPr>
                    <w:pStyle w:val="20"/>
                    <w:keepNext w:val="0"/>
                    <w:keepLines w:val="0"/>
                    <w:pageBreakBefore w:val="0"/>
                    <w:widowControl/>
                    <w:kinsoku/>
                    <w:wordWrap/>
                    <w:overflowPunct/>
                    <w:topLinePunct w:val="0"/>
                    <w:autoSpaceDE/>
                    <w:autoSpaceDN/>
                    <w:bidi w:val="0"/>
                    <w:adjustRightInd/>
                    <w:snapToGrid/>
                    <w:spacing w:before="31"/>
                    <w:textAlignment w:val="auto"/>
                    <w:rPr>
                      <w:color w:val="auto"/>
                      <w:highlight w:val="none"/>
                    </w:rPr>
                  </w:pPr>
                </w:p>
              </w:tc>
              <w:tc>
                <w:tcPr>
                  <w:tcW w:w="607" w:type="pct"/>
                  <w:gridSpan w:val="2"/>
                  <w:tcBorders>
                    <w:tl2br w:val="nil"/>
                    <w:tr2bl w:val="nil"/>
                  </w:tcBorders>
                  <w:tcMar>
                    <w:top w:w="0" w:type="dxa"/>
                    <w:left w:w="28" w:type="dxa"/>
                    <w:bottom w:w="0" w:type="dxa"/>
                    <w:right w:w="28" w:type="dxa"/>
                  </w:tcMar>
                  <w:vAlign w:val="center"/>
                </w:tcPr>
                <w:p w14:paraId="048A6F6D">
                  <w:pPr>
                    <w:pStyle w:val="20"/>
                    <w:keepNext w:val="0"/>
                    <w:keepLines w:val="0"/>
                    <w:pageBreakBefore w:val="0"/>
                    <w:widowControl/>
                    <w:kinsoku/>
                    <w:wordWrap/>
                    <w:overflowPunct/>
                    <w:topLinePunct w:val="0"/>
                    <w:autoSpaceDE/>
                    <w:autoSpaceDN/>
                    <w:bidi w:val="0"/>
                    <w:adjustRightInd/>
                    <w:snapToGrid/>
                    <w:spacing w:before="31"/>
                    <w:jc w:val="center"/>
                    <w:textAlignment w:val="auto"/>
                    <w:rPr>
                      <w:rFonts w:hint="eastAsia" w:eastAsia="宋体"/>
                      <w:iCs/>
                      <w:color w:val="auto"/>
                      <w:highlight w:val="none"/>
                      <w:lang w:eastAsia="zh-CN"/>
                    </w:rPr>
                  </w:pPr>
                  <w:r>
                    <w:rPr>
                      <w:rFonts w:hint="eastAsia"/>
                      <w:iCs/>
                      <w:color w:val="auto"/>
                      <w:highlight w:val="none"/>
                      <w:lang w:eastAsia="zh-CN"/>
                    </w:rPr>
                    <w:t>油料区</w:t>
                  </w:r>
                </w:p>
              </w:tc>
              <w:tc>
                <w:tcPr>
                  <w:tcW w:w="1402" w:type="pct"/>
                  <w:tcBorders>
                    <w:tl2br w:val="nil"/>
                    <w:tr2bl w:val="nil"/>
                  </w:tcBorders>
                  <w:tcMar>
                    <w:top w:w="0" w:type="dxa"/>
                    <w:left w:w="28" w:type="dxa"/>
                    <w:bottom w:w="0" w:type="dxa"/>
                    <w:right w:w="28" w:type="dxa"/>
                  </w:tcMar>
                  <w:vAlign w:val="center"/>
                </w:tcPr>
                <w:p w14:paraId="5D05E96F">
                  <w:pPr>
                    <w:pStyle w:val="20"/>
                    <w:keepNext w:val="0"/>
                    <w:keepLines w:val="0"/>
                    <w:pageBreakBefore w:val="0"/>
                    <w:widowControl/>
                    <w:kinsoku/>
                    <w:wordWrap/>
                    <w:overflowPunct/>
                    <w:topLinePunct w:val="0"/>
                    <w:autoSpaceDE/>
                    <w:autoSpaceDN/>
                    <w:bidi w:val="0"/>
                    <w:adjustRightInd/>
                    <w:snapToGrid/>
                    <w:spacing w:before="31"/>
                    <w:jc w:val="left"/>
                    <w:textAlignment w:val="auto"/>
                    <w:rPr>
                      <w:color w:val="auto"/>
                      <w:highlight w:val="none"/>
                    </w:rPr>
                  </w:pPr>
                  <w:r>
                    <w:rPr>
                      <w:rFonts w:hint="eastAsia"/>
                      <w:color w:val="auto"/>
                      <w:highlight w:val="none"/>
                    </w:rPr>
                    <w:t>位于</w:t>
                  </w:r>
                  <w:r>
                    <w:rPr>
                      <w:rFonts w:hint="eastAsia"/>
                      <w:color w:val="auto"/>
                      <w:highlight w:val="none"/>
                      <w:lang w:val="en-US" w:eastAsia="zh-CN"/>
                    </w:rPr>
                    <w:t>五金、备件库房角落，</w:t>
                  </w:r>
                  <w:r>
                    <w:rPr>
                      <w:rFonts w:hint="eastAsia"/>
                      <w:color w:val="auto"/>
                      <w:highlight w:val="none"/>
                    </w:rPr>
                    <w:t>用于润滑油等油料暂存，面积约10m</w:t>
                  </w:r>
                  <w:r>
                    <w:rPr>
                      <w:rFonts w:hint="eastAsia"/>
                      <w:color w:val="auto"/>
                      <w:highlight w:val="none"/>
                      <w:vertAlign w:val="superscript"/>
                    </w:rPr>
                    <w:t>2</w:t>
                  </w:r>
                  <w:r>
                    <w:rPr>
                      <w:rFonts w:hint="eastAsia"/>
                      <w:color w:val="auto"/>
                      <w:highlight w:val="none"/>
                    </w:rPr>
                    <w:t>。</w:t>
                  </w:r>
                </w:p>
              </w:tc>
              <w:tc>
                <w:tcPr>
                  <w:tcW w:w="1966" w:type="pct"/>
                  <w:tcBorders>
                    <w:tl2br w:val="nil"/>
                    <w:tr2bl w:val="nil"/>
                  </w:tcBorders>
                  <w:tcMar>
                    <w:top w:w="0" w:type="dxa"/>
                    <w:left w:w="28" w:type="dxa"/>
                    <w:bottom w:w="0" w:type="dxa"/>
                    <w:right w:w="28" w:type="dxa"/>
                  </w:tcMar>
                  <w:vAlign w:val="center"/>
                </w:tcPr>
                <w:p w14:paraId="218C062E">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eastAsia"/>
                      <w:color w:val="auto"/>
                      <w:highlight w:val="none"/>
                    </w:rPr>
                  </w:pPr>
                  <w:r>
                    <w:rPr>
                      <w:rFonts w:hint="eastAsia"/>
                      <w:color w:val="auto"/>
                      <w:highlight w:val="none"/>
                    </w:rPr>
                    <w:t>位于</w:t>
                  </w:r>
                  <w:r>
                    <w:rPr>
                      <w:rFonts w:hint="eastAsia"/>
                      <w:color w:val="auto"/>
                      <w:highlight w:val="none"/>
                      <w:lang w:val="en-US" w:eastAsia="zh-CN"/>
                    </w:rPr>
                    <w:t>五金、备件库房角落，</w:t>
                  </w:r>
                  <w:r>
                    <w:rPr>
                      <w:rFonts w:hint="eastAsia"/>
                      <w:color w:val="auto"/>
                      <w:highlight w:val="none"/>
                    </w:rPr>
                    <w:t>用于润滑油等油料暂存，面积约10m</w:t>
                  </w:r>
                  <w:r>
                    <w:rPr>
                      <w:rFonts w:hint="eastAsia"/>
                      <w:color w:val="auto"/>
                      <w:highlight w:val="none"/>
                      <w:vertAlign w:val="superscript"/>
                    </w:rPr>
                    <w:t>2</w:t>
                  </w:r>
                  <w:r>
                    <w:rPr>
                      <w:rFonts w:hint="eastAsia"/>
                      <w:color w:val="auto"/>
                      <w:highlight w:val="none"/>
                    </w:rPr>
                    <w:t>。</w:t>
                  </w:r>
                </w:p>
              </w:tc>
              <w:tc>
                <w:tcPr>
                  <w:tcW w:w="661" w:type="pct"/>
                  <w:tcBorders>
                    <w:tl2br w:val="nil"/>
                    <w:tr2bl w:val="nil"/>
                  </w:tcBorders>
                  <w:tcMar>
                    <w:top w:w="0" w:type="dxa"/>
                    <w:left w:w="28" w:type="dxa"/>
                    <w:bottom w:w="0" w:type="dxa"/>
                    <w:right w:w="28" w:type="dxa"/>
                  </w:tcMar>
                  <w:vAlign w:val="center"/>
                </w:tcPr>
                <w:p w14:paraId="1815FA05">
                  <w:pPr>
                    <w:pStyle w:val="20"/>
                    <w:keepNext w:val="0"/>
                    <w:keepLines w:val="0"/>
                    <w:pageBreakBefore w:val="0"/>
                    <w:widowControl/>
                    <w:kinsoku/>
                    <w:wordWrap/>
                    <w:overflowPunct/>
                    <w:topLinePunct w:val="0"/>
                    <w:autoSpaceDE/>
                    <w:autoSpaceDN/>
                    <w:bidi w:val="0"/>
                    <w:adjustRightInd/>
                    <w:snapToGrid/>
                    <w:spacing w:before="31"/>
                    <w:jc w:val="center"/>
                    <w:textAlignment w:val="auto"/>
                    <w:rPr>
                      <w:color w:val="auto"/>
                      <w:highlight w:val="none"/>
                    </w:rPr>
                  </w:pPr>
                  <w:r>
                    <w:rPr>
                      <w:rFonts w:hint="eastAsia"/>
                      <w:color w:val="auto"/>
                      <w:highlight w:val="none"/>
                      <w:lang w:val="en-US" w:eastAsia="zh-CN"/>
                    </w:rPr>
                    <w:t>不变</w:t>
                  </w:r>
                </w:p>
              </w:tc>
            </w:tr>
            <w:tr w14:paraId="5C143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1" w:type="pct"/>
                  <w:vMerge w:val="restart"/>
                  <w:tcBorders>
                    <w:tl2br w:val="nil"/>
                    <w:tr2bl w:val="nil"/>
                  </w:tcBorders>
                  <w:tcMar>
                    <w:top w:w="0" w:type="dxa"/>
                    <w:left w:w="28" w:type="dxa"/>
                    <w:bottom w:w="0" w:type="dxa"/>
                    <w:right w:w="28" w:type="dxa"/>
                  </w:tcMar>
                  <w:vAlign w:val="center"/>
                </w:tcPr>
                <w:p w14:paraId="61546014">
                  <w:pPr>
                    <w:pStyle w:val="20"/>
                    <w:keepNext w:val="0"/>
                    <w:keepLines w:val="0"/>
                    <w:pageBreakBefore w:val="0"/>
                    <w:widowControl/>
                    <w:kinsoku/>
                    <w:wordWrap/>
                    <w:overflowPunct/>
                    <w:topLinePunct w:val="0"/>
                    <w:autoSpaceDE/>
                    <w:autoSpaceDN/>
                    <w:bidi w:val="0"/>
                    <w:adjustRightInd/>
                    <w:snapToGrid/>
                    <w:spacing w:before="31"/>
                    <w:textAlignment w:val="auto"/>
                    <w:rPr>
                      <w:color w:val="auto"/>
                      <w:highlight w:val="none"/>
                    </w:rPr>
                  </w:pPr>
                  <w:r>
                    <w:rPr>
                      <w:rFonts w:hint="eastAsia"/>
                      <w:color w:val="auto"/>
                      <w:highlight w:val="none"/>
                    </w:rPr>
                    <w:t>公用工程</w:t>
                  </w:r>
                </w:p>
              </w:tc>
              <w:tc>
                <w:tcPr>
                  <w:tcW w:w="607" w:type="pct"/>
                  <w:gridSpan w:val="2"/>
                  <w:tcBorders>
                    <w:tl2br w:val="nil"/>
                    <w:tr2bl w:val="nil"/>
                  </w:tcBorders>
                  <w:tcMar>
                    <w:top w:w="0" w:type="dxa"/>
                    <w:left w:w="28" w:type="dxa"/>
                    <w:bottom w:w="0" w:type="dxa"/>
                    <w:right w:w="28" w:type="dxa"/>
                  </w:tcMar>
                  <w:vAlign w:val="center"/>
                </w:tcPr>
                <w:p w14:paraId="5E8EF6B5">
                  <w:pPr>
                    <w:pStyle w:val="20"/>
                    <w:keepNext w:val="0"/>
                    <w:keepLines w:val="0"/>
                    <w:pageBreakBefore w:val="0"/>
                    <w:widowControl/>
                    <w:kinsoku/>
                    <w:wordWrap/>
                    <w:overflowPunct/>
                    <w:topLinePunct w:val="0"/>
                    <w:autoSpaceDE/>
                    <w:autoSpaceDN/>
                    <w:bidi w:val="0"/>
                    <w:adjustRightInd/>
                    <w:snapToGrid/>
                    <w:spacing w:before="31"/>
                    <w:jc w:val="center"/>
                    <w:textAlignment w:val="auto"/>
                    <w:rPr>
                      <w:color w:val="auto"/>
                      <w:highlight w:val="none"/>
                    </w:rPr>
                  </w:pPr>
                  <w:r>
                    <w:rPr>
                      <w:rFonts w:hint="eastAsia"/>
                      <w:color w:val="auto"/>
                      <w:highlight w:val="none"/>
                    </w:rPr>
                    <w:t>给水</w:t>
                  </w:r>
                </w:p>
              </w:tc>
              <w:tc>
                <w:tcPr>
                  <w:tcW w:w="3368" w:type="pct"/>
                  <w:gridSpan w:val="2"/>
                  <w:tcBorders>
                    <w:tl2br w:val="nil"/>
                    <w:tr2bl w:val="nil"/>
                  </w:tcBorders>
                  <w:tcMar>
                    <w:top w:w="0" w:type="dxa"/>
                    <w:left w:w="28" w:type="dxa"/>
                    <w:bottom w:w="0" w:type="dxa"/>
                    <w:right w:w="28" w:type="dxa"/>
                  </w:tcMar>
                  <w:vAlign w:val="center"/>
                </w:tcPr>
                <w:p w14:paraId="52FA918F">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eastAsia"/>
                      <w:color w:val="auto"/>
                      <w:highlight w:val="none"/>
                      <w:lang w:val="en-US" w:eastAsia="zh-CN"/>
                    </w:rPr>
                  </w:pPr>
                  <w:r>
                    <w:rPr>
                      <w:rFonts w:hint="eastAsia"/>
                      <w:color w:val="auto"/>
                      <w:highlight w:val="none"/>
                      <w:lang w:val="en-US" w:eastAsia="zh-CN"/>
                    </w:rPr>
                    <w:t>依托</w:t>
                  </w:r>
                  <w:r>
                    <w:rPr>
                      <w:color w:val="auto"/>
                      <w:highlight w:val="none"/>
                    </w:rPr>
                    <w:t>园区给水管网</w:t>
                  </w:r>
                  <w:r>
                    <w:rPr>
                      <w:rFonts w:hint="eastAsia"/>
                      <w:color w:val="auto"/>
                      <w:highlight w:val="none"/>
                    </w:rPr>
                    <w:t>。</w:t>
                  </w:r>
                </w:p>
              </w:tc>
              <w:tc>
                <w:tcPr>
                  <w:tcW w:w="661" w:type="pct"/>
                  <w:tcBorders>
                    <w:tl2br w:val="nil"/>
                    <w:tr2bl w:val="nil"/>
                  </w:tcBorders>
                  <w:tcMar>
                    <w:top w:w="0" w:type="dxa"/>
                    <w:left w:w="28" w:type="dxa"/>
                    <w:bottom w:w="0" w:type="dxa"/>
                    <w:right w:w="28" w:type="dxa"/>
                  </w:tcMar>
                  <w:vAlign w:val="center"/>
                </w:tcPr>
                <w:p w14:paraId="20DB8D3E">
                  <w:pPr>
                    <w:pStyle w:val="20"/>
                    <w:keepNext w:val="0"/>
                    <w:keepLines w:val="0"/>
                    <w:pageBreakBefore w:val="0"/>
                    <w:widowControl/>
                    <w:kinsoku/>
                    <w:wordWrap/>
                    <w:overflowPunct/>
                    <w:topLinePunct w:val="0"/>
                    <w:autoSpaceDE/>
                    <w:autoSpaceDN/>
                    <w:bidi w:val="0"/>
                    <w:adjustRightInd/>
                    <w:snapToGrid/>
                    <w:spacing w:before="31"/>
                    <w:textAlignment w:val="auto"/>
                    <w:rPr>
                      <w:color w:val="auto"/>
                      <w:highlight w:val="none"/>
                    </w:rPr>
                  </w:pPr>
                  <w:r>
                    <w:rPr>
                      <w:rFonts w:hint="eastAsia"/>
                      <w:color w:val="auto"/>
                      <w:highlight w:val="none"/>
                      <w:lang w:val="en-US" w:eastAsia="zh-CN"/>
                    </w:rPr>
                    <w:t>不变</w:t>
                  </w:r>
                </w:p>
              </w:tc>
            </w:tr>
            <w:tr w14:paraId="32498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1" w:type="pct"/>
                  <w:vMerge w:val="continue"/>
                  <w:tcBorders>
                    <w:tl2br w:val="nil"/>
                    <w:tr2bl w:val="nil"/>
                  </w:tcBorders>
                  <w:tcMar>
                    <w:top w:w="0" w:type="dxa"/>
                    <w:left w:w="28" w:type="dxa"/>
                    <w:bottom w:w="0" w:type="dxa"/>
                    <w:right w:w="28" w:type="dxa"/>
                  </w:tcMar>
                  <w:vAlign w:val="center"/>
                </w:tcPr>
                <w:p w14:paraId="37B25BA8">
                  <w:pPr>
                    <w:pStyle w:val="20"/>
                    <w:keepNext w:val="0"/>
                    <w:keepLines w:val="0"/>
                    <w:pageBreakBefore w:val="0"/>
                    <w:widowControl/>
                    <w:kinsoku/>
                    <w:wordWrap/>
                    <w:overflowPunct/>
                    <w:topLinePunct w:val="0"/>
                    <w:autoSpaceDE/>
                    <w:autoSpaceDN/>
                    <w:bidi w:val="0"/>
                    <w:adjustRightInd/>
                    <w:snapToGrid/>
                    <w:spacing w:before="31"/>
                    <w:textAlignment w:val="auto"/>
                    <w:rPr>
                      <w:color w:val="auto"/>
                      <w:highlight w:val="none"/>
                    </w:rPr>
                  </w:pPr>
                </w:p>
              </w:tc>
              <w:tc>
                <w:tcPr>
                  <w:tcW w:w="607" w:type="pct"/>
                  <w:gridSpan w:val="2"/>
                  <w:tcBorders>
                    <w:tl2br w:val="nil"/>
                    <w:tr2bl w:val="nil"/>
                  </w:tcBorders>
                  <w:tcMar>
                    <w:top w:w="0" w:type="dxa"/>
                    <w:left w:w="28" w:type="dxa"/>
                    <w:bottom w:w="0" w:type="dxa"/>
                    <w:right w:w="28" w:type="dxa"/>
                  </w:tcMar>
                  <w:vAlign w:val="center"/>
                </w:tcPr>
                <w:p w14:paraId="7580AD30">
                  <w:pPr>
                    <w:pStyle w:val="20"/>
                    <w:keepNext w:val="0"/>
                    <w:keepLines w:val="0"/>
                    <w:pageBreakBefore w:val="0"/>
                    <w:widowControl/>
                    <w:kinsoku/>
                    <w:wordWrap/>
                    <w:overflowPunct/>
                    <w:topLinePunct w:val="0"/>
                    <w:autoSpaceDE/>
                    <w:autoSpaceDN/>
                    <w:bidi w:val="0"/>
                    <w:adjustRightInd/>
                    <w:snapToGrid/>
                    <w:spacing w:before="31"/>
                    <w:jc w:val="center"/>
                    <w:textAlignment w:val="auto"/>
                    <w:rPr>
                      <w:color w:val="auto"/>
                      <w:highlight w:val="none"/>
                    </w:rPr>
                  </w:pPr>
                  <w:r>
                    <w:rPr>
                      <w:rFonts w:hint="eastAsia"/>
                      <w:color w:val="auto"/>
                      <w:highlight w:val="none"/>
                    </w:rPr>
                    <w:t>排水</w:t>
                  </w:r>
                </w:p>
              </w:tc>
              <w:tc>
                <w:tcPr>
                  <w:tcW w:w="3368" w:type="pct"/>
                  <w:gridSpan w:val="2"/>
                  <w:tcBorders>
                    <w:tl2br w:val="nil"/>
                    <w:tr2bl w:val="nil"/>
                  </w:tcBorders>
                  <w:tcMar>
                    <w:top w:w="0" w:type="dxa"/>
                    <w:left w:w="28" w:type="dxa"/>
                    <w:bottom w:w="0" w:type="dxa"/>
                    <w:right w:w="28" w:type="dxa"/>
                  </w:tcMar>
                  <w:vAlign w:val="center"/>
                </w:tcPr>
                <w:p w14:paraId="40873C0E">
                  <w:pPr>
                    <w:pStyle w:val="20"/>
                    <w:keepNext w:val="0"/>
                    <w:keepLines w:val="0"/>
                    <w:pageBreakBefore w:val="0"/>
                    <w:widowControl/>
                    <w:kinsoku/>
                    <w:wordWrap/>
                    <w:overflowPunct/>
                    <w:topLinePunct w:val="0"/>
                    <w:autoSpaceDE/>
                    <w:autoSpaceDN/>
                    <w:bidi w:val="0"/>
                    <w:adjustRightInd/>
                    <w:snapToGrid/>
                    <w:spacing w:before="31"/>
                    <w:jc w:val="left"/>
                    <w:textAlignment w:val="auto"/>
                    <w:rPr>
                      <w:color w:val="auto"/>
                      <w:highlight w:val="none"/>
                    </w:rPr>
                  </w:pPr>
                  <w:r>
                    <w:rPr>
                      <w:rFonts w:hint="eastAsia"/>
                      <w:color w:val="auto"/>
                      <w:highlight w:val="none"/>
                    </w:rPr>
                    <w:t>雨污分流；</w:t>
                  </w:r>
                  <w:r>
                    <w:rPr>
                      <w:rFonts w:hint="eastAsia"/>
                      <w:color w:val="auto"/>
                      <w:highlight w:val="none"/>
                      <w:lang w:val="en-US" w:eastAsia="zh-CN"/>
                    </w:rPr>
                    <w:t>项目生活废水、地面清洁废水进入</w:t>
                  </w:r>
                  <w:r>
                    <w:rPr>
                      <w:rFonts w:hint="eastAsia"/>
                      <w:color w:val="auto"/>
                      <w:highlight w:val="none"/>
                      <w:lang w:eastAsia="zh-CN"/>
                    </w:rPr>
                    <w:t>已建生化池处理达标后，</w:t>
                  </w:r>
                  <w:r>
                    <w:rPr>
                      <w:rFonts w:hint="eastAsia"/>
                      <w:color w:val="auto"/>
                      <w:highlight w:val="none"/>
                      <w:lang w:val="en-US" w:eastAsia="zh-CN"/>
                    </w:rPr>
                    <w:t>同循环冷却水经厂区废水排放口进入市政污水管网。</w:t>
                  </w:r>
                </w:p>
              </w:tc>
              <w:tc>
                <w:tcPr>
                  <w:tcW w:w="661" w:type="pct"/>
                  <w:tcBorders>
                    <w:tl2br w:val="nil"/>
                    <w:tr2bl w:val="nil"/>
                  </w:tcBorders>
                  <w:tcMar>
                    <w:top w:w="0" w:type="dxa"/>
                    <w:left w:w="28" w:type="dxa"/>
                    <w:bottom w:w="0" w:type="dxa"/>
                    <w:right w:w="28" w:type="dxa"/>
                  </w:tcMar>
                  <w:vAlign w:val="center"/>
                </w:tcPr>
                <w:p w14:paraId="6C30254E">
                  <w:pPr>
                    <w:pStyle w:val="20"/>
                    <w:keepNext w:val="0"/>
                    <w:keepLines w:val="0"/>
                    <w:pageBreakBefore w:val="0"/>
                    <w:widowControl/>
                    <w:kinsoku/>
                    <w:wordWrap/>
                    <w:overflowPunct/>
                    <w:topLinePunct w:val="0"/>
                    <w:autoSpaceDE/>
                    <w:autoSpaceDN/>
                    <w:bidi w:val="0"/>
                    <w:adjustRightInd/>
                    <w:snapToGrid/>
                    <w:spacing w:before="31"/>
                    <w:textAlignment w:val="auto"/>
                    <w:rPr>
                      <w:color w:val="auto"/>
                      <w:highlight w:val="none"/>
                    </w:rPr>
                  </w:pPr>
                  <w:r>
                    <w:rPr>
                      <w:rFonts w:hint="eastAsia"/>
                      <w:color w:val="auto"/>
                      <w:highlight w:val="none"/>
                      <w:lang w:val="en-US" w:eastAsia="zh-CN"/>
                    </w:rPr>
                    <w:t>不变</w:t>
                  </w:r>
                </w:p>
              </w:tc>
            </w:tr>
            <w:tr w14:paraId="021DC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1" w:type="pct"/>
                  <w:vMerge w:val="continue"/>
                  <w:tcBorders>
                    <w:tl2br w:val="nil"/>
                    <w:tr2bl w:val="nil"/>
                  </w:tcBorders>
                  <w:tcMar>
                    <w:top w:w="0" w:type="dxa"/>
                    <w:left w:w="28" w:type="dxa"/>
                    <w:bottom w:w="0" w:type="dxa"/>
                    <w:right w:w="28" w:type="dxa"/>
                  </w:tcMar>
                  <w:vAlign w:val="center"/>
                </w:tcPr>
                <w:p w14:paraId="3C6589D3">
                  <w:pPr>
                    <w:pStyle w:val="20"/>
                    <w:keepNext w:val="0"/>
                    <w:keepLines w:val="0"/>
                    <w:pageBreakBefore w:val="0"/>
                    <w:widowControl/>
                    <w:kinsoku/>
                    <w:wordWrap/>
                    <w:overflowPunct/>
                    <w:topLinePunct w:val="0"/>
                    <w:autoSpaceDE/>
                    <w:autoSpaceDN/>
                    <w:bidi w:val="0"/>
                    <w:adjustRightInd/>
                    <w:snapToGrid/>
                    <w:spacing w:before="31"/>
                    <w:textAlignment w:val="auto"/>
                    <w:rPr>
                      <w:color w:val="auto"/>
                      <w:highlight w:val="none"/>
                    </w:rPr>
                  </w:pPr>
                </w:p>
              </w:tc>
              <w:tc>
                <w:tcPr>
                  <w:tcW w:w="607" w:type="pct"/>
                  <w:gridSpan w:val="2"/>
                  <w:tcBorders>
                    <w:tl2br w:val="nil"/>
                    <w:tr2bl w:val="nil"/>
                  </w:tcBorders>
                  <w:tcMar>
                    <w:top w:w="0" w:type="dxa"/>
                    <w:left w:w="28" w:type="dxa"/>
                    <w:bottom w:w="0" w:type="dxa"/>
                    <w:right w:w="28" w:type="dxa"/>
                  </w:tcMar>
                  <w:vAlign w:val="center"/>
                </w:tcPr>
                <w:p w14:paraId="0F3C3B4B">
                  <w:pPr>
                    <w:pStyle w:val="20"/>
                    <w:keepNext w:val="0"/>
                    <w:keepLines w:val="0"/>
                    <w:pageBreakBefore w:val="0"/>
                    <w:widowControl/>
                    <w:kinsoku/>
                    <w:wordWrap/>
                    <w:overflowPunct/>
                    <w:topLinePunct w:val="0"/>
                    <w:autoSpaceDE/>
                    <w:autoSpaceDN/>
                    <w:bidi w:val="0"/>
                    <w:adjustRightInd/>
                    <w:snapToGrid/>
                    <w:spacing w:before="31"/>
                    <w:jc w:val="center"/>
                    <w:textAlignment w:val="auto"/>
                    <w:rPr>
                      <w:color w:val="auto"/>
                      <w:highlight w:val="none"/>
                    </w:rPr>
                  </w:pPr>
                  <w:r>
                    <w:rPr>
                      <w:color w:val="auto"/>
                      <w:highlight w:val="none"/>
                    </w:rPr>
                    <w:t>供电</w:t>
                  </w:r>
                </w:p>
              </w:tc>
              <w:tc>
                <w:tcPr>
                  <w:tcW w:w="3368" w:type="pct"/>
                  <w:gridSpan w:val="2"/>
                  <w:tcBorders>
                    <w:tl2br w:val="nil"/>
                    <w:tr2bl w:val="nil"/>
                  </w:tcBorders>
                  <w:tcMar>
                    <w:top w:w="0" w:type="dxa"/>
                    <w:left w:w="28" w:type="dxa"/>
                    <w:bottom w:w="0" w:type="dxa"/>
                    <w:right w:w="28" w:type="dxa"/>
                  </w:tcMar>
                  <w:vAlign w:val="center"/>
                </w:tcPr>
                <w:p w14:paraId="172F70B0">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eastAsia"/>
                      <w:color w:val="auto"/>
                      <w:highlight w:val="none"/>
                    </w:rPr>
                  </w:pPr>
                  <w:r>
                    <w:rPr>
                      <w:rFonts w:hint="eastAsia"/>
                      <w:color w:val="auto"/>
                      <w:highlight w:val="none"/>
                    </w:rPr>
                    <w:t>由园区供电网络供给。</w:t>
                  </w:r>
                </w:p>
              </w:tc>
              <w:tc>
                <w:tcPr>
                  <w:tcW w:w="661" w:type="pct"/>
                  <w:tcBorders>
                    <w:tl2br w:val="nil"/>
                    <w:tr2bl w:val="nil"/>
                  </w:tcBorders>
                  <w:tcMar>
                    <w:top w:w="0" w:type="dxa"/>
                    <w:left w:w="28" w:type="dxa"/>
                    <w:bottom w:w="0" w:type="dxa"/>
                    <w:right w:w="28" w:type="dxa"/>
                  </w:tcMar>
                  <w:vAlign w:val="center"/>
                </w:tcPr>
                <w:p w14:paraId="2A855E9B">
                  <w:pPr>
                    <w:pStyle w:val="20"/>
                    <w:keepNext w:val="0"/>
                    <w:keepLines w:val="0"/>
                    <w:pageBreakBefore w:val="0"/>
                    <w:widowControl/>
                    <w:kinsoku/>
                    <w:wordWrap/>
                    <w:overflowPunct/>
                    <w:topLinePunct w:val="0"/>
                    <w:autoSpaceDE/>
                    <w:autoSpaceDN/>
                    <w:bidi w:val="0"/>
                    <w:adjustRightInd/>
                    <w:snapToGrid/>
                    <w:spacing w:before="31"/>
                    <w:textAlignment w:val="auto"/>
                    <w:rPr>
                      <w:color w:val="auto"/>
                      <w:highlight w:val="none"/>
                    </w:rPr>
                  </w:pPr>
                  <w:r>
                    <w:rPr>
                      <w:rFonts w:hint="eastAsia"/>
                      <w:color w:val="auto"/>
                      <w:highlight w:val="none"/>
                      <w:lang w:val="en-US" w:eastAsia="zh-CN"/>
                    </w:rPr>
                    <w:t>不变</w:t>
                  </w:r>
                </w:p>
              </w:tc>
            </w:tr>
            <w:tr w14:paraId="73515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1" w:type="pct"/>
                  <w:vMerge w:val="restart"/>
                  <w:tcBorders>
                    <w:tl2br w:val="nil"/>
                    <w:tr2bl w:val="nil"/>
                  </w:tcBorders>
                  <w:tcMar>
                    <w:top w:w="0" w:type="dxa"/>
                    <w:left w:w="28" w:type="dxa"/>
                    <w:bottom w:w="0" w:type="dxa"/>
                    <w:right w:w="28" w:type="dxa"/>
                  </w:tcMar>
                  <w:vAlign w:val="center"/>
                </w:tcPr>
                <w:p w14:paraId="6A7B03C2">
                  <w:pPr>
                    <w:pStyle w:val="20"/>
                    <w:keepNext w:val="0"/>
                    <w:keepLines w:val="0"/>
                    <w:pageBreakBefore w:val="0"/>
                    <w:widowControl/>
                    <w:kinsoku/>
                    <w:wordWrap/>
                    <w:overflowPunct/>
                    <w:topLinePunct w:val="0"/>
                    <w:autoSpaceDE/>
                    <w:autoSpaceDN/>
                    <w:bidi w:val="0"/>
                    <w:adjustRightInd/>
                    <w:snapToGrid/>
                    <w:spacing w:before="31"/>
                    <w:textAlignment w:val="auto"/>
                    <w:rPr>
                      <w:color w:val="auto"/>
                      <w:highlight w:val="none"/>
                    </w:rPr>
                  </w:pPr>
                  <w:r>
                    <w:rPr>
                      <w:color w:val="auto"/>
                      <w:highlight w:val="none"/>
                    </w:rPr>
                    <w:t>环保工程</w:t>
                  </w:r>
                </w:p>
              </w:tc>
              <w:tc>
                <w:tcPr>
                  <w:tcW w:w="607" w:type="pct"/>
                  <w:gridSpan w:val="2"/>
                  <w:tcBorders>
                    <w:tl2br w:val="nil"/>
                    <w:tr2bl w:val="nil"/>
                  </w:tcBorders>
                  <w:tcMar>
                    <w:top w:w="0" w:type="dxa"/>
                    <w:left w:w="28" w:type="dxa"/>
                    <w:bottom w:w="0" w:type="dxa"/>
                    <w:right w:w="28" w:type="dxa"/>
                  </w:tcMar>
                  <w:vAlign w:val="center"/>
                </w:tcPr>
                <w:p w14:paraId="18DB8304">
                  <w:pPr>
                    <w:pStyle w:val="20"/>
                    <w:keepNext w:val="0"/>
                    <w:keepLines w:val="0"/>
                    <w:pageBreakBefore w:val="0"/>
                    <w:widowControl/>
                    <w:kinsoku/>
                    <w:wordWrap/>
                    <w:overflowPunct/>
                    <w:topLinePunct w:val="0"/>
                    <w:autoSpaceDE/>
                    <w:autoSpaceDN/>
                    <w:bidi w:val="0"/>
                    <w:adjustRightInd/>
                    <w:snapToGrid/>
                    <w:spacing w:before="31"/>
                    <w:jc w:val="center"/>
                    <w:textAlignment w:val="auto"/>
                    <w:rPr>
                      <w:color w:val="auto"/>
                      <w:highlight w:val="none"/>
                    </w:rPr>
                  </w:pPr>
                  <w:r>
                    <w:rPr>
                      <w:rFonts w:hint="eastAsia"/>
                      <w:color w:val="auto"/>
                      <w:highlight w:val="none"/>
                    </w:rPr>
                    <w:t>废气</w:t>
                  </w:r>
                </w:p>
              </w:tc>
              <w:tc>
                <w:tcPr>
                  <w:tcW w:w="1402" w:type="pct"/>
                  <w:tcBorders>
                    <w:tl2br w:val="nil"/>
                    <w:tr2bl w:val="nil"/>
                  </w:tcBorders>
                  <w:tcMar>
                    <w:top w:w="0" w:type="dxa"/>
                    <w:left w:w="28" w:type="dxa"/>
                    <w:bottom w:w="0" w:type="dxa"/>
                    <w:right w:w="28" w:type="dxa"/>
                  </w:tcMar>
                  <w:vAlign w:val="center"/>
                </w:tcPr>
                <w:p w14:paraId="235D6B90">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default" w:eastAsia="宋体"/>
                      <w:color w:val="auto"/>
                      <w:highlight w:val="none"/>
                      <w:lang w:val="en-US" w:eastAsia="zh-CN"/>
                    </w:rPr>
                  </w:pPr>
                  <w:r>
                    <w:rPr>
                      <w:rFonts w:hint="eastAsia"/>
                      <w:color w:val="auto"/>
                      <w:highlight w:val="none"/>
                      <w:lang w:val="en-US" w:eastAsia="zh-CN"/>
                    </w:rPr>
                    <w:t>注塑车间设排风扇进行机械通风后无组织排放。</w:t>
                  </w:r>
                </w:p>
              </w:tc>
              <w:tc>
                <w:tcPr>
                  <w:tcW w:w="1966" w:type="pct"/>
                  <w:tcBorders>
                    <w:tl2br w:val="nil"/>
                    <w:tr2bl w:val="nil"/>
                  </w:tcBorders>
                  <w:tcMar>
                    <w:top w:w="0" w:type="dxa"/>
                    <w:left w:w="28" w:type="dxa"/>
                    <w:bottom w:w="0" w:type="dxa"/>
                    <w:right w:w="28" w:type="dxa"/>
                  </w:tcMar>
                  <w:vAlign w:val="center"/>
                </w:tcPr>
                <w:p w14:paraId="74A6FC7E">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default"/>
                      <w:color w:val="auto"/>
                      <w:highlight w:val="none"/>
                      <w:lang w:val="en-US" w:eastAsia="zh-CN"/>
                    </w:rPr>
                  </w:pPr>
                  <w:r>
                    <w:rPr>
                      <w:rFonts w:hint="eastAsia"/>
                      <w:color w:val="auto"/>
                      <w:highlight w:val="none"/>
                      <w:lang w:val="en-US" w:eastAsia="zh-CN"/>
                    </w:rPr>
                    <w:t>注塑废气</w:t>
                  </w:r>
                  <w:r>
                    <w:rPr>
                      <w:rFonts w:hint="eastAsia"/>
                      <w:color w:val="auto"/>
                      <w:highlight w:val="none"/>
                      <w:lang w:eastAsia="zh-CN"/>
                    </w:rPr>
                    <w:t>、</w:t>
                  </w:r>
                  <w:r>
                    <w:rPr>
                      <w:rFonts w:hint="eastAsia"/>
                      <w:color w:val="auto"/>
                      <w:highlight w:val="none"/>
                      <w:lang w:val="en-US" w:eastAsia="zh-CN"/>
                    </w:rPr>
                    <w:t>清洗、脱模剂废气收集后经过滤棉+UV光氧化+二级活性炭吸附装置处置后经一根15m高排气筒DA001排放。</w:t>
                  </w:r>
                </w:p>
              </w:tc>
              <w:tc>
                <w:tcPr>
                  <w:tcW w:w="661" w:type="pct"/>
                  <w:tcBorders>
                    <w:tl2br w:val="nil"/>
                    <w:tr2bl w:val="nil"/>
                  </w:tcBorders>
                  <w:tcMar>
                    <w:top w:w="0" w:type="dxa"/>
                    <w:left w:w="28" w:type="dxa"/>
                    <w:bottom w:w="0" w:type="dxa"/>
                    <w:right w:w="28" w:type="dxa"/>
                  </w:tcMar>
                  <w:vAlign w:val="center"/>
                </w:tcPr>
                <w:p w14:paraId="048BF372">
                  <w:pPr>
                    <w:pStyle w:val="20"/>
                    <w:keepNext w:val="0"/>
                    <w:keepLines w:val="0"/>
                    <w:pageBreakBefore w:val="0"/>
                    <w:widowControl/>
                    <w:kinsoku/>
                    <w:wordWrap/>
                    <w:overflowPunct/>
                    <w:topLinePunct w:val="0"/>
                    <w:autoSpaceDE/>
                    <w:autoSpaceDN/>
                    <w:bidi w:val="0"/>
                    <w:adjustRightInd/>
                    <w:snapToGrid/>
                    <w:spacing w:before="31"/>
                    <w:textAlignment w:val="auto"/>
                    <w:rPr>
                      <w:rFonts w:hint="default" w:eastAsia="宋体"/>
                      <w:color w:val="auto"/>
                      <w:highlight w:val="none"/>
                      <w:lang w:val="en-US" w:eastAsia="zh-CN"/>
                    </w:rPr>
                  </w:pPr>
                  <w:r>
                    <w:rPr>
                      <w:rFonts w:hint="eastAsia"/>
                      <w:color w:val="auto"/>
                      <w:highlight w:val="none"/>
                      <w:lang w:val="en-US" w:eastAsia="zh-CN"/>
                    </w:rPr>
                    <w:t>完善废气设施</w:t>
                  </w:r>
                </w:p>
              </w:tc>
            </w:tr>
            <w:tr w14:paraId="1FEB3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1" w:type="pct"/>
                  <w:vMerge w:val="continue"/>
                  <w:tcBorders>
                    <w:tl2br w:val="nil"/>
                    <w:tr2bl w:val="nil"/>
                  </w:tcBorders>
                  <w:tcMar>
                    <w:top w:w="0" w:type="dxa"/>
                    <w:left w:w="28" w:type="dxa"/>
                    <w:bottom w:w="0" w:type="dxa"/>
                    <w:right w:w="28" w:type="dxa"/>
                  </w:tcMar>
                  <w:vAlign w:val="center"/>
                </w:tcPr>
                <w:p w14:paraId="285DAAC3">
                  <w:pPr>
                    <w:pStyle w:val="20"/>
                    <w:keepNext w:val="0"/>
                    <w:keepLines w:val="0"/>
                    <w:pageBreakBefore w:val="0"/>
                    <w:widowControl/>
                    <w:kinsoku/>
                    <w:wordWrap/>
                    <w:overflowPunct/>
                    <w:topLinePunct w:val="0"/>
                    <w:autoSpaceDE/>
                    <w:autoSpaceDN/>
                    <w:bidi w:val="0"/>
                    <w:adjustRightInd/>
                    <w:snapToGrid/>
                    <w:spacing w:before="31"/>
                    <w:textAlignment w:val="auto"/>
                    <w:rPr>
                      <w:color w:val="auto"/>
                      <w:highlight w:val="none"/>
                    </w:rPr>
                  </w:pPr>
                </w:p>
              </w:tc>
              <w:tc>
                <w:tcPr>
                  <w:tcW w:w="607" w:type="pct"/>
                  <w:gridSpan w:val="2"/>
                  <w:tcBorders>
                    <w:tl2br w:val="nil"/>
                    <w:tr2bl w:val="nil"/>
                  </w:tcBorders>
                  <w:tcMar>
                    <w:top w:w="0" w:type="dxa"/>
                    <w:left w:w="28" w:type="dxa"/>
                    <w:bottom w:w="0" w:type="dxa"/>
                    <w:right w:w="28" w:type="dxa"/>
                  </w:tcMar>
                  <w:vAlign w:val="center"/>
                </w:tcPr>
                <w:p w14:paraId="6385219D">
                  <w:pPr>
                    <w:pStyle w:val="20"/>
                    <w:keepNext w:val="0"/>
                    <w:keepLines w:val="0"/>
                    <w:pageBreakBefore w:val="0"/>
                    <w:widowControl/>
                    <w:kinsoku/>
                    <w:wordWrap/>
                    <w:overflowPunct/>
                    <w:topLinePunct w:val="0"/>
                    <w:autoSpaceDE/>
                    <w:autoSpaceDN/>
                    <w:bidi w:val="0"/>
                    <w:adjustRightInd/>
                    <w:snapToGrid/>
                    <w:spacing w:before="31"/>
                    <w:jc w:val="center"/>
                    <w:textAlignment w:val="auto"/>
                    <w:rPr>
                      <w:color w:val="auto"/>
                      <w:highlight w:val="none"/>
                    </w:rPr>
                  </w:pPr>
                  <w:r>
                    <w:rPr>
                      <w:rFonts w:hint="eastAsia"/>
                      <w:color w:val="auto"/>
                      <w:highlight w:val="none"/>
                    </w:rPr>
                    <w:t>废水</w:t>
                  </w:r>
                </w:p>
              </w:tc>
              <w:tc>
                <w:tcPr>
                  <w:tcW w:w="3368" w:type="pct"/>
                  <w:gridSpan w:val="2"/>
                  <w:tcBorders>
                    <w:tl2br w:val="nil"/>
                    <w:tr2bl w:val="nil"/>
                  </w:tcBorders>
                  <w:tcMar>
                    <w:top w:w="0" w:type="dxa"/>
                    <w:left w:w="28" w:type="dxa"/>
                    <w:bottom w:w="0" w:type="dxa"/>
                    <w:right w:w="28" w:type="dxa"/>
                  </w:tcMar>
                  <w:vAlign w:val="center"/>
                </w:tcPr>
                <w:p w14:paraId="321B2176">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eastAsia"/>
                      <w:color w:val="auto"/>
                      <w:highlight w:val="none"/>
                      <w:lang w:val="en-US" w:eastAsia="zh-CN"/>
                    </w:rPr>
                  </w:pPr>
                  <w:r>
                    <w:rPr>
                      <w:rFonts w:hint="eastAsia"/>
                      <w:color w:val="auto"/>
                      <w:highlight w:val="none"/>
                    </w:rPr>
                    <w:t>生活污水</w:t>
                  </w:r>
                  <w:r>
                    <w:rPr>
                      <w:rFonts w:hint="eastAsia"/>
                      <w:color w:val="auto"/>
                      <w:highlight w:val="none"/>
                      <w:lang w:eastAsia="zh-CN"/>
                    </w:rPr>
                    <w:t>、</w:t>
                  </w:r>
                  <w:r>
                    <w:rPr>
                      <w:rFonts w:hint="eastAsia"/>
                      <w:color w:val="auto"/>
                      <w:highlight w:val="none"/>
                      <w:lang w:val="en-US" w:eastAsia="zh-CN"/>
                    </w:rPr>
                    <w:t>地面清洗废气</w:t>
                  </w:r>
                  <w:r>
                    <w:rPr>
                      <w:rFonts w:hint="eastAsia"/>
                      <w:color w:val="auto"/>
                      <w:highlight w:val="none"/>
                    </w:rPr>
                    <w:t>进入厂区已建生化池处理（处理能力</w:t>
                  </w:r>
                  <w:r>
                    <w:rPr>
                      <w:rFonts w:hint="eastAsia"/>
                      <w:color w:val="auto"/>
                      <w:highlight w:val="none"/>
                      <w:lang w:val="en-US" w:eastAsia="zh-CN"/>
                    </w:rPr>
                    <w:t>6</w:t>
                  </w:r>
                  <w:r>
                    <w:rPr>
                      <w:rFonts w:hint="eastAsia"/>
                      <w:color w:val="auto"/>
                      <w:highlight w:val="none"/>
                    </w:rPr>
                    <w:t>m</w:t>
                  </w:r>
                  <w:r>
                    <w:rPr>
                      <w:rFonts w:hint="eastAsia"/>
                      <w:color w:val="auto"/>
                      <w:highlight w:val="none"/>
                      <w:vertAlign w:val="superscript"/>
                    </w:rPr>
                    <w:t>3</w:t>
                  </w:r>
                  <w:r>
                    <w:rPr>
                      <w:rFonts w:hint="eastAsia"/>
                      <w:color w:val="auto"/>
                      <w:highlight w:val="none"/>
                    </w:rPr>
                    <w:t>/d，处理工艺：厌氧）达《污水综合排放标准》（GB8978-1996）三级标准</w:t>
                  </w:r>
                  <w:r>
                    <w:rPr>
                      <w:rFonts w:hint="eastAsia"/>
                      <w:color w:val="auto"/>
                      <w:highlight w:val="none"/>
                      <w:lang w:eastAsia="zh-CN"/>
                    </w:rPr>
                    <w:t>，</w:t>
                  </w:r>
                  <w:r>
                    <w:rPr>
                      <w:rFonts w:hint="eastAsia"/>
                      <w:color w:val="auto"/>
                      <w:highlight w:val="none"/>
                      <w:lang w:val="en-US" w:eastAsia="zh-CN"/>
                    </w:rPr>
                    <w:t>同循环冷却水经厂区废水排放口进入市政污水管网</w:t>
                  </w:r>
                  <w:r>
                    <w:rPr>
                      <w:rFonts w:hint="eastAsia"/>
                      <w:color w:val="auto"/>
                      <w:highlight w:val="none"/>
                      <w:lang w:eastAsia="zh-CN"/>
                    </w:rPr>
                    <w:t>，</w:t>
                  </w:r>
                  <w:r>
                    <w:rPr>
                      <w:rFonts w:hint="eastAsia"/>
                      <w:color w:val="auto"/>
                      <w:highlight w:val="none"/>
                    </w:rPr>
                    <w:t>进入西彭工业园区污水处理厂处理达《污水综合排放标准》（GB8978-1996）一级标准后排入桥头河，最终汇入</w:t>
                  </w:r>
                  <w:r>
                    <w:rPr>
                      <w:color w:val="auto"/>
                      <w:highlight w:val="none"/>
                    </w:rPr>
                    <w:t>长江</w:t>
                  </w:r>
                  <w:r>
                    <w:rPr>
                      <w:rFonts w:hint="eastAsia"/>
                      <w:color w:val="auto"/>
                      <w:highlight w:val="none"/>
                    </w:rPr>
                    <w:t>。</w:t>
                  </w:r>
                </w:p>
              </w:tc>
              <w:tc>
                <w:tcPr>
                  <w:tcW w:w="661" w:type="pct"/>
                  <w:tcBorders>
                    <w:tl2br w:val="nil"/>
                    <w:tr2bl w:val="nil"/>
                  </w:tcBorders>
                  <w:tcMar>
                    <w:top w:w="0" w:type="dxa"/>
                    <w:left w:w="28" w:type="dxa"/>
                    <w:bottom w:w="0" w:type="dxa"/>
                    <w:right w:w="28" w:type="dxa"/>
                  </w:tcMar>
                  <w:vAlign w:val="center"/>
                </w:tcPr>
                <w:p w14:paraId="6ABA21A0">
                  <w:pPr>
                    <w:pStyle w:val="20"/>
                    <w:keepNext w:val="0"/>
                    <w:keepLines w:val="0"/>
                    <w:pageBreakBefore w:val="0"/>
                    <w:widowControl/>
                    <w:kinsoku/>
                    <w:wordWrap/>
                    <w:overflowPunct/>
                    <w:topLinePunct w:val="0"/>
                    <w:autoSpaceDE/>
                    <w:autoSpaceDN/>
                    <w:bidi w:val="0"/>
                    <w:adjustRightInd/>
                    <w:snapToGrid/>
                    <w:spacing w:before="31"/>
                    <w:textAlignment w:val="auto"/>
                    <w:rPr>
                      <w:rFonts w:hint="default"/>
                      <w:color w:val="auto"/>
                      <w:highlight w:val="none"/>
                      <w:lang w:val="en-US"/>
                    </w:rPr>
                  </w:pPr>
                  <w:r>
                    <w:rPr>
                      <w:rFonts w:hint="eastAsia"/>
                      <w:color w:val="auto"/>
                      <w:highlight w:val="none"/>
                      <w:lang w:val="en-US" w:eastAsia="zh-CN"/>
                    </w:rPr>
                    <w:t>不变</w:t>
                  </w:r>
                </w:p>
              </w:tc>
            </w:tr>
            <w:tr w14:paraId="13206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1" w:type="pct"/>
                  <w:vMerge w:val="continue"/>
                  <w:tcBorders>
                    <w:tl2br w:val="nil"/>
                    <w:tr2bl w:val="nil"/>
                  </w:tcBorders>
                  <w:tcMar>
                    <w:top w:w="0" w:type="dxa"/>
                    <w:left w:w="28" w:type="dxa"/>
                    <w:bottom w:w="0" w:type="dxa"/>
                    <w:right w:w="28" w:type="dxa"/>
                  </w:tcMar>
                  <w:vAlign w:val="center"/>
                </w:tcPr>
                <w:p w14:paraId="2CA3703C">
                  <w:pPr>
                    <w:pStyle w:val="20"/>
                    <w:keepNext w:val="0"/>
                    <w:keepLines w:val="0"/>
                    <w:pageBreakBefore w:val="0"/>
                    <w:widowControl/>
                    <w:kinsoku/>
                    <w:wordWrap/>
                    <w:overflowPunct/>
                    <w:topLinePunct w:val="0"/>
                    <w:autoSpaceDE/>
                    <w:autoSpaceDN/>
                    <w:bidi w:val="0"/>
                    <w:adjustRightInd/>
                    <w:snapToGrid/>
                    <w:spacing w:before="31"/>
                    <w:textAlignment w:val="auto"/>
                    <w:rPr>
                      <w:color w:val="auto"/>
                      <w:highlight w:val="none"/>
                    </w:rPr>
                  </w:pPr>
                </w:p>
              </w:tc>
              <w:tc>
                <w:tcPr>
                  <w:tcW w:w="607" w:type="pct"/>
                  <w:gridSpan w:val="2"/>
                  <w:tcBorders>
                    <w:tl2br w:val="nil"/>
                    <w:tr2bl w:val="nil"/>
                  </w:tcBorders>
                  <w:tcMar>
                    <w:top w:w="0" w:type="dxa"/>
                    <w:left w:w="28" w:type="dxa"/>
                    <w:bottom w:w="0" w:type="dxa"/>
                    <w:right w:w="28" w:type="dxa"/>
                  </w:tcMar>
                  <w:vAlign w:val="center"/>
                </w:tcPr>
                <w:p w14:paraId="71A68C9C">
                  <w:pPr>
                    <w:pStyle w:val="20"/>
                    <w:keepNext w:val="0"/>
                    <w:keepLines w:val="0"/>
                    <w:pageBreakBefore w:val="0"/>
                    <w:widowControl/>
                    <w:kinsoku/>
                    <w:wordWrap/>
                    <w:overflowPunct/>
                    <w:topLinePunct w:val="0"/>
                    <w:autoSpaceDE/>
                    <w:autoSpaceDN/>
                    <w:bidi w:val="0"/>
                    <w:adjustRightInd/>
                    <w:snapToGrid/>
                    <w:spacing w:before="31"/>
                    <w:jc w:val="center"/>
                    <w:textAlignment w:val="auto"/>
                    <w:rPr>
                      <w:color w:val="auto"/>
                      <w:highlight w:val="none"/>
                    </w:rPr>
                  </w:pPr>
                  <w:r>
                    <w:rPr>
                      <w:color w:val="auto"/>
                      <w:highlight w:val="none"/>
                    </w:rPr>
                    <w:t>噪声</w:t>
                  </w:r>
                  <w:r>
                    <w:rPr>
                      <w:rFonts w:hint="eastAsia"/>
                      <w:color w:val="auto"/>
                      <w:highlight w:val="none"/>
                    </w:rPr>
                    <w:t>治理</w:t>
                  </w:r>
                </w:p>
              </w:tc>
              <w:tc>
                <w:tcPr>
                  <w:tcW w:w="3368" w:type="pct"/>
                  <w:gridSpan w:val="2"/>
                  <w:tcBorders>
                    <w:tl2br w:val="nil"/>
                    <w:tr2bl w:val="nil"/>
                  </w:tcBorders>
                  <w:tcMar>
                    <w:top w:w="0" w:type="dxa"/>
                    <w:left w:w="28" w:type="dxa"/>
                    <w:bottom w:w="0" w:type="dxa"/>
                    <w:right w:w="28" w:type="dxa"/>
                  </w:tcMar>
                  <w:vAlign w:val="center"/>
                </w:tcPr>
                <w:p w14:paraId="02222B9C">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default" w:eastAsia="宋体"/>
                      <w:color w:val="auto"/>
                      <w:highlight w:val="none"/>
                      <w:lang w:val="en-US" w:eastAsia="zh-CN"/>
                    </w:rPr>
                  </w:pPr>
                  <w:r>
                    <w:rPr>
                      <w:rFonts w:hint="eastAsia"/>
                      <w:color w:val="auto"/>
                      <w:highlight w:val="none"/>
                    </w:rPr>
                    <w:t>项目噪声主要为生产设备运行产生的噪声，产噪设备合理布局，采取减振、隔声等治理措施，加强管理</w:t>
                  </w:r>
                  <w:r>
                    <w:rPr>
                      <w:rFonts w:hint="eastAsia"/>
                      <w:color w:val="auto"/>
                      <w:highlight w:val="none"/>
                      <w:lang w:eastAsia="zh-CN"/>
                    </w:rPr>
                    <w:t>，</w:t>
                  </w:r>
                  <w:r>
                    <w:rPr>
                      <w:rFonts w:hint="eastAsia"/>
                      <w:color w:val="auto"/>
                      <w:highlight w:val="none"/>
                      <w:lang w:val="en-US" w:eastAsia="zh-CN"/>
                    </w:rPr>
                    <w:t>空压机设置空压机房隔声措施。</w:t>
                  </w:r>
                </w:p>
              </w:tc>
              <w:tc>
                <w:tcPr>
                  <w:tcW w:w="661" w:type="pct"/>
                  <w:tcBorders>
                    <w:tl2br w:val="nil"/>
                    <w:tr2bl w:val="nil"/>
                  </w:tcBorders>
                  <w:tcMar>
                    <w:top w:w="0" w:type="dxa"/>
                    <w:left w:w="28" w:type="dxa"/>
                    <w:bottom w:w="0" w:type="dxa"/>
                    <w:right w:w="28" w:type="dxa"/>
                  </w:tcMar>
                  <w:vAlign w:val="center"/>
                </w:tcPr>
                <w:p w14:paraId="4AAB48C5">
                  <w:pPr>
                    <w:pStyle w:val="20"/>
                    <w:keepNext w:val="0"/>
                    <w:keepLines w:val="0"/>
                    <w:pageBreakBefore w:val="0"/>
                    <w:widowControl/>
                    <w:kinsoku/>
                    <w:wordWrap/>
                    <w:overflowPunct/>
                    <w:topLinePunct w:val="0"/>
                    <w:autoSpaceDE/>
                    <w:autoSpaceDN/>
                    <w:bidi w:val="0"/>
                    <w:adjustRightInd/>
                    <w:snapToGrid/>
                    <w:spacing w:before="31"/>
                    <w:textAlignment w:val="auto"/>
                    <w:rPr>
                      <w:rFonts w:hint="eastAsia" w:eastAsia="宋体"/>
                      <w:color w:val="auto"/>
                      <w:highlight w:val="none"/>
                      <w:lang w:val="en-US" w:eastAsia="zh-CN"/>
                    </w:rPr>
                  </w:pPr>
                  <w:r>
                    <w:rPr>
                      <w:rFonts w:hint="eastAsia"/>
                      <w:color w:val="auto"/>
                      <w:highlight w:val="none"/>
                      <w:lang w:val="en-US" w:eastAsia="zh-CN"/>
                    </w:rPr>
                    <w:t>不变</w:t>
                  </w:r>
                </w:p>
              </w:tc>
            </w:tr>
            <w:tr w14:paraId="0A4D2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1" w:type="pct"/>
                  <w:vMerge w:val="continue"/>
                  <w:tcBorders>
                    <w:tl2br w:val="nil"/>
                    <w:tr2bl w:val="nil"/>
                  </w:tcBorders>
                  <w:tcMar>
                    <w:top w:w="0" w:type="dxa"/>
                    <w:left w:w="28" w:type="dxa"/>
                    <w:bottom w:w="0" w:type="dxa"/>
                    <w:right w:w="28" w:type="dxa"/>
                  </w:tcMar>
                  <w:vAlign w:val="center"/>
                </w:tcPr>
                <w:p w14:paraId="23F9C570">
                  <w:pPr>
                    <w:pStyle w:val="20"/>
                    <w:keepNext w:val="0"/>
                    <w:keepLines w:val="0"/>
                    <w:pageBreakBefore w:val="0"/>
                    <w:widowControl/>
                    <w:kinsoku/>
                    <w:wordWrap/>
                    <w:overflowPunct/>
                    <w:topLinePunct w:val="0"/>
                    <w:autoSpaceDE/>
                    <w:autoSpaceDN/>
                    <w:bidi w:val="0"/>
                    <w:adjustRightInd/>
                    <w:snapToGrid/>
                    <w:spacing w:before="31"/>
                    <w:textAlignment w:val="auto"/>
                    <w:rPr>
                      <w:color w:val="auto"/>
                      <w:highlight w:val="none"/>
                    </w:rPr>
                  </w:pPr>
                </w:p>
              </w:tc>
              <w:tc>
                <w:tcPr>
                  <w:tcW w:w="278" w:type="pct"/>
                  <w:vMerge w:val="restart"/>
                  <w:tcBorders>
                    <w:tl2br w:val="nil"/>
                    <w:tr2bl w:val="nil"/>
                  </w:tcBorders>
                  <w:tcMar>
                    <w:top w:w="0" w:type="dxa"/>
                    <w:left w:w="28" w:type="dxa"/>
                    <w:bottom w:w="0" w:type="dxa"/>
                    <w:right w:w="28" w:type="dxa"/>
                  </w:tcMar>
                  <w:vAlign w:val="center"/>
                </w:tcPr>
                <w:p w14:paraId="609D49CC">
                  <w:pPr>
                    <w:pStyle w:val="20"/>
                    <w:keepNext w:val="0"/>
                    <w:keepLines w:val="0"/>
                    <w:pageBreakBefore w:val="0"/>
                    <w:widowControl/>
                    <w:kinsoku/>
                    <w:wordWrap/>
                    <w:overflowPunct/>
                    <w:topLinePunct w:val="0"/>
                    <w:autoSpaceDE/>
                    <w:autoSpaceDN/>
                    <w:bidi w:val="0"/>
                    <w:adjustRightInd/>
                    <w:snapToGrid/>
                    <w:spacing w:before="31"/>
                    <w:jc w:val="center"/>
                    <w:textAlignment w:val="auto"/>
                    <w:rPr>
                      <w:color w:val="auto"/>
                      <w:highlight w:val="none"/>
                    </w:rPr>
                  </w:pPr>
                  <w:r>
                    <w:rPr>
                      <w:color w:val="auto"/>
                      <w:highlight w:val="none"/>
                    </w:rPr>
                    <w:t>固废处理</w:t>
                  </w:r>
                </w:p>
              </w:tc>
              <w:tc>
                <w:tcPr>
                  <w:tcW w:w="328" w:type="pct"/>
                  <w:tcBorders>
                    <w:tl2br w:val="nil"/>
                    <w:tr2bl w:val="nil"/>
                  </w:tcBorders>
                  <w:shd w:val="clear" w:color="auto" w:fill="auto"/>
                  <w:tcMar>
                    <w:top w:w="0" w:type="dxa"/>
                    <w:left w:w="28" w:type="dxa"/>
                    <w:bottom w:w="0" w:type="dxa"/>
                    <w:right w:w="28" w:type="dxa"/>
                  </w:tcMar>
                  <w:vAlign w:val="center"/>
                </w:tcPr>
                <w:p w14:paraId="7A242EB0">
                  <w:pPr>
                    <w:pStyle w:val="20"/>
                    <w:keepNext w:val="0"/>
                    <w:keepLines w:val="0"/>
                    <w:pageBreakBefore w:val="0"/>
                    <w:widowControl/>
                    <w:kinsoku/>
                    <w:wordWrap/>
                    <w:overflowPunct/>
                    <w:topLinePunct w:val="0"/>
                    <w:autoSpaceDE/>
                    <w:autoSpaceDN/>
                    <w:bidi w:val="0"/>
                    <w:adjustRightInd/>
                    <w:snapToGrid/>
                    <w:spacing w:before="31"/>
                    <w:jc w:val="center"/>
                    <w:textAlignment w:val="auto"/>
                    <w:rPr>
                      <w:rFonts w:ascii="Times New Roman" w:hAnsi="Times New Roman" w:eastAsia="宋体" w:cs="宋体"/>
                      <w:color w:val="auto"/>
                      <w:kern w:val="2"/>
                      <w:sz w:val="21"/>
                      <w:szCs w:val="21"/>
                      <w:highlight w:val="none"/>
                      <w:lang w:val="en-US" w:eastAsia="zh-CN" w:bidi="ar-SA"/>
                    </w:rPr>
                  </w:pPr>
                  <w:r>
                    <w:rPr>
                      <w:rFonts w:hint="eastAsia"/>
                      <w:color w:val="auto"/>
                      <w:highlight w:val="none"/>
                    </w:rPr>
                    <w:t>一般工业固废</w:t>
                  </w:r>
                </w:p>
              </w:tc>
              <w:tc>
                <w:tcPr>
                  <w:tcW w:w="1402" w:type="pct"/>
                  <w:tcBorders>
                    <w:tl2br w:val="nil"/>
                    <w:tr2bl w:val="nil"/>
                  </w:tcBorders>
                  <w:tcMar>
                    <w:top w:w="0" w:type="dxa"/>
                    <w:left w:w="28" w:type="dxa"/>
                    <w:bottom w:w="0" w:type="dxa"/>
                    <w:right w:w="28" w:type="dxa"/>
                  </w:tcMar>
                  <w:vAlign w:val="center"/>
                </w:tcPr>
                <w:p w14:paraId="6F18836D">
                  <w:pPr>
                    <w:pStyle w:val="20"/>
                    <w:keepNext w:val="0"/>
                    <w:keepLines w:val="0"/>
                    <w:pageBreakBefore w:val="0"/>
                    <w:widowControl/>
                    <w:kinsoku/>
                    <w:wordWrap/>
                    <w:overflowPunct/>
                    <w:topLinePunct w:val="0"/>
                    <w:autoSpaceDE/>
                    <w:autoSpaceDN/>
                    <w:bidi w:val="0"/>
                    <w:adjustRightInd/>
                    <w:snapToGrid/>
                    <w:spacing w:before="31"/>
                    <w:jc w:val="left"/>
                    <w:textAlignment w:val="auto"/>
                    <w:rPr>
                      <w:color w:val="auto"/>
                      <w:highlight w:val="none"/>
                    </w:rPr>
                  </w:pPr>
                  <w:r>
                    <w:rPr>
                      <w:rFonts w:hint="eastAsia"/>
                      <w:color w:val="auto"/>
                      <w:highlight w:val="none"/>
                    </w:rPr>
                    <w:t>设置一个面积</w:t>
                  </w:r>
                  <w:r>
                    <w:rPr>
                      <w:rFonts w:hint="eastAsia"/>
                      <w:color w:val="auto"/>
                      <w:highlight w:val="none"/>
                      <w:lang w:val="en-US" w:eastAsia="zh-CN"/>
                    </w:rPr>
                    <w:t>10</w:t>
                  </w:r>
                  <w:r>
                    <w:rPr>
                      <w:rFonts w:hint="eastAsia"/>
                      <w:color w:val="auto"/>
                      <w:highlight w:val="none"/>
                    </w:rPr>
                    <w:t>m</w:t>
                  </w:r>
                  <w:r>
                    <w:rPr>
                      <w:rFonts w:hint="eastAsia"/>
                      <w:color w:val="auto"/>
                      <w:highlight w:val="none"/>
                      <w:vertAlign w:val="superscript"/>
                    </w:rPr>
                    <w:t>2</w:t>
                  </w:r>
                  <w:r>
                    <w:rPr>
                      <w:rFonts w:hint="eastAsia"/>
                      <w:color w:val="auto"/>
                      <w:highlight w:val="none"/>
                      <w:vertAlign w:val="baseline"/>
                      <w:lang w:val="en-US" w:eastAsia="zh-CN"/>
                    </w:rPr>
                    <w:t>的</w:t>
                  </w:r>
                  <w:r>
                    <w:rPr>
                      <w:rFonts w:hint="eastAsia"/>
                      <w:color w:val="auto"/>
                      <w:highlight w:val="none"/>
                    </w:rPr>
                    <w:t>一般工业固废暂存间，</w:t>
                  </w:r>
                  <w:r>
                    <w:rPr>
                      <w:color w:val="auto"/>
                      <w:highlight w:val="none"/>
                    </w:rPr>
                    <w:t>位于</w:t>
                  </w:r>
                  <w:r>
                    <w:rPr>
                      <w:rFonts w:hint="eastAsia"/>
                      <w:color w:val="auto"/>
                      <w:highlight w:val="none"/>
                      <w:lang w:val="en-US" w:eastAsia="zh-CN"/>
                    </w:rPr>
                    <w:t>厂房北侧楼梯间。</w:t>
                  </w:r>
                </w:p>
              </w:tc>
              <w:tc>
                <w:tcPr>
                  <w:tcW w:w="1966" w:type="pct"/>
                  <w:tcBorders>
                    <w:tl2br w:val="nil"/>
                    <w:tr2bl w:val="nil"/>
                  </w:tcBorders>
                  <w:tcMar>
                    <w:top w:w="0" w:type="dxa"/>
                    <w:left w:w="28" w:type="dxa"/>
                    <w:bottom w:w="0" w:type="dxa"/>
                    <w:right w:w="28" w:type="dxa"/>
                  </w:tcMar>
                  <w:vAlign w:val="center"/>
                </w:tcPr>
                <w:p w14:paraId="5506D90D">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eastAsia"/>
                      <w:color w:val="auto"/>
                      <w:highlight w:val="none"/>
                    </w:rPr>
                  </w:pPr>
                  <w:r>
                    <w:rPr>
                      <w:rFonts w:hint="eastAsia"/>
                      <w:color w:val="auto"/>
                      <w:highlight w:val="none"/>
                    </w:rPr>
                    <w:t>设置一个面积</w:t>
                  </w:r>
                  <w:r>
                    <w:rPr>
                      <w:rFonts w:hint="eastAsia"/>
                      <w:color w:val="auto"/>
                      <w:highlight w:val="none"/>
                      <w:lang w:val="en-US" w:eastAsia="zh-CN"/>
                    </w:rPr>
                    <w:t>50</w:t>
                  </w:r>
                  <w:r>
                    <w:rPr>
                      <w:rFonts w:hint="eastAsia"/>
                      <w:color w:val="auto"/>
                      <w:highlight w:val="none"/>
                    </w:rPr>
                    <w:t>m</w:t>
                  </w:r>
                  <w:r>
                    <w:rPr>
                      <w:rFonts w:hint="eastAsia"/>
                      <w:color w:val="auto"/>
                      <w:highlight w:val="none"/>
                      <w:vertAlign w:val="superscript"/>
                    </w:rPr>
                    <w:t>2</w:t>
                  </w:r>
                  <w:r>
                    <w:rPr>
                      <w:rFonts w:hint="eastAsia"/>
                      <w:color w:val="auto"/>
                      <w:highlight w:val="none"/>
                      <w:vertAlign w:val="baseline"/>
                      <w:lang w:val="en-US" w:eastAsia="zh-CN"/>
                    </w:rPr>
                    <w:t>的</w:t>
                  </w:r>
                  <w:r>
                    <w:rPr>
                      <w:rFonts w:hint="eastAsia"/>
                      <w:color w:val="auto"/>
                      <w:highlight w:val="none"/>
                    </w:rPr>
                    <w:t>一般工业固废暂存间，</w:t>
                  </w:r>
                  <w:r>
                    <w:rPr>
                      <w:color w:val="auto"/>
                      <w:highlight w:val="none"/>
                    </w:rPr>
                    <w:t>位于</w:t>
                  </w:r>
                  <w:r>
                    <w:rPr>
                      <w:rFonts w:hint="eastAsia"/>
                      <w:color w:val="auto"/>
                      <w:highlight w:val="none"/>
                      <w:lang w:val="en-US" w:eastAsia="zh-CN"/>
                    </w:rPr>
                    <w:t>厂区北侧库房内</w:t>
                  </w:r>
                  <w:r>
                    <w:rPr>
                      <w:rFonts w:hint="eastAsia"/>
                      <w:color w:val="auto"/>
                      <w:highlight w:val="none"/>
                    </w:rPr>
                    <w:t>，地面进行硬化，设置环保标识标牌，贮存过程应满足相应防渗漏、防雨淋、防扬尘等环境保护要求。</w:t>
                  </w:r>
                </w:p>
              </w:tc>
              <w:tc>
                <w:tcPr>
                  <w:tcW w:w="661" w:type="pct"/>
                  <w:vMerge w:val="restart"/>
                  <w:tcBorders>
                    <w:tl2br w:val="nil"/>
                    <w:tr2bl w:val="nil"/>
                  </w:tcBorders>
                  <w:tcMar>
                    <w:top w:w="0" w:type="dxa"/>
                    <w:left w:w="28" w:type="dxa"/>
                    <w:bottom w:w="0" w:type="dxa"/>
                    <w:right w:w="28" w:type="dxa"/>
                  </w:tcMar>
                  <w:vAlign w:val="center"/>
                </w:tcPr>
                <w:p w14:paraId="5C0C7EDC">
                  <w:pPr>
                    <w:pStyle w:val="20"/>
                    <w:keepNext w:val="0"/>
                    <w:keepLines w:val="0"/>
                    <w:pageBreakBefore w:val="0"/>
                    <w:widowControl/>
                    <w:kinsoku/>
                    <w:wordWrap/>
                    <w:overflowPunct/>
                    <w:topLinePunct w:val="0"/>
                    <w:autoSpaceDE/>
                    <w:autoSpaceDN/>
                    <w:bidi w:val="0"/>
                    <w:adjustRightInd/>
                    <w:snapToGrid/>
                    <w:spacing w:before="31"/>
                    <w:textAlignment w:val="auto"/>
                    <w:rPr>
                      <w:rFonts w:hint="default" w:eastAsia="宋体"/>
                      <w:color w:val="auto"/>
                      <w:highlight w:val="none"/>
                      <w:lang w:val="en-US" w:eastAsia="zh-CN"/>
                    </w:rPr>
                  </w:pPr>
                  <w:r>
                    <w:rPr>
                      <w:rFonts w:hint="eastAsia"/>
                      <w:color w:val="auto"/>
                      <w:highlight w:val="none"/>
                      <w:lang w:val="en-US" w:eastAsia="zh-CN"/>
                    </w:rPr>
                    <w:t>现有项目固废贮存面积狭小，应完善固废设施</w:t>
                  </w:r>
                </w:p>
              </w:tc>
            </w:tr>
            <w:tr w14:paraId="41877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361" w:type="pct"/>
                  <w:vMerge w:val="continue"/>
                  <w:tcBorders>
                    <w:tl2br w:val="nil"/>
                    <w:tr2bl w:val="nil"/>
                  </w:tcBorders>
                  <w:tcMar>
                    <w:top w:w="0" w:type="dxa"/>
                    <w:left w:w="28" w:type="dxa"/>
                    <w:bottom w:w="0" w:type="dxa"/>
                    <w:right w:w="28" w:type="dxa"/>
                  </w:tcMar>
                  <w:vAlign w:val="center"/>
                </w:tcPr>
                <w:p w14:paraId="7769D6E8">
                  <w:pPr>
                    <w:pStyle w:val="20"/>
                    <w:keepNext w:val="0"/>
                    <w:keepLines w:val="0"/>
                    <w:pageBreakBefore w:val="0"/>
                    <w:widowControl/>
                    <w:kinsoku/>
                    <w:wordWrap/>
                    <w:overflowPunct/>
                    <w:topLinePunct w:val="0"/>
                    <w:autoSpaceDE/>
                    <w:autoSpaceDN/>
                    <w:bidi w:val="0"/>
                    <w:adjustRightInd/>
                    <w:snapToGrid/>
                    <w:spacing w:before="31"/>
                    <w:textAlignment w:val="auto"/>
                    <w:rPr>
                      <w:color w:val="auto"/>
                      <w:highlight w:val="none"/>
                    </w:rPr>
                  </w:pPr>
                </w:p>
              </w:tc>
              <w:tc>
                <w:tcPr>
                  <w:tcW w:w="278" w:type="pct"/>
                  <w:vMerge w:val="continue"/>
                  <w:tcBorders>
                    <w:tl2br w:val="nil"/>
                    <w:tr2bl w:val="nil"/>
                  </w:tcBorders>
                  <w:tcMar>
                    <w:top w:w="0" w:type="dxa"/>
                    <w:left w:w="28" w:type="dxa"/>
                    <w:bottom w:w="0" w:type="dxa"/>
                    <w:right w:w="28" w:type="dxa"/>
                  </w:tcMar>
                  <w:vAlign w:val="center"/>
                </w:tcPr>
                <w:p w14:paraId="5DFF540C">
                  <w:pPr>
                    <w:pStyle w:val="20"/>
                    <w:keepNext w:val="0"/>
                    <w:keepLines w:val="0"/>
                    <w:pageBreakBefore w:val="0"/>
                    <w:widowControl/>
                    <w:kinsoku/>
                    <w:wordWrap/>
                    <w:overflowPunct/>
                    <w:topLinePunct w:val="0"/>
                    <w:autoSpaceDE/>
                    <w:autoSpaceDN/>
                    <w:bidi w:val="0"/>
                    <w:adjustRightInd/>
                    <w:snapToGrid/>
                    <w:spacing w:before="31"/>
                    <w:jc w:val="center"/>
                    <w:textAlignment w:val="auto"/>
                    <w:rPr>
                      <w:color w:val="auto"/>
                      <w:highlight w:val="none"/>
                    </w:rPr>
                  </w:pPr>
                </w:p>
              </w:tc>
              <w:tc>
                <w:tcPr>
                  <w:tcW w:w="328" w:type="pct"/>
                  <w:tcBorders>
                    <w:tl2br w:val="nil"/>
                    <w:tr2bl w:val="nil"/>
                  </w:tcBorders>
                  <w:shd w:val="clear" w:color="auto" w:fill="auto"/>
                  <w:tcMar>
                    <w:top w:w="0" w:type="dxa"/>
                    <w:left w:w="28" w:type="dxa"/>
                    <w:bottom w:w="0" w:type="dxa"/>
                    <w:right w:w="28" w:type="dxa"/>
                  </w:tcMar>
                  <w:vAlign w:val="center"/>
                </w:tcPr>
                <w:p w14:paraId="7C20AAD3">
                  <w:pPr>
                    <w:pStyle w:val="20"/>
                    <w:keepNext w:val="0"/>
                    <w:keepLines w:val="0"/>
                    <w:pageBreakBefore w:val="0"/>
                    <w:widowControl/>
                    <w:kinsoku/>
                    <w:wordWrap/>
                    <w:overflowPunct/>
                    <w:topLinePunct w:val="0"/>
                    <w:autoSpaceDE/>
                    <w:autoSpaceDN/>
                    <w:bidi w:val="0"/>
                    <w:adjustRightInd/>
                    <w:snapToGrid/>
                    <w:spacing w:before="31"/>
                    <w:jc w:val="center"/>
                    <w:textAlignment w:val="auto"/>
                    <w:rPr>
                      <w:rFonts w:ascii="Times New Roman" w:hAnsi="Times New Roman" w:eastAsia="宋体" w:cs="宋体"/>
                      <w:color w:val="auto"/>
                      <w:kern w:val="2"/>
                      <w:sz w:val="21"/>
                      <w:szCs w:val="21"/>
                      <w:highlight w:val="none"/>
                      <w:lang w:val="en-US" w:eastAsia="zh-CN" w:bidi="ar-SA"/>
                    </w:rPr>
                  </w:pPr>
                  <w:r>
                    <w:rPr>
                      <w:rFonts w:hint="eastAsia"/>
                      <w:color w:val="auto"/>
                      <w:highlight w:val="none"/>
                    </w:rPr>
                    <w:t>危险废物</w:t>
                  </w:r>
                </w:p>
              </w:tc>
              <w:tc>
                <w:tcPr>
                  <w:tcW w:w="1402" w:type="pct"/>
                  <w:tcBorders>
                    <w:tl2br w:val="nil"/>
                    <w:tr2bl w:val="nil"/>
                  </w:tcBorders>
                  <w:tcMar>
                    <w:top w:w="0" w:type="dxa"/>
                    <w:left w:w="28" w:type="dxa"/>
                    <w:bottom w:w="0" w:type="dxa"/>
                    <w:right w:w="28" w:type="dxa"/>
                  </w:tcMar>
                  <w:vAlign w:val="center"/>
                </w:tcPr>
                <w:p w14:paraId="66C7DFE7">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default" w:eastAsia="宋体"/>
                      <w:color w:val="auto"/>
                      <w:highlight w:val="none"/>
                      <w:lang w:val="en-US" w:eastAsia="zh-CN"/>
                    </w:rPr>
                  </w:pPr>
                  <w:r>
                    <w:rPr>
                      <w:rFonts w:hint="eastAsia"/>
                      <w:color w:val="auto"/>
                      <w:highlight w:val="none"/>
                      <w:lang w:val="en-US" w:eastAsia="zh-CN"/>
                    </w:rPr>
                    <w:t>模修区设置面积约4m</w:t>
                  </w:r>
                  <w:r>
                    <w:rPr>
                      <w:rFonts w:hint="eastAsia"/>
                      <w:color w:val="auto"/>
                      <w:highlight w:val="none"/>
                      <w:vertAlign w:val="superscript"/>
                      <w:lang w:val="en-US" w:eastAsia="zh-CN"/>
                    </w:rPr>
                    <w:t>2</w:t>
                  </w:r>
                  <w:r>
                    <w:rPr>
                      <w:rFonts w:hint="eastAsia"/>
                      <w:color w:val="auto"/>
                      <w:highlight w:val="none"/>
                      <w:lang w:val="en-US" w:eastAsia="zh-CN"/>
                    </w:rPr>
                    <w:t>危险废物贮存区。</w:t>
                  </w:r>
                </w:p>
              </w:tc>
              <w:tc>
                <w:tcPr>
                  <w:tcW w:w="1966" w:type="pct"/>
                  <w:tcBorders>
                    <w:tl2br w:val="nil"/>
                    <w:tr2bl w:val="nil"/>
                  </w:tcBorders>
                  <w:tcMar>
                    <w:top w:w="0" w:type="dxa"/>
                    <w:left w:w="28" w:type="dxa"/>
                    <w:bottom w:w="0" w:type="dxa"/>
                    <w:right w:w="28" w:type="dxa"/>
                  </w:tcMar>
                  <w:vAlign w:val="center"/>
                </w:tcPr>
                <w:p w14:paraId="48396338">
                  <w:pPr>
                    <w:pStyle w:val="20"/>
                    <w:keepNext w:val="0"/>
                    <w:keepLines w:val="0"/>
                    <w:pageBreakBefore w:val="0"/>
                    <w:widowControl/>
                    <w:kinsoku/>
                    <w:wordWrap/>
                    <w:overflowPunct/>
                    <w:topLinePunct w:val="0"/>
                    <w:autoSpaceDE/>
                    <w:autoSpaceDN/>
                    <w:bidi w:val="0"/>
                    <w:adjustRightInd/>
                    <w:snapToGrid/>
                    <w:spacing w:before="31"/>
                    <w:jc w:val="left"/>
                    <w:textAlignment w:val="auto"/>
                    <w:rPr>
                      <w:color w:val="auto"/>
                      <w:highlight w:val="none"/>
                    </w:rPr>
                  </w:pPr>
                  <w:r>
                    <w:rPr>
                      <w:rFonts w:hint="eastAsia"/>
                      <w:color w:val="auto"/>
                      <w:highlight w:val="none"/>
                    </w:rPr>
                    <w:t>设置</w:t>
                  </w:r>
                  <w:r>
                    <w:rPr>
                      <w:rFonts w:hint="eastAsia"/>
                      <w:color w:val="auto"/>
                      <w:highlight w:val="none"/>
                      <w:lang w:eastAsia="zh-CN"/>
                    </w:rPr>
                    <w:t>危险废物贮存点</w:t>
                  </w:r>
                  <w:r>
                    <w:rPr>
                      <w:rFonts w:hint="eastAsia"/>
                      <w:color w:val="auto"/>
                      <w:highlight w:val="none"/>
                      <w:lang w:val="en-US" w:eastAsia="zh-CN"/>
                    </w:rPr>
                    <w:t>1处，</w:t>
                  </w:r>
                  <w:r>
                    <w:rPr>
                      <w:color w:val="auto"/>
                      <w:highlight w:val="none"/>
                    </w:rPr>
                    <w:t>位于</w:t>
                  </w:r>
                  <w:r>
                    <w:rPr>
                      <w:rFonts w:hint="eastAsia"/>
                      <w:color w:val="auto"/>
                      <w:highlight w:val="none"/>
                      <w:lang w:val="en-US" w:eastAsia="zh-CN"/>
                    </w:rPr>
                    <w:t>厂区北侧库房内，面积约20</w:t>
                  </w:r>
                  <w:r>
                    <w:rPr>
                      <w:color w:val="auto"/>
                      <w:highlight w:val="none"/>
                    </w:rPr>
                    <w:t>m</w:t>
                  </w:r>
                  <w:r>
                    <w:rPr>
                      <w:color w:val="auto"/>
                      <w:highlight w:val="none"/>
                      <w:vertAlign w:val="superscript"/>
                    </w:rPr>
                    <w:t>2</w:t>
                  </w:r>
                  <w:r>
                    <w:rPr>
                      <w:color w:val="auto"/>
                      <w:highlight w:val="none"/>
                    </w:rPr>
                    <w:t>。</w:t>
                  </w:r>
                  <w:r>
                    <w:rPr>
                      <w:rFonts w:hint="eastAsia"/>
                      <w:color w:val="auto"/>
                      <w:highlight w:val="none"/>
                    </w:rPr>
                    <w:t>严格按照《危险废物贮存污染控制标准》（GB18597-2023）要求进行设置。</w:t>
                  </w:r>
                </w:p>
              </w:tc>
              <w:tc>
                <w:tcPr>
                  <w:tcW w:w="661" w:type="pct"/>
                  <w:vMerge w:val="continue"/>
                  <w:tcBorders>
                    <w:tl2br w:val="nil"/>
                    <w:tr2bl w:val="nil"/>
                  </w:tcBorders>
                  <w:tcMar>
                    <w:top w:w="0" w:type="dxa"/>
                    <w:left w:w="28" w:type="dxa"/>
                    <w:bottom w:w="0" w:type="dxa"/>
                    <w:right w:w="28" w:type="dxa"/>
                  </w:tcMar>
                  <w:vAlign w:val="center"/>
                </w:tcPr>
                <w:p w14:paraId="509F1C74">
                  <w:pPr>
                    <w:pStyle w:val="20"/>
                    <w:keepNext w:val="0"/>
                    <w:keepLines w:val="0"/>
                    <w:pageBreakBefore w:val="0"/>
                    <w:widowControl/>
                    <w:kinsoku/>
                    <w:wordWrap/>
                    <w:overflowPunct/>
                    <w:topLinePunct w:val="0"/>
                    <w:autoSpaceDE/>
                    <w:autoSpaceDN/>
                    <w:bidi w:val="0"/>
                    <w:adjustRightInd/>
                    <w:snapToGrid/>
                    <w:spacing w:before="31"/>
                    <w:textAlignment w:val="auto"/>
                    <w:rPr>
                      <w:rFonts w:hint="default" w:eastAsia="宋体"/>
                      <w:color w:val="auto"/>
                      <w:highlight w:val="none"/>
                      <w:lang w:val="en-US" w:eastAsia="zh-CN"/>
                    </w:rPr>
                  </w:pPr>
                </w:p>
              </w:tc>
            </w:tr>
            <w:tr w14:paraId="201F5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1" w:type="pct"/>
                  <w:vMerge w:val="continue"/>
                  <w:tcBorders>
                    <w:tl2br w:val="nil"/>
                    <w:tr2bl w:val="nil"/>
                  </w:tcBorders>
                  <w:tcMar>
                    <w:top w:w="0" w:type="dxa"/>
                    <w:left w:w="28" w:type="dxa"/>
                    <w:bottom w:w="0" w:type="dxa"/>
                    <w:right w:w="28" w:type="dxa"/>
                  </w:tcMar>
                  <w:vAlign w:val="center"/>
                </w:tcPr>
                <w:p w14:paraId="5EE77537">
                  <w:pPr>
                    <w:pStyle w:val="20"/>
                    <w:keepNext w:val="0"/>
                    <w:keepLines w:val="0"/>
                    <w:pageBreakBefore w:val="0"/>
                    <w:widowControl/>
                    <w:kinsoku/>
                    <w:wordWrap/>
                    <w:overflowPunct/>
                    <w:topLinePunct w:val="0"/>
                    <w:autoSpaceDE/>
                    <w:autoSpaceDN/>
                    <w:bidi w:val="0"/>
                    <w:adjustRightInd/>
                    <w:snapToGrid/>
                    <w:spacing w:before="31"/>
                    <w:textAlignment w:val="auto"/>
                    <w:rPr>
                      <w:color w:val="auto"/>
                      <w:highlight w:val="none"/>
                    </w:rPr>
                  </w:pPr>
                </w:p>
              </w:tc>
              <w:tc>
                <w:tcPr>
                  <w:tcW w:w="278" w:type="pct"/>
                  <w:vMerge w:val="continue"/>
                  <w:tcBorders>
                    <w:tl2br w:val="nil"/>
                    <w:tr2bl w:val="nil"/>
                  </w:tcBorders>
                  <w:tcMar>
                    <w:top w:w="0" w:type="dxa"/>
                    <w:left w:w="28" w:type="dxa"/>
                    <w:bottom w:w="0" w:type="dxa"/>
                    <w:right w:w="28" w:type="dxa"/>
                  </w:tcMar>
                  <w:vAlign w:val="center"/>
                </w:tcPr>
                <w:p w14:paraId="2168434D">
                  <w:pPr>
                    <w:pStyle w:val="20"/>
                    <w:keepNext w:val="0"/>
                    <w:keepLines w:val="0"/>
                    <w:pageBreakBefore w:val="0"/>
                    <w:widowControl/>
                    <w:kinsoku/>
                    <w:wordWrap/>
                    <w:overflowPunct/>
                    <w:topLinePunct w:val="0"/>
                    <w:autoSpaceDE/>
                    <w:autoSpaceDN/>
                    <w:bidi w:val="0"/>
                    <w:adjustRightInd/>
                    <w:snapToGrid/>
                    <w:spacing w:before="31"/>
                    <w:jc w:val="center"/>
                    <w:textAlignment w:val="auto"/>
                    <w:rPr>
                      <w:color w:val="auto"/>
                      <w:highlight w:val="none"/>
                    </w:rPr>
                  </w:pPr>
                </w:p>
              </w:tc>
              <w:tc>
                <w:tcPr>
                  <w:tcW w:w="328" w:type="pct"/>
                  <w:tcBorders>
                    <w:tl2br w:val="nil"/>
                    <w:tr2bl w:val="nil"/>
                  </w:tcBorders>
                  <w:shd w:val="clear" w:color="auto" w:fill="auto"/>
                  <w:tcMar>
                    <w:top w:w="0" w:type="dxa"/>
                    <w:left w:w="28" w:type="dxa"/>
                    <w:bottom w:w="0" w:type="dxa"/>
                    <w:right w:w="28" w:type="dxa"/>
                  </w:tcMar>
                  <w:vAlign w:val="center"/>
                </w:tcPr>
                <w:p w14:paraId="77FC729E">
                  <w:pPr>
                    <w:pStyle w:val="20"/>
                    <w:keepNext w:val="0"/>
                    <w:keepLines w:val="0"/>
                    <w:pageBreakBefore w:val="0"/>
                    <w:widowControl/>
                    <w:kinsoku/>
                    <w:wordWrap/>
                    <w:overflowPunct/>
                    <w:topLinePunct w:val="0"/>
                    <w:autoSpaceDE/>
                    <w:autoSpaceDN/>
                    <w:bidi w:val="0"/>
                    <w:adjustRightInd/>
                    <w:snapToGrid/>
                    <w:spacing w:before="31"/>
                    <w:jc w:val="center"/>
                    <w:textAlignment w:val="auto"/>
                    <w:rPr>
                      <w:rFonts w:ascii="Times New Roman" w:hAnsi="Times New Roman" w:eastAsia="宋体" w:cs="宋体"/>
                      <w:color w:val="auto"/>
                      <w:kern w:val="2"/>
                      <w:sz w:val="21"/>
                      <w:szCs w:val="21"/>
                      <w:highlight w:val="none"/>
                      <w:lang w:val="en-US" w:eastAsia="zh-CN" w:bidi="ar-SA"/>
                    </w:rPr>
                  </w:pPr>
                  <w:r>
                    <w:rPr>
                      <w:color w:val="auto"/>
                      <w:highlight w:val="none"/>
                    </w:rPr>
                    <w:t>生活垃圾</w:t>
                  </w:r>
                </w:p>
              </w:tc>
              <w:tc>
                <w:tcPr>
                  <w:tcW w:w="3368" w:type="pct"/>
                  <w:gridSpan w:val="2"/>
                  <w:tcBorders>
                    <w:tl2br w:val="nil"/>
                    <w:tr2bl w:val="nil"/>
                  </w:tcBorders>
                  <w:tcMar>
                    <w:top w:w="0" w:type="dxa"/>
                    <w:left w:w="28" w:type="dxa"/>
                    <w:bottom w:w="0" w:type="dxa"/>
                    <w:right w:w="28" w:type="dxa"/>
                  </w:tcMar>
                  <w:vAlign w:val="center"/>
                </w:tcPr>
                <w:p w14:paraId="40A24E47">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eastAsia"/>
                      <w:color w:val="auto"/>
                      <w:highlight w:val="none"/>
                    </w:rPr>
                  </w:pPr>
                  <w:r>
                    <w:rPr>
                      <w:rFonts w:hint="eastAsia"/>
                      <w:color w:val="auto"/>
                      <w:highlight w:val="none"/>
                    </w:rPr>
                    <w:t>设置垃圾桶，收集后交由环卫部门清运处理。</w:t>
                  </w:r>
                </w:p>
              </w:tc>
              <w:tc>
                <w:tcPr>
                  <w:tcW w:w="661" w:type="pct"/>
                  <w:tcBorders>
                    <w:tl2br w:val="nil"/>
                    <w:tr2bl w:val="nil"/>
                  </w:tcBorders>
                  <w:tcMar>
                    <w:top w:w="0" w:type="dxa"/>
                    <w:left w:w="28" w:type="dxa"/>
                    <w:bottom w:w="0" w:type="dxa"/>
                    <w:right w:w="28" w:type="dxa"/>
                  </w:tcMar>
                  <w:vAlign w:val="center"/>
                </w:tcPr>
                <w:p w14:paraId="7FD9A463">
                  <w:pPr>
                    <w:pStyle w:val="20"/>
                    <w:keepNext w:val="0"/>
                    <w:keepLines w:val="0"/>
                    <w:pageBreakBefore w:val="0"/>
                    <w:widowControl/>
                    <w:kinsoku/>
                    <w:wordWrap/>
                    <w:overflowPunct/>
                    <w:topLinePunct w:val="0"/>
                    <w:autoSpaceDE/>
                    <w:autoSpaceDN/>
                    <w:bidi w:val="0"/>
                    <w:adjustRightInd/>
                    <w:snapToGrid/>
                    <w:spacing w:before="31"/>
                    <w:textAlignment w:val="auto"/>
                    <w:rPr>
                      <w:rFonts w:hint="eastAsia" w:eastAsia="宋体"/>
                      <w:color w:val="auto"/>
                      <w:highlight w:val="none"/>
                      <w:lang w:eastAsia="zh-CN"/>
                    </w:rPr>
                  </w:pPr>
                  <w:r>
                    <w:rPr>
                      <w:rFonts w:hint="eastAsia"/>
                      <w:color w:val="auto"/>
                      <w:highlight w:val="none"/>
                      <w:lang w:val="en-US" w:eastAsia="zh-CN"/>
                    </w:rPr>
                    <w:t>不变</w:t>
                  </w:r>
                </w:p>
              </w:tc>
            </w:tr>
            <w:tr w14:paraId="7FFA5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1" w:type="pct"/>
                  <w:vMerge w:val="continue"/>
                  <w:tcBorders>
                    <w:tl2br w:val="nil"/>
                    <w:tr2bl w:val="nil"/>
                  </w:tcBorders>
                  <w:tcMar>
                    <w:top w:w="0" w:type="dxa"/>
                    <w:left w:w="28" w:type="dxa"/>
                    <w:bottom w:w="0" w:type="dxa"/>
                    <w:right w:w="28" w:type="dxa"/>
                  </w:tcMar>
                  <w:vAlign w:val="center"/>
                </w:tcPr>
                <w:p w14:paraId="648F634E">
                  <w:pPr>
                    <w:pStyle w:val="20"/>
                    <w:keepNext w:val="0"/>
                    <w:keepLines w:val="0"/>
                    <w:pageBreakBefore w:val="0"/>
                    <w:widowControl/>
                    <w:kinsoku/>
                    <w:wordWrap/>
                    <w:overflowPunct/>
                    <w:topLinePunct w:val="0"/>
                    <w:autoSpaceDE/>
                    <w:autoSpaceDN/>
                    <w:bidi w:val="0"/>
                    <w:adjustRightInd/>
                    <w:snapToGrid/>
                    <w:spacing w:before="31"/>
                    <w:textAlignment w:val="auto"/>
                    <w:rPr>
                      <w:color w:val="auto"/>
                      <w:highlight w:val="none"/>
                    </w:rPr>
                  </w:pPr>
                </w:p>
              </w:tc>
              <w:tc>
                <w:tcPr>
                  <w:tcW w:w="607" w:type="pct"/>
                  <w:gridSpan w:val="2"/>
                  <w:tcBorders>
                    <w:tl2br w:val="nil"/>
                    <w:tr2bl w:val="nil"/>
                  </w:tcBorders>
                  <w:tcMar>
                    <w:top w:w="0" w:type="dxa"/>
                    <w:left w:w="28" w:type="dxa"/>
                    <w:bottom w:w="0" w:type="dxa"/>
                    <w:right w:w="28" w:type="dxa"/>
                  </w:tcMar>
                  <w:vAlign w:val="center"/>
                </w:tcPr>
                <w:p w14:paraId="23BA3923">
                  <w:pPr>
                    <w:pStyle w:val="20"/>
                    <w:keepNext w:val="0"/>
                    <w:keepLines w:val="0"/>
                    <w:pageBreakBefore w:val="0"/>
                    <w:widowControl/>
                    <w:kinsoku/>
                    <w:wordWrap/>
                    <w:overflowPunct/>
                    <w:topLinePunct w:val="0"/>
                    <w:autoSpaceDE/>
                    <w:autoSpaceDN/>
                    <w:bidi w:val="0"/>
                    <w:adjustRightInd/>
                    <w:snapToGrid/>
                    <w:spacing w:before="31"/>
                    <w:jc w:val="center"/>
                    <w:textAlignment w:val="auto"/>
                    <w:rPr>
                      <w:rFonts w:hint="default" w:eastAsia="宋体"/>
                      <w:color w:val="auto"/>
                      <w:highlight w:val="none"/>
                      <w:lang w:val="en-US" w:eastAsia="zh-CN"/>
                    </w:rPr>
                  </w:pPr>
                  <w:r>
                    <w:rPr>
                      <w:rFonts w:hint="eastAsia"/>
                      <w:color w:val="auto"/>
                      <w:highlight w:val="none"/>
                      <w:lang w:val="en-US" w:eastAsia="zh-CN"/>
                    </w:rPr>
                    <w:t>环境风险</w:t>
                  </w:r>
                </w:p>
              </w:tc>
              <w:tc>
                <w:tcPr>
                  <w:tcW w:w="1402" w:type="pct"/>
                  <w:tcBorders>
                    <w:tl2br w:val="nil"/>
                    <w:tr2bl w:val="nil"/>
                  </w:tcBorders>
                  <w:tcMar>
                    <w:top w:w="0" w:type="dxa"/>
                    <w:left w:w="28" w:type="dxa"/>
                    <w:bottom w:w="0" w:type="dxa"/>
                    <w:right w:w="28" w:type="dxa"/>
                  </w:tcMar>
                  <w:vAlign w:val="center"/>
                </w:tcPr>
                <w:p w14:paraId="65C10FB1">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eastAsia" w:eastAsia="宋体"/>
                      <w:color w:val="auto"/>
                      <w:highlight w:val="none"/>
                      <w:lang w:eastAsia="zh-CN"/>
                    </w:rPr>
                  </w:pPr>
                  <w:r>
                    <w:rPr>
                      <w:rFonts w:hint="eastAsia"/>
                      <w:color w:val="auto"/>
                      <w:highlight w:val="none"/>
                      <w:lang w:val="en-US" w:eastAsia="zh-CN"/>
                    </w:rPr>
                    <w:t>厂区已做好完善的</w:t>
                  </w:r>
                  <w:r>
                    <w:rPr>
                      <w:rFonts w:hint="eastAsia"/>
                      <w:color w:val="auto"/>
                      <w:highlight w:val="none"/>
                    </w:rPr>
                    <w:t>消防措施</w:t>
                  </w:r>
                  <w:r>
                    <w:rPr>
                      <w:rFonts w:hint="eastAsia"/>
                      <w:color w:val="auto"/>
                      <w:highlight w:val="none"/>
                      <w:lang w:eastAsia="zh-CN"/>
                    </w:rPr>
                    <w:t>。</w:t>
                  </w:r>
                </w:p>
              </w:tc>
              <w:tc>
                <w:tcPr>
                  <w:tcW w:w="1966" w:type="pct"/>
                  <w:tcBorders>
                    <w:tl2br w:val="nil"/>
                    <w:tr2bl w:val="nil"/>
                  </w:tcBorders>
                  <w:tcMar>
                    <w:top w:w="0" w:type="dxa"/>
                    <w:left w:w="28" w:type="dxa"/>
                    <w:bottom w:w="0" w:type="dxa"/>
                    <w:right w:w="28" w:type="dxa"/>
                  </w:tcMar>
                  <w:vAlign w:val="center"/>
                </w:tcPr>
                <w:p w14:paraId="12BFC364">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eastAsia" w:eastAsia="宋体"/>
                      <w:color w:val="auto"/>
                      <w:highlight w:val="none"/>
                      <w:lang w:eastAsia="zh-CN"/>
                    </w:rPr>
                  </w:pPr>
                  <w:r>
                    <w:rPr>
                      <w:rFonts w:hint="eastAsia"/>
                      <w:color w:val="auto"/>
                      <w:highlight w:val="none"/>
                      <w:lang w:val="en-US" w:eastAsia="zh-CN"/>
                    </w:rPr>
                    <w:t>五金备件库油料间、危险废物贮存点</w:t>
                  </w:r>
                  <w:r>
                    <w:rPr>
                      <w:rFonts w:hint="eastAsia"/>
                      <w:color w:val="auto"/>
                      <w:highlight w:val="none"/>
                    </w:rPr>
                    <w:t>重点防渗</w:t>
                  </w:r>
                  <w:r>
                    <w:rPr>
                      <w:rFonts w:hint="eastAsia"/>
                      <w:color w:val="auto"/>
                      <w:highlight w:val="none"/>
                      <w:lang w:eastAsia="zh-CN"/>
                    </w:rPr>
                    <w:t>，</w:t>
                  </w:r>
                  <w:r>
                    <w:rPr>
                      <w:rFonts w:hint="eastAsia"/>
                      <w:color w:val="auto"/>
                      <w:highlight w:val="none"/>
                    </w:rPr>
                    <w:t>严禁烟火</w:t>
                  </w:r>
                  <w:r>
                    <w:rPr>
                      <w:rFonts w:hint="eastAsia"/>
                      <w:color w:val="auto"/>
                      <w:highlight w:val="none"/>
                      <w:lang w:eastAsia="zh-CN"/>
                    </w:rPr>
                    <w:t>，</w:t>
                  </w:r>
                  <w:r>
                    <w:rPr>
                      <w:rFonts w:hint="eastAsia"/>
                      <w:color w:val="auto"/>
                      <w:highlight w:val="none"/>
                      <w:lang w:val="en-US" w:eastAsia="zh-CN"/>
                    </w:rPr>
                    <w:t>做好消防设施</w:t>
                  </w:r>
                  <w:r>
                    <w:rPr>
                      <w:rFonts w:hint="eastAsia"/>
                      <w:color w:val="auto"/>
                      <w:highlight w:val="none"/>
                      <w:lang w:eastAsia="zh-CN"/>
                    </w:rPr>
                    <w:t>，配备相应泄漏堵漏应急物资，个体防护物资以及泄漏吸附物资。</w:t>
                  </w:r>
                </w:p>
              </w:tc>
              <w:tc>
                <w:tcPr>
                  <w:tcW w:w="661" w:type="pct"/>
                  <w:tcBorders>
                    <w:tl2br w:val="nil"/>
                    <w:tr2bl w:val="nil"/>
                  </w:tcBorders>
                  <w:tcMar>
                    <w:top w:w="0" w:type="dxa"/>
                    <w:left w:w="28" w:type="dxa"/>
                    <w:bottom w:w="0" w:type="dxa"/>
                    <w:right w:w="28" w:type="dxa"/>
                  </w:tcMar>
                  <w:vAlign w:val="center"/>
                </w:tcPr>
                <w:p w14:paraId="53B7D6DE">
                  <w:pPr>
                    <w:pStyle w:val="20"/>
                    <w:keepNext w:val="0"/>
                    <w:keepLines w:val="0"/>
                    <w:pageBreakBefore w:val="0"/>
                    <w:widowControl/>
                    <w:kinsoku/>
                    <w:wordWrap/>
                    <w:overflowPunct/>
                    <w:topLinePunct w:val="0"/>
                    <w:autoSpaceDE/>
                    <w:autoSpaceDN/>
                    <w:bidi w:val="0"/>
                    <w:adjustRightInd/>
                    <w:snapToGrid/>
                    <w:spacing w:before="31"/>
                    <w:textAlignment w:val="auto"/>
                    <w:rPr>
                      <w:rFonts w:hint="default" w:eastAsia="宋体"/>
                      <w:color w:val="auto"/>
                      <w:highlight w:val="none"/>
                      <w:lang w:val="en-US" w:eastAsia="zh-CN"/>
                    </w:rPr>
                  </w:pPr>
                  <w:r>
                    <w:rPr>
                      <w:rFonts w:hint="eastAsia"/>
                      <w:color w:val="auto"/>
                      <w:highlight w:val="none"/>
                      <w:lang w:val="en-US" w:eastAsia="zh-CN"/>
                    </w:rPr>
                    <w:t>进一步完善环境风险防范设施</w:t>
                  </w:r>
                </w:p>
              </w:tc>
            </w:tr>
          </w:tbl>
          <w:p w14:paraId="62B4DB04">
            <w:pPr>
              <w:pStyle w:val="2"/>
              <w:numPr>
                <w:ilvl w:val="0"/>
                <w:numId w:val="3"/>
              </w:numPr>
              <w:spacing w:before="156"/>
              <w:rPr>
                <w:color w:val="auto"/>
                <w:highlight w:val="none"/>
              </w:rPr>
            </w:pPr>
            <w:r>
              <w:rPr>
                <w:rFonts w:hint="eastAsia"/>
                <w:color w:val="auto"/>
                <w:highlight w:val="none"/>
              </w:rPr>
              <w:t>产品方案</w:t>
            </w:r>
          </w:p>
          <w:p w14:paraId="3C89534D">
            <w:pPr>
              <w:pStyle w:val="18"/>
              <w:bidi w:val="0"/>
              <w:rPr>
                <w:rFonts w:hint="eastAsia"/>
                <w:color w:val="auto"/>
                <w:highlight w:val="none"/>
              </w:rPr>
            </w:pPr>
            <w:r>
              <w:rPr>
                <w:rFonts w:hint="eastAsia"/>
                <w:color w:val="auto"/>
                <w:highlight w:val="none"/>
                <w:lang w:val="en-US" w:eastAsia="zh-CN"/>
              </w:rPr>
              <w:t>现有项目环评批复年产后视镜塑料件86万件，根据企业24年实际生产数据，年产后视镜约16万套，共计约80万件后视镜塑料件。项目扩建后增加产品种类，提高市场竞争力，均生产汽车零部件注塑产品，扩建后年产汽车后视镜约72万套，360万件，杯架、扶手骨架各约80万件，谐振器10万套，20万件，其他各类材质注塑件各约20万件，总计约600万件。汽车后视镜不含玻璃、电板安装，仅生产塑料件。扩建前后</w:t>
            </w:r>
            <w:r>
              <w:rPr>
                <w:rFonts w:hint="eastAsia"/>
                <w:color w:val="auto"/>
                <w:highlight w:val="none"/>
              </w:rPr>
              <w:t>产品方案见下</w:t>
            </w:r>
            <w:r>
              <w:rPr>
                <w:rFonts w:hint="eastAsia"/>
                <w:color w:val="auto"/>
                <w:highlight w:val="none"/>
              </w:rPr>
              <w:fldChar w:fldCharType="begin"/>
            </w:r>
            <w:r>
              <w:rPr>
                <w:rFonts w:hint="eastAsia"/>
                <w:color w:val="auto"/>
                <w:highlight w:val="none"/>
              </w:rPr>
              <w:instrText xml:space="preserve"> REF _Ref18073 \h </w:instrText>
            </w:r>
            <w:r>
              <w:rPr>
                <w:rFonts w:hint="eastAsia"/>
                <w:color w:val="auto"/>
                <w:highlight w:val="none"/>
              </w:rPr>
              <w:fldChar w:fldCharType="separate"/>
            </w:r>
            <w:r>
              <w:rPr>
                <w:color w:val="auto"/>
                <w:highlight w:val="none"/>
              </w:rPr>
              <w:t>表2-2</w:t>
            </w:r>
            <w:r>
              <w:rPr>
                <w:rFonts w:hint="eastAsia"/>
                <w:color w:val="auto"/>
                <w:highlight w:val="none"/>
              </w:rPr>
              <w:fldChar w:fldCharType="end"/>
            </w:r>
            <w:r>
              <w:rPr>
                <w:rFonts w:hint="eastAsia"/>
                <w:color w:val="auto"/>
                <w:highlight w:val="none"/>
              </w:rPr>
              <w:t>。</w:t>
            </w:r>
          </w:p>
          <w:p w14:paraId="64794630">
            <w:pPr>
              <w:pStyle w:val="19"/>
              <w:bidi w:val="0"/>
              <w:rPr>
                <w:rFonts w:hint="eastAsia"/>
                <w:color w:val="auto"/>
                <w:highlight w:val="none"/>
              </w:rPr>
            </w:pPr>
            <w:bookmarkStart w:id="12" w:name="_Ref18073"/>
            <w:r>
              <w:rPr>
                <w:color w:val="auto"/>
                <w:highlight w:val="none"/>
              </w:rPr>
              <w:t>表2-</w:t>
            </w:r>
            <w:r>
              <w:rPr>
                <w:color w:val="auto"/>
                <w:highlight w:val="none"/>
              </w:rPr>
              <w:fldChar w:fldCharType="begin"/>
            </w:r>
            <w:r>
              <w:rPr>
                <w:color w:val="auto"/>
                <w:highlight w:val="none"/>
              </w:rPr>
              <w:instrText xml:space="preserve"> SEQ 表2- \* ARABIC </w:instrText>
            </w:r>
            <w:r>
              <w:rPr>
                <w:color w:val="auto"/>
                <w:highlight w:val="none"/>
              </w:rPr>
              <w:fldChar w:fldCharType="separate"/>
            </w:r>
            <w:r>
              <w:rPr>
                <w:color w:val="auto"/>
                <w:highlight w:val="none"/>
              </w:rPr>
              <w:t>2</w:t>
            </w:r>
            <w:r>
              <w:rPr>
                <w:color w:val="auto"/>
                <w:highlight w:val="none"/>
              </w:rPr>
              <w:fldChar w:fldCharType="end"/>
            </w:r>
            <w:bookmarkEnd w:id="12"/>
            <w:r>
              <w:rPr>
                <w:rFonts w:hint="eastAsia"/>
                <w:color w:val="auto"/>
                <w:highlight w:val="none"/>
              </w:rPr>
              <w:t xml:space="preserve">  项目产品方案一览表</w:t>
            </w:r>
          </w:p>
          <w:tbl>
            <w:tblPr>
              <w:tblStyle w:val="1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51"/>
              <w:gridCol w:w="187"/>
              <w:gridCol w:w="638"/>
              <w:gridCol w:w="1335"/>
              <w:gridCol w:w="1245"/>
              <w:gridCol w:w="1095"/>
              <w:gridCol w:w="795"/>
              <w:gridCol w:w="1785"/>
              <w:gridCol w:w="795"/>
            </w:tblGrid>
            <w:tr w14:paraId="5077F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66" w:type="pct"/>
                  <w:gridSpan w:val="3"/>
                  <w:shd w:val="clear" w:color="auto" w:fill="auto"/>
                  <w:vAlign w:val="center"/>
                </w:tcPr>
                <w:p w14:paraId="12137BDE">
                  <w:pPr>
                    <w:pStyle w:val="20"/>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产品名称</w:t>
                  </w:r>
                </w:p>
              </w:tc>
              <w:tc>
                <w:tcPr>
                  <w:tcW w:w="801" w:type="pct"/>
                  <w:vAlign w:val="center"/>
                </w:tcPr>
                <w:p w14:paraId="13267ECC">
                  <w:pPr>
                    <w:pStyle w:val="20"/>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现有项目年产量</w:t>
                  </w:r>
                  <w:r>
                    <w:rPr>
                      <w:rFonts w:hint="default"/>
                      <w:b/>
                      <w:bCs/>
                      <w:color w:val="auto"/>
                      <w:highlight w:val="none"/>
                    </w:rPr>
                    <w:t>（万件/</w:t>
                  </w:r>
                  <w:r>
                    <w:rPr>
                      <w:rFonts w:hint="eastAsia"/>
                      <w:b/>
                      <w:bCs/>
                      <w:color w:val="auto"/>
                      <w:highlight w:val="none"/>
                      <w:lang w:val="en-US" w:eastAsia="zh-CN"/>
                    </w:rPr>
                    <w:t>a</w:t>
                  </w:r>
                  <w:r>
                    <w:rPr>
                      <w:rFonts w:hint="default"/>
                      <w:b/>
                      <w:bCs/>
                      <w:color w:val="auto"/>
                      <w:highlight w:val="none"/>
                    </w:rPr>
                    <w:t>）</w:t>
                  </w:r>
                </w:p>
              </w:tc>
              <w:tc>
                <w:tcPr>
                  <w:tcW w:w="747" w:type="pct"/>
                  <w:vAlign w:val="center"/>
                </w:tcPr>
                <w:p w14:paraId="0A7499B8">
                  <w:pPr>
                    <w:pStyle w:val="20"/>
                    <w:keepNext w:val="0"/>
                    <w:keepLines w:val="0"/>
                    <w:suppressLineNumbers w:val="0"/>
                    <w:bidi w:val="0"/>
                    <w:spacing w:before="0" w:beforeAutospacing="0" w:after="0" w:afterAutospacing="0"/>
                    <w:ind w:left="0" w:right="0"/>
                    <w:rPr>
                      <w:rFonts w:hint="eastAsia"/>
                      <w:b/>
                      <w:bCs/>
                      <w:color w:val="auto"/>
                      <w:highlight w:val="none"/>
                      <w:lang w:val="en-US" w:eastAsia="zh-CN"/>
                    </w:rPr>
                  </w:pPr>
                  <w:r>
                    <w:rPr>
                      <w:rFonts w:hint="eastAsia"/>
                      <w:b/>
                      <w:bCs/>
                      <w:color w:val="auto"/>
                      <w:highlight w:val="none"/>
                      <w:lang w:val="en-US" w:eastAsia="zh-CN"/>
                    </w:rPr>
                    <w:t>扩建后年产量</w:t>
                  </w:r>
                  <w:r>
                    <w:rPr>
                      <w:rFonts w:hint="default"/>
                      <w:b/>
                      <w:bCs/>
                      <w:color w:val="auto"/>
                      <w:highlight w:val="none"/>
                    </w:rPr>
                    <w:t>（万件/</w:t>
                  </w:r>
                  <w:r>
                    <w:rPr>
                      <w:rFonts w:hint="eastAsia"/>
                      <w:b/>
                      <w:bCs/>
                      <w:color w:val="auto"/>
                      <w:highlight w:val="none"/>
                      <w:lang w:val="en-US" w:eastAsia="zh-CN"/>
                    </w:rPr>
                    <w:t>a</w:t>
                  </w:r>
                  <w:r>
                    <w:rPr>
                      <w:rFonts w:hint="default"/>
                      <w:b/>
                      <w:bCs/>
                      <w:color w:val="auto"/>
                      <w:highlight w:val="none"/>
                    </w:rPr>
                    <w:t>）</w:t>
                  </w:r>
                </w:p>
              </w:tc>
              <w:tc>
                <w:tcPr>
                  <w:tcW w:w="657" w:type="pct"/>
                  <w:vAlign w:val="center"/>
                </w:tcPr>
                <w:p w14:paraId="043BFB58">
                  <w:pPr>
                    <w:pStyle w:val="20"/>
                    <w:keepNext w:val="0"/>
                    <w:keepLines w:val="0"/>
                    <w:suppressLineNumbers w:val="0"/>
                    <w:bidi w:val="0"/>
                    <w:spacing w:before="0" w:beforeAutospacing="0" w:after="0" w:afterAutospacing="0"/>
                    <w:ind w:left="0" w:right="0"/>
                    <w:rPr>
                      <w:rFonts w:hint="default"/>
                      <w:b/>
                      <w:bCs/>
                      <w:color w:val="auto"/>
                      <w:highlight w:val="none"/>
                    </w:rPr>
                  </w:pPr>
                  <w:r>
                    <w:rPr>
                      <w:rFonts w:hint="eastAsia"/>
                      <w:b/>
                      <w:bCs/>
                      <w:color w:val="auto"/>
                      <w:highlight w:val="none"/>
                      <w:lang w:val="en-US" w:eastAsia="zh-CN"/>
                    </w:rPr>
                    <w:t>产品规格</w:t>
                  </w:r>
                </w:p>
              </w:tc>
              <w:tc>
                <w:tcPr>
                  <w:tcW w:w="477" w:type="pct"/>
                  <w:vAlign w:val="center"/>
                </w:tcPr>
                <w:p w14:paraId="6A9E92AF">
                  <w:pPr>
                    <w:pStyle w:val="20"/>
                    <w:keepNext w:val="0"/>
                    <w:keepLines w:val="0"/>
                    <w:suppressLineNumbers w:val="0"/>
                    <w:bidi w:val="0"/>
                    <w:spacing w:before="0" w:beforeAutospacing="0" w:after="0" w:afterAutospacing="0"/>
                    <w:ind w:left="0" w:right="0"/>
                    <w:rPr>
                      <w:rFonts w:hint="eastAsia"/>
                      <w:b/>
                      <w:bCs/>
                      <w:color w:val="auto"/>
                      <w:highlight w:val="none"/>
                      <w:lang w:val="en-US" w:eastAsia="zh-CN"/>
                    </w:rPr>
                  </w:pPr>
                  <w:r>
                    <w:rPr>
                      <w:rFonts w:hint="eastAsia"/>
                      <w:b/>
                      <w:bCs/>
                      <w:color w:val="auto"/>
                      <w:highlight w:val="none"/>
                      <w:lang w:val="en-US" w:eastAsia="zh-CN"/>
                    </w:rPr>
                    <w:t>总量</w:t>
                  </w:r>
                  <w:r>
                    <w:rPr>
                      <w:rFonts w:hint="eastAsia"/>
                      <w:b/>
                      <w:bCs/>
                      <w:color w:val="auto"/>
                      <w:highlight w:val="none"/>
                      <w:lang w:val="en-US" w:eastAsia="zh-CN"/>
                    </w:rPr>
                    <w:br w:type="textWrapping"/>
                  </w:r>
                  <w:r>
                    <w:rPr>
                      <w:rFonts w:hint="eastAsia"/>
                      <w:b/>
                      <w:bCs/>
                      <w:color w:val="auto"/>
                      <w:highlight w:val="none"/>
                      <w:lang w:val="en-US" w:eastAsia="zh-CN"/>
                    </w:rPr>
                    <w:t>（t/a）</w:t>
                  </w:r>
                </w:p>
              </w:tc>
              <w:tc>
                <w:tcPr>
                  <w:tcW w:w="1071" w:type="pct"/>
                  <w:vAlign w:val="center"/>
                </w:tcPr>
                <w:p w14:paraId="2250F5EA">
                  <w:pPr>
                    <w:pStyle w:val="20"/>
                    <w:keepNext w:val="0"/>
                    <w:keepLines w:val="0"/>
                    <w:suppressLineNumbers w:val="0"/>
                    <w:bidi w:val="0"/>
                    <w:spacing w:before="0" w:beforeAutospacing="0" w:after="0" w:afterAutospacing="0"/>
                    <w:ind w:left="0" w:right="0"/>
                    <w:rPr>
                      <w:rFonts w:hint="default"/>
                      <w:b/>
                      <w:bCs/>
                      <w:color w:val="auto"/>
                      <w:highlight w:val="none"/>
                    </w:rPr>
                  </w:pPr>
                  <w:r>
                    <w:rPr>
                      <w:rFonts w:hint="eastAsia"/>
                      <w:b/>
                      <w:bCs/>
                      <w:color w:val="auto"/>
                      <w:highlight w:val="none"/>
                      <w:lang w:val="en-US" w:eastAsia="zh-CN"/>
                    </w:rPr>
                    <w:t>产品示例</w:t>
                  </w:r>
                </w:p>
              </w:tc>
              <w:tc>
                <w:tcPr>
                  <w:tcW w:w="477" w:type="pct"/>
                  <w:vAlign w:val="center"/>
                </w:tcPr>
                <w:p w14:paraId="6B49000B">
                  <w:pPr>
                    <w:pStyle w:val="20"/>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材质</w:t>
                  </w:r>
                </w:p>
              </w:tc>
            </w:tr>
            <w:tr w14:paraId="47FE6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70" w:type="pct"/>
                  <w:vMerge w:val="restart"/>
                  <w:vAlign w:val="center"/>
                </w:tcPr>
                <w:p w14:paraId="3BE9806C">
                  <w:pPr>
                    <w:pStyle w:val="20"/>
                    <w:bidi w:val="0"/>
                    <w:rPr>
                      <w:rFonts w:hint="default"/>
                      <w:color w:val="auto"/>
                      <w:highlight w:val="none"/>
                      <w:lang w:val="en-US" w:eastAsia="zh-CN"/>
                    </w:rPr>
                  </w:pPr>
                  <w:r>
                    <w:rPr>
                      <w:rFonts w:hint="eastAsia"/>
                      <w:color w:val="auto"/>
                      <w:highlight w:val="none"/>
                      <w:lang w:val="en-US" w:eastAsia="zh-CN"/>
                    </w:rPr>
                    <w:t>汽车后视镜</w:t>
                  </w:r>
                </w:p>
              </w:tc>
              <w:tc>
                <w:tcPr>
                  <w:tcW w:w="495" w:type="pct"/>
                  <w:gridSpan w:val="2"/>
                  <w:vAlign w:val="center"/>
                </w:tcPr>
                <w:p w14:paraId="7C3C2E08">
                  <w:pPr>
                    <w:pStyle w:val="20"/>
                    <w:bidi w:val="0"/>
                    <w:rPr>
                      <w:rFonts w:hint="default"/>
                      <w:color w:val="auto"/>
                      <w:highlight w:val="none"/>
                    </w:rPr>
                  </w:pPr>
                  <w:r>
                    <w:rPr>
                      <w:rFonts w:hint="eastAsia"/>
                      <w:color w:val="auto"/>
                      <w:highlight w:val="none"/>
                      <w:lang w:val="en-US" w:eastAsia="zh-CN"/>
                    </w:rPr>
                    <w:t>镜面托板</w:t>
                  </w:r>
                </w:p>
              </w:tc>
              <w:tc>
                <w:tcPr>
                  <w:tcW w:w="801" w:type="pct"/>
                  <w:vAlign w:val="center"/>
                </w:tcPr>
                <w:p w14:paraId="524B9EDB">
                  <w:pPr>
                    <w:pStyle w:val="20"/>
                    <w:bidi w:val="0"/>
                    <w:rPr>
                      <w:rFonts w:hint="default"/>
                      <w:color w:val="auto"/>
                      <w:highlight w:val="none"/>
                      <w:lang w:val="en-US" w:eastAsia="zh-CN"/>
                    </w:rPr>
                  </w:pPr>
                  <w:r>
                    <w:rPr>
                      <w:rFonts w:hint="eastAsia"/>
                      <w:color w:val="auto"/>
                      <w:highlight w:val="none"/>
                      <w:lang w:val="en-US" w:eastAsia="zh-CN"/>
                    </w:rPr>
                    <w:t>16</w:t>
                  </w:r>
                </w:p>
              </w:tc>
              <w:tc>
                <w:tcPr>
                  <w:tcW w:w="747" w:type="pct"/>
                  <w:vAlign w:val="center"/>
                </w:tcPr>
                <w:p w14:paraId="13F254D7">
                  <w:pPr>
                    <w:pStyle w:val="20"/>
                    <w:bidi w:val="0"/>
                    <w:rPr>
                      <w:rFonts w:hint="default"/>
                      <w:color w:val="auto"/>
                      <w:highlight w:val="none"/>
                      <w:lang w:val="en-US" w:eastAsia="zh-CN"/>
                    </w:rPr>
                  </w:pPr>
                  <w:r>
                    <w:rPr>
                      <w:rFonts w:hint="eastAsia"/>
                      <w:color w:val="auto"/>
                      <w:highlight w:val="none"/>
                      <w:lang w:val="en-US" w:eastAsia="zh-CN"/>
                    </w:rPr>
                    <w:t>72</w:t>
                  </w:r>
                </w:p>
              </w:tc>
              <w:tc>
                <w:tcPr>
                  <w:tcW w:w="657" w:type="pct"/>
                  <w:vAlign w:val="center"/>
                </w:tcPr>
                <w:p w14:paraId="55555460">
                  <w:pPr>
                    <w:pStyle w:val="20"/>
                    <w:bidi w:val="0"/>
                    <w:rPr>
                      <w:rFonts w:hint="default"/>
                      <w:color w:val="auto"/>
                      <w:highlight w:val="none"/>
                      <w:lang w:val="en-US"/>
                    </w:rPr>
                  </w:pPr>
                  <w:r>
                    <w:rPr>
                      <w:rFonts w:hint="eastAsia"/>
                      <w:color w:val="auto"/>
                      <w:highlight w:val="none"/>
                      <w:lang w:val="en-US" w:eastAsia="zh-CN"/>
                    </w:rPr>
                    <w:t>约35g/件</w:t>
                  </w:r>
                </w:p>
              </w:tc>
              <w:tc>
                <w:tcPr>
                  <w:tcW w:w="477" w:type="pct"/>
                  <w:vAlign w:val="center"/>
                </w:tcPr>
                <w:p w14:paraId="20A1FD0E">
                  <w:pPr>
                    <w:pStyle w:val="20"/>
                    <w:bidi w:val="0"/>
                    <w:rPr>
                      <w:rFonts w:hint="default"/>
                      <w:color w:val="auto"/>
                      <w:highlight w:val="none"/>
                      <w:lang w:val="en-US" w:eastAsia="zh-CN"/>
                    </w:rPr>
                  </w:pPr>
                  <w:r>
                    <w:rPr>
                      <w:rFonts w:hint="eastAsia"/>
                      <w:color w:val="auto"/>
                      <w:highlight w:val="none"/>
                      <w:lang w:val="en-US" w:eastAsia="zh-CN"/>
                    </w:rPr>
                    <w:t>25.2</w:t>
                  </w:r>
                </w:p>
              </w:tc>
              <w:tc>
                <w:tcPr>
                  <w:tcW w:w="1071" w:type="pct"/>
                  <w:vAlign w:val="center"/>
                </w:tcPr>
                <w:p w14:paraId="42B81051">
                  <w:pPr>
                    <w:pStyle w:val="20"/>
                    <w:keepNext w:val="0"/>
                    <w:keepLines w:val="0"/>
                    <w:suppressLineNumbers w:val="0"/>
                    <w:bidi w:val="0"/>
                    <w:spacing w:before="0" w:beforeAutospacing="0" w:after="0" w:afterAutospacing="0"/>
                    <w:ind w:left="0" w:right="0"/>
                    <w:rPr>
                      <w:rFonts w:hint="default"/>
                      <w:color w:val="auto"/>
                      <w:highlight w:val="none"/>
                    </w:rPr>
                  </w:pPr>
                  <w:r>
                    <w:rPr>
                      <w:color w:val="auto"/>
                      <w:highlight w:val="none"/>
                    </w:rPr>
                    <w:drawing>
                      <wp:inline distT="0" distB="0" distL="114300" distR="114300">
                        <wp:extent cx="1080135" cy="720090"/>
                        <wp:effectExtent l="0" t="0" r="5715" b="3810"/>
                        <wp:docPr id="14" name="图片 10"/>
                        <wp:cNvGraphicFramePr/>
                        <a:graphic xmlns:a="http://schemas.openxmlformats.org/drawingml/2006/main">
                          <a:graphicData uri="http://schemas.openxmlformats.org/drawingml/2006/picture">
                            <pic:pic xmlns:pic="http://schemas.openxmlformats.org/drawingml/2006/picture">
                              <pic:nvPicPr>
                                <pic:cNvPr id="14" name="图片 10"/>
                                <pic:cNvPicPr/>
                              </pic:nvPicPr>
                              <pic:blipFill>
                                <a:blip r:embed="rId11"/>
                                <a:stretch>
                                  <a:fillRect/>
                                </a:stretch>
                              </pic:blipFill>
                              <pic:spPr>
                                <a:xfrm>
                                  <a:off x="0" y="0"/>
                                  <a:ext cx="1080135" cy="720090"/>
                                </a:xfrm>
                                <a:prstGeom prst="rect">
                                  <a:avLst/>
                                </a:prstGeom>
                                <a:noFill/>
                                <a:ln>
                                  <a:noFill/>
                                </a:ln>
                              </pic:spPr>
                            </pic:pic>
                          </a:graphicData>
                        </a:graphic>
                      </wp:inline>
                    </w:drawing>
                  </w:r>
                </w:p>
              </w:tc>
              <w:tc>
                <w:tcPr>
                  <w:tcW w:w="477" w:type="pct"/>
                  <w:shd w:val="clear" w:color="auto" w:fill="auto"/>
                  <w:vAlign w:val="center"/>
                </w:tcPr>
                <w:p w14:paraId="5488785E">
                  <w:pPr>
                    <w:pStyle w:val="20"/>
                    <w:bidi w:val="0"/>
                    <w:rPr>
                      <w:rFonts w:hint="eastAsia"/>
                      <w:color w:val="auto"/>
                      <w:highlight w:val="none"/>
                      <w:lang w:val="en-US" w:eastAsia="zh-CN"/>
                    </w:rPr>
                  </w:pPr>
                  <w:r>
                    <w:rPr>
                      <w:rFonts w:hint="eastAsia"/>
                      <w:color w:val="auto"/>
                      <w:highlight w:val="none"/>
                      <w:lang w:val="en-US" w:eastAsia="zh-CN"/>
                    </w:rPr>
                    <w:t>ABS</w:t>
                  </w:r>
                </w:p>
              </w:tc>
            </w:tr>
            <w:tr w14:paraId="47657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70" w:type="pct"/>
                  <w:vMerge w:val="continue"/>
                  <w:vAlign w:val="center"/>
                </w:tcPr>
                <w:p w14:paraId="64653D7F">
                  <w:pPr>
                    <w:pStyle w:val="20"/>
                    <w:bidi w:val="0"/>
                    <w:rPr>
                      <w:rFonts w:hint="default"/>
                      <w:color w:val="auto"/>
                      <w:highlight w:val="none"/>
                    </w:rPr>
                  </w:pPr>
                </w:p>
              </w:tc>
              <w:tc>
                <w:tcPr>
                  <w:tcW w:w="495" w:type="pct"/>
                  <w:gridSpan w:val="2"/>
                  <w:vAlign w:val="center"/>
                </w:tcPr>
                <w:p w14:paraId="5A8AE279">
                  <w:pPr>
                    <w:pStyle w:val="20"/>
                    <w:bidi w:val="0"/>
                    <w:rPr>
                      <w:rFonts w:hint="default"/>
                      <w:color w:val="auto"/>
                      <w:highlight w:val="none"/>
                    </w:rPr>
                  </w:pPr>
                  <w:r>
                    <w:rPr>
                      <w:rFonts w:hint="eastAsia"/>
                      <w:color w:val="auto"/>
                      <w:highlight w:val="none"/>
                      <w:lang w:val="en-US" w:eastAsia="zh-CN"/>
                    </w:rPr>
                    <w:t>镜壳</w:t>
                  </w:r>
                </w:p>
              </w:tc>
              <w:tc>
                <w:tcPr>
                  <w:tcW w:w="801" w:type="pct"/>
                  <w:vAlign w:val="center"/>
                </w:tcPr>
                <w:p w14:paraId="7404A2F9">
                  <w:pPr>
                    <w:pStyle w:val="20"/>
                    <w:bidi w:val="0"/>
                    <w:rPr>
                      <w:rFonts w:hint="eastAsia"/>
                      <w:color w:val="auto"/>
                      <w:highlight w:val="none"/>
                      <w:lang w:val="en-US" w:eastAsia="zh-CN"/>
                    </w:rPr>
                  </w:pPr>
                  <w:r>
                    <w:rPr>
                      <w:rFonts w:hint="eastAsia"/>
                      <w:color w:val="auto"/>
                      <w:highlight w:val="none"/>
                      <w:lang w:val="en-US" w:eastAsia="zh-CN"/>
                    </w:rPr>
                    <w:t>16</w:t>
                  </w:r>
                </w:p>
              </w:tc>
              <w:tc>
                <w:tcPr>
                  <w:tcW w:w="747" w:type="pct"/>
                  <w:vAlign w:val="center"/>
                </w:tcPr>
                <w:p w14:paraId="18254786">
                  <w:pPr>
                    <w:pStyle w:val="20"/>
                    <w:bidi w:val="0"/>
                    <w:rPr>
                      <w:rFonts w:hint="default"/>
                      <w:color w:val="auto"/>
                      <w:highlight w:val="none"/>
                      <w:lang w:val="en-US" w:eastAsia="zh-CN"/>
                    </w:rPr>
                  </w:pPr>
                  <w:r>
                    <w:rPr>
                      <w:rFonts w:hint="eastAsia"/>
                      <w:color w:val="auto"/>
                      <w:highlight w:val="none"/>
                      <w:lang w:val="en-US" w:eastAsia="zh-CN"/>
                    </w:rPr>
                    <w:t>72</w:t>
                  </w:r>
                </w:p>
              </w:tc>
              <w:tc>
                <w:tcPr>
                  <w:tcW w:w="657" w:type="pct"/>
                  <w:vAlign w:val="center"/>
                </w:tcPr>
                <w:p w14:paraId="7F899A63">
                  <w:pPr>
                    <w:pStyle w:val="20"/>
                    <w:bidi w:val="0"/>
                    <w:rPr>
                      <w:rFonts w:hint="default"/>
                      <w:color w:val="auto"/>
                      <w:highlight w:val="none"/>
                      <w:lang w:val="en-US"/>
                    </w:rPr>
                  </w:pPr>
                  <w:r>
                    <w:rPr>
                      <w:rFonts w:hint="eastAsia"/>
                      <w:color w:val="auto"/>
                      <w:highlight w:val="none"/>
                      <w:lang w:val="en-US" w:eastAsia="zh-CN"/>
                    </w:rPr>
                    <w:t>约120g/件</w:t>
                  </w:r>
                </w:p>
              </w:tc>
              <w:tc>
                <w:tcPr>
                  <w:tcW w:w="477" w:type="pct"/>
                  <w:vAlign w:val="center"/>
                </w:tcPr>
                <w:p w14:paraId="35017172">
                  <w:pPr>
                    <w:pStyle w:val="20"/>
                    <w:bidi w:val="0"/>
                    <w:rPr>
                      <w:rFonts w:hint="default"/>
                      <w:color w:val="auto"/>
                      <w:highlight w:val="none"/>
                      <w:lang w:val="en-US" w:eastAsia="zh-CN"/>
                    </w:rPr>
                  </w:pPr>
                  <w:r>
                    <w:rPr>
                      <w:rFonts w:hint="eastAsia"/>
                      <w:color w:val="auto"/>
                      <w:highlight w:val="none"/>
                      <w:lang w:val="en-US" w:eastAsia="zh-CN"/>
                    </w:rPr>
                    <w:t>86.4</w:t>
                  </w:r>
                </w:p>
              </w:tc>
              <w:tc>
                <w:tcPr>
                  <w:tcW w:w="1071" w:type="pct"/>
                  <w:vAlign w:val="center"/>
                </w:tcPr>
                <w:p w14:paraId="15384F87">
                  <w:pPr>
                    <w:pStyle w:val="20"/>
                    <w:keepNext w:val="0"/>
                    <w:keepLines w:val="0"/>
                    <w:suppressLineNumbers w:val="0"/>
                    <w:bidi w:val="0"/>
                    <w:spacing w:before="0" w:beforeAutospacing="0" w:after="0" w:afterAutospacing="0"/>
                    <w:ind w:left="0" w:right="0"/>
                    <w:rPr>
                      <w:rFonts w:hint="default"/>
                      <w:color w:val="auto"/>
                      <w:highlight w:val="none"/>
                    </w:rPr>
                  </w:pPr>
                  <w:r>
                    <w:rPr>
                      <w:color w:val="auto"/>
                      <w:highlight w:val="none"/>
                    </w:rPr>
                    <w:drawing>
                      <wp:inline distT="0" distB="0" distL="114300" distR="114300">
                        <wp:extent cx="1080135" cy="720090"/>
                        <wp:effectExtent l="0" t="0" r="5715" b="3810"/>
                        <wp:docPr id="19" name="图片 11"/>
                        <wp:cNvGraphicFramePr/>
                        <a:graphic xmlns:a="http://schemas.openxmlformats.org/drawingml/2006/main">
                          <a:graphicData uri="http://schemas.openxmlformats.org/drawingml/2006/picture">
                            <pic:pic xmlns:pic="http://schemas.openxmlformats.org/drawingml/2006/picture">
                              <pic:nvPicPr>
                                <pic:cNvPr id="19" name="图片 11"/>
                                <pic:cNvPicPr/>
                              </pic:nvPicPr>
                              <pic:blipFill>
                                <a:blip r:embed="rId12"/>
                                <a:stretch>
                                  <a:fillRect/>
                                </a:stretch>
                              </pic:blipFill>
                              <pic:spPr>
                                <a:xfrm>
                                  <a:off x="0" y="0"/>
                                  <a:ext cx="1080135" cy="720090"/>
                                </a:xfrm>
                                <a:prstGeom prst="rect">
                                  <a:avLst/>
                                </a:prstGeom>
                                <a:noFill/>
                                <a:ln>
                                  <a:noFill/>
                                </a:ln>
                              </pic:spPr>
                            </pic:pic>
                          </a:graphicData>
                        </a:graphic>
                      </wp:inline>
                    </w:drawing>
                  </w:r>
                </w:p>
              </w:tc>
              <w:tc>
                <w:tcPr>
                  <w:tcW w:w="477" w:type="pct"/>
                  <w:vAlign w:val="center"/>
                </w:tcPr>
                <w:p w14:paraId="551F1A9F">
                  <w:pPr>
                    <w:pStyle w:val="20"/>
                    <w:bidi w:val="0"/>
                    <w:rPr>
                      <w:color w:val="auto"/>
                      <w:highlight w:val="none"/>
                    </w:rPr>
                  </w:pPr>
                  <w:r>
                    <w:rPr>
                      <w:rFonts w:hint="eastAsia"/>
                      <w:color w:val="auto"/>
                      <w:highlight w:val="none"/>
                      <w:lang w:val="en-US" w:eastAsia="zh-CN"/>
                    </w:rPr>
                    <w:t>ABS</w:t>
                  </w:r>
                </w:p>
              </w:tc>
            </w:tr>
            <w:tr w14:paraId="6E8D7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70" w:type="pct"/>
                  <w:vMerge w:val="continue"/>
                  <w:shd w:val="clear" w:color="auto" w:fill="auto"/>
                  <w:vAlign w:val="center"/>
                </w:tcPr>
                <w:p w14:paraId="768FE5F9">
                  <w:pPr>
                    <w:pStyle w:val="20"/>
                    <w:bidi w:val="0"/>
                    <w:rPr>
                      <w:rFonts w:hint="default"/>
                      <w:color w:val="auto"/>
                      <w:highlight w:val="none"/>
                    </w:rPr>
                  </w:pPr>
                </w:p>
              </w:tc>
              <w:tc>
                <w:tcPr>
                  <w:tcW w:w="495" w:type="pct"/>
                  <w:gridSpan w:val="2"/>
                  <w:shd w:val="clear" w:color="auto" w:fill="auto"/>
                  <w:vAlign w:val="center"/>
                </w:tcPr>
                <w:p w14:paraId="596714BD">
                  <w:pPr>
                    <w:pStyle w:val="20"/>
                    <w:bidi w:val="0"/>
                    <w:rPr>
                      <w:rFonts w:hint="default"/>
                      <w:color w:val="auto"/>
                      <w:highlight w:val="none"/>
                      <w:lang w:val="en-US" w:eastAsia="zh-CN"/>
                    </w:rPr>
                  </w:pPr>
                  <w:r>
                    <w:rPr>
                      <w:rFonts w:hint="eastAsia"/>
                      <w:color w:val="auto"/>
                      <w:highlight w:val="none"/>
                      <w:lang w:val="en-US" w:eastAsia="zh-CN"/>
                    </w:rPr>
                    <w:t>护罩</w:t>
                  </w:r>
                </w:p>
              </w:tc>
              <w:tc>
                <w:tcPr>
                  <w:tcW w:w="801" w:type="pct"/>
                  <w:shd w:val="clear" w:color="auto" w:fill="auto"/>
                  <w:vAlign w:val="center"/>
                </w:tcPr>
                <w:p w14:paraId="2B9B156F">
                  <w:pPr>
                    <w:pStyle w:val="20"/>
                    <w:bidi w:val="0"/>
                    <w:rPr>
                      <w:rFonts w:hint="eastAsia"/>
                      <w:color w:val="auto"/>
                      <w:highlight w:val="none"/>
                      <w:lang w:val="en-US" w:eastAsia="zh-CN"/>
                    </w:rPr>
                  </w:pPr>
                  <w:r>
                    <w:rPr>
                      <w:rFonts w:hint="eastAsia"/>
                      <w:color w:val="auto"/>
                      <w:highlight w:val="none"/>
                      <w:lang w:val="en-US" w:eastAsia="zh-CN"/>
                    </w:rPr>
                    <w:t>16</w:t>
                  </w:r>
                </w:p>
              </w:tc>
              <w:tc>
                <w:tcPr>
                  <w:tcW w:w="747" w:type="pct"/>
                  <w:shd w:val="clear" w:color="auto" w:fill="auto"/>
                  <w:vAlign w:val="center"/>
                </w:tcPr>
                <w:p w14:paraId="42FEC37F">
                  <w:pPr>
                    <w:pStyle w:val="20"/>
                    <w:bidi w:val="0"/>
                    <w:rPr>
                      <w:rFonts w:hint="eastAsia"/>
                      <w:color w:val="auto"/>
                      <w:highlight w:val="none"/>
                      <w:lang w:val="en-US" w:eastAsia="zh-CN"/>
                    </w:rPr>
                  </w:pPr>
                  <w:r>
                    <w:rPr>
                      <w:rFonts w:hint="eastAsia"/>
                      <w:color w:val="auto"/>
                      <w:highlight w:val="none"/>
                      <w:lang w:val="en-US" w:eastAsia="zh-CN"/>
                    </w:rPr>
                    <w:t>72</w:t>
                  </w:r>
                </w:p>
              </w:tc>
              <w:tc>
                <w:tcPr>
                  <w:tcW w:w="657" w:type="pct"/>
                  <w:shd w:val="clear" w:color="auto" w:fill="auto"/>
                  <w:vAlign w:val="center"/>
                </w:tcPr>
                <w:p w14:paraId="5B01EBDB">
                  <w:pPr>
                    <w:pStyle w:val="20"/>
                    <w:bidi w:val="0"/>
                    <w:rPr>
                      <w:rFonts w:hint="eastAsia"/>
                      <w:color w:val="auto"/>
                      <w:highlight w:val="none"/>
                      <w:lang w:val="en-US" w:eastAsia="zh-CN"/>
                    </w:rPr>
                  </w:pPr>
                  <w:r>
                    <w:rPr>
                      <w:rFonts w:hint="eastAsia"/>
                      <w:color w:val="auto"/>
                      <w:highlight w:val="none"/>
                      <w:lang w:val="en-US" w:eastAsia="zh-CN"/>
                    </w:rPr>
                    <w:t>约70g/件</w:t>
                  </w:r>
                </w:p>
              </w:tc>
              <w:tc>
                <w:tcPr>
                  <w:tcW w:w="477" w:type="pct"/>
                  <w:shd w:val="clear" w:color="auto" w:fill="auto"/>
                  <w:vAlign w:val="center"/>
                </w:tcPr>
                <w:p w14:paraId="7C1F3F71">
                  <w:pPr>
                    <w:pStyle w:val="20"/>
                    <w:bidi w:val="0"/>
                    <w:rPr>
                      <w:rFonts w:hint="default"/>
                      <w:color w:val="auto"/>
                      <w:highlight w:val="none"/>
                      <w:lang w:val="en-US" w:eastAsia="zh-CN"/>
                    </w:rPr>
                  </w:pPr>
                  <w:r>
                    <w:rPr>
                      <w:rFonts w:hint="eastAsia"/>
                      <w:color w:val="auto"/>
                      <w:highlight w:val="none"/>
                      <w:lang w:val="en-US" w:eastAsia="zh-CN"/>
                    </w:rPr>
                    <w:t>50.4</w:t>
                  </w:r>
                </w:p>
              </w:tc>
              <w:tc>
                <w:tcPr>
                  <w:tcW w:w="1071" w:type="pct"/>
                  <w:shd w:val="clear" w:color="auto" w:fill="auto"/>
                  <w:vAlign w:val="center"/>
                </w:tcPr>
                <w:p w14:paraId="3FB94686">
                  <w:pPr>
                    <w:pStyle w:val="20"/>
                    <w:keepNext w:val="0"/>
                    <w:keepLines w:val="0"/>
                    <w:suppressLineNumbers w:val="0"/>
                    <w:bidi w:val="0"/>
                    <w:spacing w:before="0" w:beforeAutospacing="0" w:after="0" w:afterAutospacing="0"/>
                    <w:ind w:left="0" w:leftChars="0" w:right="0" w:rightChars="0"/>
                    <w:rPr>
                      <w:rFonts w:hint="default" w:ascii="Times New Roman" w:hAnsi="Times New Roman" w:eastAsia="宋体" w:cs="宋体"/>
                      <w:color w:val="auto"/>
                      <w:kern w:val="2"/>
                      <w:sz w:val="21"/>
                      <w:szCs w:val="21"/>
                      <w:highlight w:val="none"/>
                      <w:lang w:val="en-US" w:eastAsia="zh-CN" w:bidi="ar-SA"/>
                    </w:rPr>
                  </w:pPr>
                  <w:r>
                    <w:rPr>
                      <w:color w:val="auto"/>
                      <w:highlight w:val="none"/>
                    </w:rPr>
                    <w:drawing>
                      <wp:inline distT="0" distB="0" distL="114300" distR="114300">
                        <wp:extent cx="1080135" cy="720090"/>
                        <wp:effectExtent l="0" t="0" r="5715" b="3810"/>
                        <wp:docPr id="20" name="图片 12"/>
                        <wp:cNvGraphicFramePr/>
                        <a:graphic xmlns:a="http://schemas.openxmlformats.org/drawingml/2006/main">
                          <a:graphicData uri="http://schemas.openxmlformats.org/drawingml/2006/picture">
                            <pic:pic xmlns:pic="http://schemas.openxmlformats.org/drawingml/2006/picture">
                              <pic:nvPicPr>
                                <pic:cNvPr id="20" name="图片 12"/>
                                <pic:cNvPicPr/>
                              </pic:nvPicPr>
                              <pic:blipFill>
                                <a:blip r:embed="rId13"/>
                                <a:stretch>
                                  <a:fillRect/>
                                </a:stretch>
                              </pic:blipFill>
                              <pic:spPr>
                                <a:xfrm>
                                  <a:off x="0" y="0"/>
                                  <a:ext cx="1080135" cy="720090"/>
                                </a:xfrm>
                                <a:prstGeom prst="rect">
                                  <a:avLst/>
                                </a:prstGeom>
                                <a:noFill/>
                                <a:ln>
                                  <a:noFill/>
                                </a:ln>
                              </pic:spPr>
                            </pic:pic>
                          </a:graphicData>
                        </a:graphic>
                      </wp:inline>
                    </w:drawing>
                  </w:r>
                </w:p>
              </w:tc>
              <w:tc>
                <w:tcPr>
                  <w:tcW w:w="477" w:type="pct"/>
                  <w:shd w:val="clear" w:color="auto" w:fill="auto"/>
                  <w:vAlign w:val="center"/>
                </w:tcPr>
                <w:p w14:paraId="40389DA3">
                  <w:pPr>
                    <w:pStyle w:val="20"/>
                    <w:keepNext w:val="0"/>
                    <w:keepLines w:val="0"/>
                    <w:suppressLineNumbers w:val="0"/>
                    <w:bidi w:val="0"/>
                    <w:spacing w:before="0" w:beforeAutospacing="0" w:after="0" w:afterAutospacing="0"/>
                    <w:ind w:left="0" w:leftChars="0" w:right="0" w:rightChars="0"/>
                    <w:rPr>
                      <w:rFonts w:hint="eastAsia" w:eastAsia="宋体"/>
                      <w:color w:val="auto"/>
                      <w:highlight w:val="none"/>
                      <w:lang w:val="en-US" w:eastAsia="zh-CN"/>
                    </w:rPr>
                  </w:pPr>
                  <w:r>
                    <w:rPr>
                      <w:rFonts w:hint="eastAsia"/>
                      <w:color w:val="auto"/>
                      <w:highlight w:val="none"/>
                      <w:lang w:val="en-US" w:eastAsia="zh-CN"/>
                    </w:rPr>
                    <w:t>PP</w:t>
                  </w:r>
                </w:p>
              </w:tc>
            </w:tr>
            <w:tr w14:paraId="706F4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70" w:type="pct"/>
                  <w:vMerge w:val="continue"/>
                  <w:vAlign w:val="center"/>
                </w:tcPr>
                <w:p w14:paraId="5615C282">
                  <w:pPr>
                    <w:pStyle w:val="20"/>
                    <w:bidi w:val="0"/>
                    <w:rPr>
                      <w:rFonts w:hint="default"/>
                      <w:color w:val="auto"/>
                      <w:highlight w:val="none"/>
                    </w:rPr>
                  </w:pPr>
                </w:p>
              </w:tc>
              <w:tc>
                <w:tcPr>
                  <w:tcW w:w="495" w:type="pct"/>
                  <w:gridSpan w:val="2"/>
                  <w:vAlign w:val="center"/>
                </w:tcPr>
                <w:p w14:paraId="526B8C0B">
                  <w:pPr>
                    <w:pStyle w:val="20"/>
                    <w:bidi w:val="0"/>
                    <w:rPr>
                      <w:rFonts w:hint="default"/>
                      <w:color w:val="auto"/>
                      <w:highlight w:val="none"/>
                    </w:rPr>
                  </w:pPr>
                  <w:r>
                    <w:rPr>
                      <w:rFonts w:hint="eastAsia"/>
                      <w:color w:val="auto"/>
                      <w:highlight w:val="none"/>
                      <w:lang w:val="en-US" w:eastAsia="zh-CN"/>
                    </w:rPr>
                    <w:t>镜圈</w:t>
                  </w:r>
                </w:p>
              </w:tc>
              <w:tc>
                <w:tcPr>
                  <w:tcW w:w="801" w:type="pct"/>
                  <w:vAlign w:val="center"/>
                </w:tcPr>
                <w:p w14:paraId="0B6BE343">
                  <w:pPr>
                    <w:pStyle w:val="20"/>
                    <w:bidi w:val="0"/>
                    <w:rPr>
                      <w:rFonts w:hint="eastAsia"/>
                      <w:color w:val="auto"/>
                      <w:highlight w:val="none"/>
                      <w:lang w:val="en-US" w:eastAsia="zh-CN"/>
                    </w:rPr>
                  </w:pPr>
                  <w:r>
                    <w:rPr>
                      <w:rFonts w:hint="eastAsia"/>
                      <w:color w:val="auto"/>
                      <w:highlight w:val="none"/>
                      <w:lang w:val="en-US" w:eastAsia="zh-CN"/>
                    </w:rPr>
                    <w:t>16</w:t>
                  </w:r>
                </w:p>
              </w:tc>
              <w:tc>
                <w:tcPr>
                  <w:tcW w:w="747" w:type="pct"/>
                  <w:vAlign w:val="center"/>
                </w:tcPr>
                <w:p w14:paraId="42769725">
                  <w:pPr>
                    <w:pStyle w:val="20"/>
                    <w:bidi w:val="0"/>
                    <w:rPr>
                      <w:rFonts w:hint="eastAsia"/>
                      <w:color w:val="auto"/>
                      <w:highlight w:val="none"/>
                      <w:lang w:val="en-US" w:eastAsia="zh-CN"/>
                    </w:rPr>
                  </w:pPr>
                  <w:r>
                    <w:rPr>
                      <w:rFonts w:hint="eastAsia"/>
                      <w:color w:val="auto"/>
                      <w:highlight w:val="none"/>
                      <w:lang w:val="en-US" w:eastAsia="zh-CN"/>
                    </w:rPr>
                    <w:t>72</w:t>
                  </w:r>
                </w:p>
              </w:tc>
              <w:tc>
                <w:tcPr>
                  <w:tcW w:w="657" w:type="pct"/>
                  <w:vAlign w:val="center"/>
                </w:tcPr>
                <w:p w14:paraId="21E42CE6">
                  <w:pPr>
                    <w:pStyle w:val="20"/>
                    <w:bidi w:val="0"/>
                    <w:rPr>
                      <w:rFonts w:hint="default"/>
                      <w:color w:val="auto"/>
                      <w:highlight w:val="none"/>
                      <w:lang w:val="en-US" w:eastAsia="zh-CN"/>
                    </w:rPr>
                  </w:pPr>
                  <w:r>
                    <w:rPr>
                      <w:rFonts w:hint="eastAsia"/>
                      <w:color w:val="auto"/>
                      <w:highlight w:val="none"/>
                      <w:lang w:val="en-US" w:eastAsia="zh-CN"/>
                    </w:rPr>
                    <w:t>约110g/件</w:t>
                  </w:r>
                </w:p>
              </w:tc>
              <w:tc>
                <w:tcPr>
                  <w:tcW w:w="477" w:type="pct"/>
                  <w:vAlign w:val="center"/>
                </w:tcPr>
                <w:p w14:paraId="7D7C7C66">
                  <w:pPr>
                    <w:pStyle w:val="20"/>
                    <w:bidi w:val="0"/>
                    <w:rPr>
                      <w:rFonts w:hint="default"/>
                      <w:color w:val="auto"/>
                      <w:highlight w:val="none"/>
                      <w:lang w:val="en-US" w:eastAsia="zh-CN"/>
                    </w:rPr>
                  </w:pPr>
                  <w:r>
                    <w:rPr>
                      <w:rFonts w:hint="eastAsia"/>
                      <w:color w:val="auto"/>
                      <w:highlight w:val="none"/>
                      <w:lang w:val="en-US" w:eastAsia="zh-CN"/>
                    </w:rPr>
                    <w:t>79.2</w:t>
                  </w:r>
                </w:p>
              </w:tc>
              <w:tc>
                <w:tcPr>
                  <w:tcW w:w="1071" w:type="pct"/>
                  <w:vAlign w:val="center"/>
                </w:tcPr>
                <w:p w14:paraId="46DD7706">
                  <w:pPr>
                    <w:pStyle w:val="20"/>
                    <w:keepNext w:val="0"/>
                    <w:keepLines w:val="0"/>
                    <w:suppressLineNumbers w:val="0"/>
                    <w:bidi w:val="0"/>
                    <w:spacing w:before="0" w:beforeAutospacing="0" w:after="0" w:afterAutospacing="0"/>
                    <w:ind w:left="0" w:right="0"/>
                    <w:rPr>
                      <w:rFonts w:hint="default"/>
                      <w:color w:val="auto"/>
                      <w:highlight w:val="none"/>
                    </w:rPr>
                  </w:pPr>
                  <w:r>
                    <w:rPr>
                      <w:color w:val="auto"/>
                      <w:highlight w:val="none"/>
                    </w:rPr>
                    <w:drawing>
                      <wp:inline distT="0" distB="0" distL="114300" distR="114300">
                        <wp:extent cx="1080135" cy="720090"/>
                        <wp:effectExtent l="0" t="0" r="5715" b="3810"/>
                        <wp:docPr id="21" name="图片 13"/>
                        <wp:cNvGraphicFramePr/>
                        <a:graphic xmlns:a="http://schemas.openxmlformats.org/drawingml/2006/main">
                          <a:graphicData uri="http://schemas.openxmlformats.org/drawingml/2006/picture">
                            <pic:pic xmlns:pic="http://schemas.openxmlformats.org/drawingml/2006/picture">
                              <pic:nvPicPr>
                                <pic:cNvPr id="21" name="图片 13"/>
                                <pic:cNvPicPr/>
                              </pic:nvPicPr>
                              <pic:blipFill>
                                <a:blip r:embed="rId14"/>
                                <a:stretch>
                                  <a:fillRect/>
                                </a:stretch>
                              </pic:blipFill>
                              <pic:spPr>
                                <a:xfrm>
                                  <a:off x="0" y="0"/>
                                  <a:ext cx="1080135" cy="720090"/>
                                </a:xfrm>
                                <a:prstGeom prst="rect">
                                  <a:avLst/>
                                </a:prstGeom>
                                <a:noFill/>
                                <a:ln>
                                  <a:noFill/>
                                </a:ln>
                              </pic:spPr>
                            </pic:pic>
                          </a:graphicData>
                        </a:graphic>
                      </wp:inline>
                    </w:drawing>
                  </w:r>
                </w:p>
              </w:tc>
              <w:tc>
                <w:tcPr>
                  <w:tcW w:w="477" w:type="pct"/>
                  <w:vAlign w:val="center"/>
                </w:tcPr>
                <w:p w14:paraId="0B038D19">
                  <w:pPr>
                    <w:pStyle w:val="20"/>
                    <w:keepNext w:val="0"/>
                    <w:keepLines w:val="0"/>
                    <w:suppressLineNumbers w:val="0"/>
                    <w:bidi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ASA</w:t>
                  </w:r>
                </w:p>
              </w:tc>
            </w:tr>
            <w:tr w14:paraId="48B68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70" w:type="pct"/>
                  <w:vMerge w:val="continue"/>
                  <w:vAlign w:val="center"/>
                </w:tcPr>
                <w:p w14:paraId="75027DFC">
                  <w:pPr>
                    <w:pStyle w:val="20"/>
                    <w:bidi w:val="0"/>
                    <w:rPr>
                      <w:rFonts w:hint="default"/>
                      <w:color w:val="auto"/>
                      <w:highlight w:val="none"/>
                    </w:rPr>
                  </w:pPr>
                </w:p>
              </w:tc>
              <w:tc>
                <w:tcPr>
                  <w:tcW w:w="495" w:type="pct"/>
                  <w:gridSpan w:val="2"/>
                  <w:vAlign w:val="center"/>
                </w:tcPr>
                <w:p w14:paraId="7CC3324D">
                  <w:pPr>
                    <w:pStyle w:val="20"/>
                    <w:bidi w:val="0"/>
                    <w:rPr>
                      <w:rFonts w:hint="default"/>
                      <w:color w:val="auto"/>
                      <w:highlight w:val="none"/>
                    </w:rPr>
                  </w:pPr>
                  <w:r>
                    <w:rPr>
                      <w:rFonts w:hint="eastAsia"/>
                      <w:color w:val="auto"/>
                      <w:highlight w:val="none"/>
                      <w:lang w:val="en-US" w:eastAsia="zh-CN"/>
                    </w:rPr>
                    <w:t>电折基板</w:t>
                  </w:r>
                </w:p>
              </w:tc>
              <w:tc>
                <w:tcPr>
                  <w:tcW w:w="801" w:type="pct"/>
                  <w:vAlign w:val="center"/>
                </w:tcPr>
                <w:p w14:paraId="15EECCAB">
                  <w:pPr>
                    <w:pStyle w:val="20"/>
                    <w:bidi w:val="0"/>
                    <w:rPr>
                      <w:rFonts w:hint="default"/>
                      <w:color w:val="auto"/>
                      <w:highlight w:val="none"/>
                      <w:lang w:val="en-US" w:eastAsia="zh-CN"/>
                    </w:rPr>
                  </w:pPr>
                  <w:r>
                    <w:rPr>
                      <w:rFonts w:hint="eastAsia"/>
                      <w:color w:val="auto"/>
                      <w:highlight w:val="none"/>
                      <w:lang w:val="en-US" w:eastAsia="zh-CN"/>
                    </w:rPr>
                    <w:t>16</w:t>
                  </w:r>
                </w:p>
              </w:tc>
              <w:tc>
                <w:tcPr>
                  <w:tcW w:w="747" w:type="pct"/>
                  <w:vAlign w:val="center"/>
                </w:tcPr>
                <w:p w14:paraId="3F41372C">
                  <w:pPr>
                    <w:pStyle w:val="20"/>
                    <w:bidi w:val="0"/>
                    <w:rPr>
                      <w:rFonts w:hint="eastAsia"/>
                      <w:color w:val="auto"/>
                      <w:highlight w:val="none"/>
                      <w:lang w:val="en-US" w:eastAsia="zh-CN"/>
                    </w:rPr>
                  </w:pPr>
                  <w:r>
                    <w:rPr>
                      <w:rFonts w:hint="eastAsia"/>
                      <w:color w:val="auto"/>
                      <w:highlight w:val="none"/>
                      <w:lang w:val="en-US" w:eastAsia="zh-CN"/>
                    </w:rPr>
                    <w:t>72</w:t>
                  </w:r>
                </w:p>
              </w:tc>
              <w:tc>
                <w:tcPr>
                  <w:tcW w:w="657" w:type="pct"/>
                  <w:vAlign w:val="center"/>
                </w:tcPr>
                <w:p w14:paraId="6A2F4995">
                  <w:pPr>
                    <w:pStyle w:val="20"/>
                    <w:bidi w:val="0"/>
                    <w:rPr>
                      <w:rFonts w:hint="default"/>
                      <w:color w:val="auto"/>
                      <w:highlight w:val="none"/>
                      <w:lang w:val="en-US" w:eastAsia="zh-CN"/>
                    </w:rPr>
                  </w:pPr>
                  <w:r>
                    <w:rPr>
                      <w:rFonts w:hint="eastAsia"/>
                      <w:color w:val="auto"/>
                      <w:highlight w:val="none"/>
                      <w:lang w:val="en-US" w:eastAsia="zh-CN"/>
                    </w:rPr>
                    <w:t>约220g/件</w:t>
                  </w:r>
                </w:p>
              </w:tc>
              <w:tc>
                <w:tcPr>
                  <w:tcW w:w="477" w:type="pct"/>
                  <w:vAlign w:val="center"/>
                </w:tcPr>
                <w:p w14:paraId="1F6D2F0B">
                  <w:pPr>
                    <w:pStyle w:val="20"/>
                    <w:bidi w:val="0"/>
                    <w:rPr>
                      <w:rFonts w:hint="default"/>
                      <w:color w:val="auto"/>
                      <w:highlight w:val="none"/>
                      <w:lang w:val="en-US" w:eastAsia="zh-CN"/>
                    </w:rPr>
                  </w:pPr>
                  <w:r>
                    <w:rPr>
                      <w:rFonts w:hint="eastAsia"/>
                      <w:color w:val="auto"/>
                      <w:highlight w:val="none"/>
                      <w:lang w:val="en-US" w:eastAsia="zh-CN"/>
                    </w:rPr>
                    <w:t>158.4</w:t>
                  </w:r>
                </w:p>
              </w:tc>
              <w:tc>
                <w:tcPr>
                  <w:tcW w:w="1071" w:type="pct"/>
                  <w:vAlign w:val="center"/>
                </w:tcPr>
                <w:p w14:paraId="2875EE1C">
                  <w:pPr>
                    <w:pStyle w:val="20"/>
                    <w:keepNext w:val="0"/>
                    <w:keepLines w:val="0"/>
                    <w:suppressLineNumbers w:val="0"/>
                    <w:bidi w:val="0"/>
                    <w:spacing w:before="0" w:beforeAutospacing="0" w:after="0" w:afterAutospacing="0"/>
                    <w:ind w:left="0" w:right="0"/>
                    <w:rPr>
                      <w:rFonts w:hint="default"/>
                      <w:color w:val="auto"/>
                      <w:highlight w:val="none"/>
                    </w:rPr>
                  </w:pPr>
                  <w:r>
                    <w:rPr>
                      <w:color w:val="auto"/>
                      <w:highlight w:val="none"/>
                    </w:rPr>
                    <w:drawing>
                      <wp:inline distT="0" distB="0" distL="114300" distR="114300">
                        <wp:extent cx="1080135" cy="720090"/>
                        <wp:effectExtent l="0" t="0" r="5715" b="3810"/>
                        <wp:docPr id="22" name="图片 14"/>
                        <wp:cNvGraphicFramePr/>
                        <a:graphic xmlns:a="http://schemas.openxmlformats.org/drawingml/2006/main">
                          <a:graphicData uri="http://schemas.openxmlformats.org/drawingml/2006/picture">
                            <pic:pic xmlns:pic="http://schemas.openxmlformats.org/drawingml/2006/picture">
                              <pic:nvPicPr>
                                <pic:cNvPr id="22" name="图片 14"/>
                                <pic:cNvPicPr/>
                              </pic:nvPicPr>
                              <pic:blipFill>
                                <a:blip r:embed="rId15"/>
                                <a:stretch>
                                  <a:fillRect/>
                                </a:stretch>
                              </pic:blipFill>
                              <pic:spPr>
                                <a:xfrm>
                                  <a:off x="0" y="0"/>
                                  <a:ext cx="1080135" cy="720090"/>
                                </a:xfrm>
                                <a:prstGeom prst="rect">
                                  <a:avLst/>
                                </a:prstGeom>
                                <a:noFill/>
                                <a:ln>
                                  <a:noFill/>
                                </a:ln>
                              </pic:spPr>
                            </pic:pic>
                          </a:graphicData>
                        </a:graphic>
                      </wp:inline>
                    </w:drawing>
                  </w:r>
                </w:p>
              </w:tc>
              <w:tc>
                <w:tcPr>
                  <w:tcW w:w="477" w:type="pct"/>
                  <w:vAlign w:val="center"/>
                </w:tcPr>
                <w:p w14:paraId="49CBB3CD">
                  <w:pPr>
                    <w:pStyle w:val="20"/>
                    <w:keepNext w:val="0"/>
                    <w:keepLines w:val="0"/>
                    <w:suppressLineNumbers w:val="0"/>
                    <w:bidi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ASA</w:t>
                  </w:r>
                </w:p>
              </w:tc>
            </w:tr>
            <w:tr w14:paraId="6E151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70" w:type="pct"/>
                  <w:vMerge w:val="continue"/>
                  <w:vAlign w:val="center"/>
                </w:tcPr>
                <w:p w14:paraId="579D077F">
                  <w:pPr>
                    <w:pStyle w:val="20"/>
                    <w:bidi w:val="0"/>
                    <w:rPr>
                      <w:rFonts w:hint="default"/>
                      <w:color w:val="auto"/>
                      <w:highlight w:val="none"/>
                    </w:rPr>
                  </w:pPr>
                </w:p>
              </w:tc>
              <w:tc>
                <w:tcPr>
                  <w:tcW w:w="495" w:type="pct"/>
                  <w:gridSpan w:val="2"/>
                  <w:vAlign w:val="center"/>
                </w:tcPr>
                <w:p w14:paraId="1DD27381">
                  <w:pPr>
                    <w:pStyle w:val="20"/>
                    <w:bidi w:val="0"/>
                    <w:rPr>
                      <w:rFonts w:hint="default"/>
                      <w:color w:val="auto"/>
                      <w:highlight w:val="none"/>
                      <w:lang w:val="en-US" w:eastAsia="zh-CN"/>
                    </w:rPr>
                  </w:pPr>
                  <w:r>
                    <w:rPr>
                      <w:rFonts w:hint="eastAsia"/>
                      <w:color w:val="auto"/>
                      <w:highlight w:val="none"/>
                      <w:lang w:val="en-US" w:eastAsia="zh-CN"/>
                    </w:rPr>
                    <w:t>合计</w:t>
                  </w:r>
                </w:p>
              </w:tc>
              <w:tc>
                <w:tcPr>
                  <w:tcW w:w="801" w:type="pct"/>
                  <w:vAlign w:val="center"/>
                </w:tcPr>
                <w:p w14:paraId="202EF069">
                  <w:pPr>
                    <w:pStyle w:val="20"/>
                    <w:bidi w:val="0"/>
                    <w:rPr>
                      <w:rFonts w:hint="default"/>
                      <w:color w:val="auto"/>
                      <w:highlight w:val="none"/>
                      <w:lang w:val="en-US" w:eastAsia="zh-CN"/>
                    </w:rPr>
                  </w:pPr>
                  <w:r>
                    <w:rPr>
                      <w:rFonts w:hint="eastAsia"/>
                      <w:color w:val="auto"/>
                      <w:highlight w:val="none"/>
                      <w:lang w:val="en-US" w:eastAsia="zh-CN"/>
                    </w:rPr>
                    <w:t>16万套，80万件</w:t>
                  </w:r>
                </w:p>
              </w:tc>
              <w:tc>
                <w:tcPr>
                  <w:tcW w:w="747" w:type="pct"/>
                  <w:vAlign w:val="center"/>
                </w:tcPr>
                <w:p w14:paraId="41287BA6">
                  <w:pPr>
                    <w:pStyle w:val="20"/>
                    <w:bidi w:val="0"/>
                    <w:rPr>
                      <w:rFonts w:hint="default"/>
                      <w:color w:val="auto"/>
                      <w:highlight w:val="none"/>
                      <w:lang w:val="en-US" w:eastAsia="zh-CN"/>
                    </w:rPr>
                  </w:pPr>
                  <w:r>
                    <w:rPr>
                      <w:rFonts w:hint="eastAsia"/>
                      <w:color w:val="auto"/>
                      <w:highlight w:val="none"/>
                      <w:lang w:val="en-US" w:eastAsia="zh-CN"/>
                    </w:rPr>
                    <w:t>72万套，360万件，</w:t>
                  </w:r>
                </w:p>
              </w:tc>
              <w:tc>
                <w:tcPr>
                  <w:tcW w:w="657" w:type="pct"/>
                  <w:vAlign w:val="center"/>
                </w:tcPr>
                <w:p w14:paraId="3BDBE8F1">
                  <w:pPr>
                    <w:pStyle w:val="20"/>
                    <w:bidi w:val="0"/>
                    <w:rPr>
                      <w:rFonts w:hint="default"/>
                      <w:color w:val="auto"/>
                      <w:highlight w:val="none"/>
                      <w:lang w:val="en-US" w:eastAsia="zh-CN"/>
                    </w:rPr>
                  </w:pPr>
                  <w:r>
                    <w:rPr>
                      <w:rFonts w:hint="eastAsia"/>
                      <w:color w:val="auto"/>
                      <w:highlight w:val="none"/>
                      <w:lang w:val="en-US" w:eastAsia="zh-CN"/>
                    </w:rPr>
                    <w:t>/</w:t>
                  </w:r>
                </w:p>
              </w:tc>
              <w:tc>
                <w:tcPr>
                  <w:tcW w:w="477" w:type="pct"/>
                  <w:vAlign w:val="center"/>
                </w:tcPr>
                <w:p w14:paraId="72068561">
                  <w:pPr>
                    <w:pStyle w:val="20"/>
                    <w:bidi w:val="0"/>
                    <w:rPr>
                      <w:rFonts w:hint="default"/>
                      <w:color w:val="auto"/>
                      <w:highlight w:val="none"/>
                      <w:lang w:val="en-US" w:eastAsia="zh-CN"/>
                    </w:rPr>
                  </w:pPr>
                  <w:r>
                    <w:rPr>
                      <w:rFonts w:hint="eastAsia"/>
                      <w:color w:val="auto"/>
                      <w:highlight w:val="none"/>
                      <w:lang w:val="en-US" w:eastAsia="zh-CN"/>
                    </w:rPr>
                    <w:t>399.6</w:t>
                  </w:r>
                </w:p>
              </w:tc>
              <w:tc>
                <w:tcPr>
                  <w:tcW w:w="1549" w:type="pct"/>
                  <w:gridSpan w:val="2"/>
                  <w:vAlign w:val="center"/>
                </w:tcPr>
                <w:p w14:paraId="0FF323EE">
                  <w:pPr>
                    <w:pStyle w:val="20"/>
                    <w:keepNext w:val="0"/>
                    <w:keepLines w:val="0"/>
                    <w:suppressLineNumbers w:val="0"/>
                    <w:bidi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1套后视镜包括镜面托板、</w:t>
                  </w:r>
                  <w:r>
                    <w:rPr>
                      <w:rFonts w:hint="eastAsia" w:eastAsia="宋体"/>
                      <w:color w:val="auto"/>
                      <w:highlight w:val="none"/>
                      <w:lang w:val="en-US" w:eastAsia="zh-CN"/>
                    </w:rPr>
                    <w:t>镜壳</w:t>
                  </w:r>
                  <w:r>
                    <w:rPr>
                      <w:rFonts w:hint="eastAsia"/>
                      <w:color w:val="auto"/>
                      <w:highlight w:val="none"/>
                      <w:lang w:val="en-US" w:eastAsia="zh-CN"/>
                    </w:rPr>
                    <w:t>、</w:t>
                  </w:r>
                  <w:r>
                    <w:rPr>
                      <w:rFonts w:hint="eastAsia" w:eastAsia="宋体"/>
                      <w:color w:val="auto"/>
                      <w:highlight w:val="none"/>
                      <w:lang w:val="en-US" w:eastAsia="zh-CN"/>
                    </w:rPr>
                    <w:t>护罩</w:t>
                  </w:r>
                  <w:r>
                    <w:rPr>
                      <w:rFonts w:hint="eastAsia"/>
                      <w:color w:val="auto"/>
                      <w:highlight w:val="none"/>
                      <w:lang w:val="en-US" w:eastAsia="zh-CN"/>
                    </w:rPr>
                    <w:t>、</w:t>
                  </w:r>
                  <w:r>
                    <w:rPr>
                      <w:rFonts w:hint="eastAsia" w:eastAsia="宋体"/>
                      <w:color w:val="auto"/>
                      <w:highlight w:val="none"/>
                      <w:lang w:val="en-US" w:eastAsia="zh-CN"/>
                    </w:rPr>
                    <w:t>镜圈</w:t>
                  </w:r>
                  <w:r>
                    <w:rPr>
                      <w:rFonts w:hint="eastAsia"/>
                      <w:color w:val="auto"/>
                      <w:highlight w:val="none"/>
                      <w:lang w:val="en-US" w:eastAsia="zh-CN"/>
                    </w:rPr>
                    <w:t>、</w:t>
                  </w:r>
                  <w:r>
                    <w:rPr>
                      <w:rFonts w:hint="eastAsia" w:eastAsia="宋体"/>
                      <w:color w:val="auto"/>
                      <w:highlight w:val="none"/>
                      <w:lang w:val="en-US" w:eastAsia="zh-CN"/>
                    </w:rPr>
                    <w:t>电折基板</w:t>
                  </w:r>
                  <w:r>
                    <w:rPr>
                      <w:rFonts w:hint="eastAsia"/>
                      <w:color w:val="auto"/>
                      <w:highlight w:val="none"/>
                      <w:lang w:val="en-US" w:eastAsia="zh-CN"/>
                    </w:rPr>
                    <w:t>各一件</w:t>
                  </w:r>
                </w:p>
              </w:tc>
            </w:tr>
            <w:tr w14:paraId="662F4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66" w:type="pct"/>
                  <w:gridSpan w:val="3"/>
                  <w:vAlign w:val="center"/>
                </w:tcPr>
                <w:p w14:paraId="4FB7D540">
                  <w:pPr>
                    <w:pStyle w:val="20"/>
                    <w:bidi w:val="0"/>
                    <w:rPr>
                      <w:rFonts w:hint="eastAsia"/>
                      <w:color w:val="auto"/>
                      <w:highlight w:val="none"/>
                      <w:lang w:val="en-US" w:eastAsia="zh-CN"/>
                    </w:rPr>
                  </w:pPr>
                  <w:r>
                    <w:rPr>
                      <w:rFonts w:hint="eastAsia"/>
                      <w:color w:val="auto"/>
                      <w:highlight w:val="none"/>
                      <w:lang w:val="en-US" w:eastAsia="zh-CN"/>
                    </w:rPr>
                    <w:t>杯架</w:t>
                  </w:r>
                </w:p>
              </w:tc>
              <w:tc>
                <w:tcPr>
                  <w:tcW w:w="801" w:type="pct"/>
                  <w:vAlign w:val="center"/>
                </w:tcPr>
                <w:p w14:paraId="68C3A55B">
                  <w:pPr>
                    <w:pStyle w:val="20"/>
                    <w:bidi w:val="0"/>
                    <w:rPr>
                      <w:rFonts w:hint="default"/>
                      <w:color w:val="auto"/>
                      <w:highlight w:val="none"/>
                      <w:lang w:val="en-US" w:eastAsia="zh-CN"/>
                    </w:rPr>
                  </w:pPr>
                  <w:r>
                    <w:rPr>
                      <w:rFonts w:hint="eastAsia"/>
                      <w:color w:val="auto"/>
                      <w:highlight w:val="none"/>
                      <w:lang w:val="en-US" w:eastAsia="zh-CN"/>
                    </w:rPr>
                    <w:t>/</w:t>
                  </w:r>
                </w:p>
              </w:tc>
              <w:tc>
                <w:tcPr>
                  <w:tcW w:w="747" w:type="pct"/>
                  <w:vAlign w:val="center"/>
                </w:tcPr>
                <w:p w14:paraId="57EE4623">
                  <w:pPr>
                    <w:pStyle w:val="20"/>
                    <w:bidi w:val="0"/>
                    <w:rPr>
                      <w:rFonts w:hint="default"/>
                      <w:color w:val="auto"/>
                      <w:highlight w:val="none"/>
                      <w:lang w:val="en-US" w:eastAsia="zh-CN"/>
                    </w:rPr>
                  </w:pPr>
                  <w:r>
                    <w:rPr>
                      <w:rFonts w:hint="eastAsia"/>
                      <w:color w:val="auto"/>
                      <w:highlight w:val="none"/>
                      <w:lang w:val="en-US" w:eastAsia="zh-CN"/>
                    </w:rPr>
                    <w:t>80</w:t>
                  </w:r>
                </w:p>
              </w:tc>
              <w:tc>
                <w:tcPr>
                  <w:tcW w:w="657" w:type="pct"/>
                  <w:vAlign w:val="center"/>
                </w:tcPr>
                <w:p w14:paraId="28B31136">
                  <w:pPr>
                    <w:pStyle w:val="20"/>
                    <w:bidi w:val="0"/>
                    <w:rPr>
                      <w:rFonts w:hint="default"/>
                      <w:color w:val="auto"/>
                      <w:highlight w:val="none"/>
                      <w:lang w:val="en-US" w:eastAsia="zh-CN"/>
                    </w:rPr>
                  </w:pPr>
                  <w:r>
                    <w:rPr>
                      <w:rFonts w:hint="eastAsia"/>
                      <w:color w:val="auto"/>
                      <w:highlight w:val="none"/>
                      <w:lang w:val="en-US" w:eastAsia="zh-CN"/>
                    </w:rPr>
                    <w:t>约85g/件</w:t>
                  </w:r>
                </w:p>
              </w:tc>
              <w:tc>
                <w:tcPr>
                  <w:tcW w:w="477" w:type="pct"/>
                  <w:vAlign w:val="center"/>
                </w:tcPr>
                <w:p w14:paraId="017B3F6D">
                  <w:pPr>
                    <w:pStyle w:val="20"/>
                    <w:bidi w:val="0"/>
                    <w:rPr>
                      <w:rFonts w:hint="default"/>
                      <w:color w:val="auto"/>
                      <w:highlight w:val="none"/>
                      <w:lang w:val="en-US" w:eastAsia="zh-CN"/>
                    </w:rPr>
                  </w:pPr>
                  <w:r>
                    <w:rPr>
                      <w:rFonts w:hint="eastAsia"/>
                      <w:color w:val="auto"/>
                      <w:highlight w:val="none"/>
                      <w:lang w:val="en-US" w:eastAsia="zh-CN"/>
                    </w:rPr>
                    <w:t>68</w:t>
                  </w:r>
                </w:p>
              </w:tc>
              <w:tc>
                <w:tcPr>
                  <w:tcW w:w="1071" w:type="pct"/>
                  <w:vAlign w:val="center"/>
                </w:tcPr>
                <w:p w14:paraId="006DCCE9">
                  <w:pPr>
                    <w:pStyle w:val="20"/>
                    <w:keepNext w:val="0"/>
                    <w:keepLines w:val="0"/>
                    <w:suppressLineNumbers w:val="0"/>
                    <w:bidi w:val="0"/>
                    <w:spacing w:before="0" w:beforeAutospacing="0" w:after="0" w:afterAutospacing="0"/>
                    <w:ind w:left="0" w:right="0"/>
                    <w:rPr>
                      <w:color w:val="auto"/>
                      <w:highlight w:val="none"/>
                    </w:rPr>
                  </w:pPr>
                  <w:r>
                    <w:rPr>
                      <w:color w:val="auto"/>
                      <w:highlight w:val="none"/>
                    </w:rPr>
                    <w:drawing>
                      <wp:inline distT="0" distB="0" distL="114300" distR="114300">
                        <wp:extent cx="1080135" cy="720090"/>
                        <wp:effectExtent l="0" t="0" r="5715" b="3810"/>
                        <wp:docPr id="23" name="图片 15"/>
                        <wp:cNvGraphicFramePr/>
                        <a:graphic xmlns:a="http://schemas.openxmlformats.org/drawingml/2006/main">
                          <a:graphicData uri="http://schemas.openxmlformats.org/drawingml/2006/picture">
                            <pic:pic xmlns:pic="http://schemas.openxmlformats.org/drawingml/2006/picture">
                              <pic:nvPicPr>
                                <pic:cNvPr id="23" name="图片 15"/>
                                <pic:cNvPicPr/>
                              </pic:nvPicPr>
                              <pic:blipFill>
                                <a:blip r:embed="rId16"/>
                                <a:stretch>
                                  <a:fillRect/>
                                </a:stretch>
                              </pic:blipFill>
                              <pic:spPr>
                                <a:xfrm>
                                  <a:off x="0" y="0"/>
                                  <a:ext cx="1080135" cy="720090"/>
                                </a:xfrm>
                                <a:prstGeom prst="rect">
                                  <a:avLst/>
                                </a:prstGeom>
                                <a:noFill/>
                                <a:ln>
                                  <a:noFill/>
                                </a:ln>
                              </pic:spPr>
                            </pic:pic>
                          </a:graphicData>
                        </a:graphic>
                      </wp:inline>
                    </w:drawing>
                  </w:r>
                </w:p>
              </w:tc>
              <w:tc>
                <w:tcPr>
                  <w:tcW w:w="477" w:type="pct"/>
                  <w:vAlign w:val="center"/>
                </w:tcPr>
                <w:p w14:paraId="7D891B7D">
                  <w:pPr>
                    <w:pStyle w:val="20"/>
                    <w:keepNext w:val="0"/>
                    <w:keepLines w:val="0"/>
                    <w:suppressLineNumbers w:val="0"/>
                    <w:bidi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PP</w:t>
                  </w:r>
                </w:p>
              </w:tc>
            </w:tr>
            <w:tr w14:paraId="46AEA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66" w:type="pct"/>
                  <w:gridSpan w:val="3"/>
                  <w:vAlign w:val="center"/>
                </w:tcPr>
                <w:p w14:paraId="6BADB5CC">
                  <w:pPr>
                    <w:pStyle w:val="20"/>
                    <w:bidi w:val="0"/>
                    <w:rPr>
                      <w:rFonts w:hint="eastAsia"/>
                      <w:color w:val="auto"/>
                      <w:highlight w:val="none"/>
                      <w:lang w:val="en-US" w:eastAsia="zh-CN"/>
                    </w:rPr>
                  </w:pPr>
                  <w:r>
                    <w:rPr>
                      <w:rFonts w:hint="eastAsia"/>
                      <w:color w:val="auto"/>
                      <w:highlight w:val="none"/>
                      <w:lang w:val="en-US" w:eastAsia="zh-CN"/>
                    </w:rPr>
                    <w:t>扶手骨架</w:t>
                  </w:r>
                </w:p>
              </w:tc>
              <w:tc>
                <w:tcPr>
                  <w:tcW w:w="801" w:type="pct"/>
                  <w:vAlign w:val="center"/>
                </w:tcPr>
                <w:p w14:paraId="78833287">
                  <w:pPr>
                    <w:pStyle w:val="20"/>
                    <w:bidi w:val="0"/>
                    <w:rPr>
                      <w:rFonts w:hint="default"/>
                      <w:color w:val="auto"/>
                      <w:highlight w:val="none"/>
                      <w:lang w:val="en-US" w:eastAsia="zh-CN"/>
                    </w:rPr>
                  </w:pPr>
                  <w:r>
                    <w:rPr>
                      <w:rFonts w:hint="eastAsia"/>
                      <w:color w:val="auto"/>
                      <w:highlight w:val="none"/>
                      <w:lang w:val="en-US" w:eastAsia="zh-CN"/>
                    </w:rPr>
                    <w:t>/</w:t>
                  </w:r>
                </w:p>
              </w:tc>
              <w:tc>
                <w:tcPr>
                  <w:tcW w:w="747" w:type="pct"/>
                  <w:vAlign w:val="center"/>
                </w:tcPr>
                <w:p w14:paraId="7C881711">
                  <w:pPr>
                    <w:pStyle w:val="20"/>
                    <w:bidi w:val="0"/>
                    <w:rPr>
                      <w:rFonts w:hint="default"/>
                      <w:color w:val="auto"/>
                      <w:highlight w:val="none"/>
                      <w:lang w:val="en-US" w:eastAsia="zh-CN"/>
                    </w:rPr>
                  </w:pPr>
                  <w:r>
                    <w:rPr>
                      <w:rFonts w:hint="eastAsia"/>
                      <w:color w:val="auto"/>
                      <w:highlight w:val="none"/>
                      <w:lang w:val="en-US" w:eastAsia="zh-CN"/>
                    </w:rPr>
                    <w:t>80</w:t>
                  </w:r>
                </w:p>
              </w:tc>
              <w:tc>
                <w:tcPr>
                  <w:tcW w:w="657" w:type="pct"/>
                  <w:vAlign w:val="center"/>
                </w:tcPr>
                <w:p w14:paraId="6680FE76">
                  <w:pPr>
                    <w:pStyle w:val="20"/>
                    <w:bidi w:val="0"/>
                    <w:rPr>
                      <w:rFonts w:hint="default"/>
                      <w:color w:val="auto"/>
                      <w:highlight w:val="none"/>
                      <w:lang w:val="en-US" w:eastAsia="zh-CN"/>
                    </w:rPr>
                  </w:pPr>
                  <w:r>
                    <w:rPr>
                      <w:rFonts w:hint="eastAsia"/>
                      <w:color w:val="auto"/>
                      <w:highlight w:val="none"/>
                      <w:lang w:val="en-US" w:eastAsia="zh-CN"/>
                    </w:rPr>
                    <w:t>约150g/件</w:t>
                  </w:r>
                </w:p>
              </w:tc>
              <w:tc>
                <w:tcPr>
                  <w:tcW w:w="477" w:type="pct"/>
                  <w:vAlign w:val="center"/>
                </w:tcPr>
                <w:p w14:paraId="6CC4FF45">
                  <w:pPr>
                    <w:pStyle w:val="20"/>
                    <w:bidi w:val="0"/>
                    <w:rPr>
                      <w:rFonts w:hint="default"/>
                      <w:color w:val="auto"/>
                      <w:highlight w:val="none"/>
                      <w:lang w:val="en-US" w:eastAsia="zh-CN"/>
                    </w:rPr>
                  </w:pPr>
                  <w:r>
                    <w:rPr>
                      <w:rFonts w:hint="eastAsia"/>
                      <w:color w:val="auto"/>
                      <w:highlight w:val="none"/>
                      <w:lang w:val="en-US" w:eastAsia="zh-CN"/>
                    </w:rPr>
                    <w:t>120</w:t>
                  </w:r>
                </w:p>
              </w:tc>
              <w:tc>
                <w:tcPr>
                  <w:tcW w:w="1071" w:type="pct"/>
                  <w:vAlign w:val="center"/>
                </w:tcPr>
                <w:p w14:paraId="7CED09C4">
                  <w:pPr>
                    <w:pStyle w:val="20"/>
                    <w:keepNext w:val="0"/>
                    <w:keepLines w:val="0"/>
                    <w:suppressLineNumbers w:val="0"/>
                    <w:bidi w:val="0"/>
                    <w:spacing w:before="0" w:beforeAutospacing="0" w:after="0" w:afterAutospacing="0"/>
                    <w:ind w:left="0" w:right="0"/>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1022985" cy="681990"/>
                        <wp:effectExtent l="0" t="0" r="5715" b="3810"/>
                        <wp:docPr id="25" name="图片 25" descr="6d851ed8-f202-4aeb-a471-d5ea74619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6d851ed8-f202-4aeb-a471-d5ea74619416"/>
                                <pic:cNvPicPr>
                                  <a:picLocks noChangeAspect="1"/>
                                </pic:cNvPicPr>
                              </pic:nvPicPr>
                              <pic:blipFill>
                                <a:blip r:embed="rId17"/>
                                <a:stretch>
                                  <a:fillRect/>
                                </a:stretch>
                              </pic:blipFill>
                              <pic:spPr>
                                <a:xfrm>
                                  <a:off x="0" y="0"/>
                                  <a:ext cx="1022985" cy="681990"/>
                                </a:xfrm>
                                <a:prstGeom prst="rect">
                                  <a:avLst/>
                                </a:prstGeom>
                              </pic:spPr>
                            </pic:pic>
                          </a:graphicData>
                        </a:graphic>
                      </wp:inline>
                    </w:drawing>
                  </w:r>
                </w:p>
              </w:tc>
              <w:tc>
                <w:tcPr>
                  <w:tcW w:w="477" w:type="pct"/>
                  <w:vAlign w:val="center"/>
                </w:tcPr>
                <w:p w14:paraId="24035686">
                  <w:pPr>
                    <w:pStyle w:val="20"/>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ABS</w:t>
                  </w:r>
                </w:p>
              </w:tc>
            </w:tr>
            <w:tr w14:paraId="175B9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9" w:hRule="atLeast"/>
                <w:jc w:val="center"/>
              </w:trPr>
              <w:tc>
                <w:tcPr>
                  <w:tcW w:w="383" w:type="pct"/>
                  <w:gridSpan w:val="2"/>
                  <w:vMerge w:val="restart"/>
                  <w:vAlign w:val="center"/>
                </w:tcPr>
                <w:p w14:paraId="37419D7B">
                  <w:pPr>
                    <w:pStyle w:val="20"/>
                    <w:bidi w:val="0"/>
                    <w:rPr>
                      <w:rFonts w:hint="eastAsia"/>
                      <w:color w:val="auto"/>
                      <w:highlight w:val="none"/>
                      <w:lang w:val="en-US" w:eastAsia="zh-CN"/>
                    </w:rPr>
                  </w:pPr>
                  <w:r>
                    <w:rPr>
                      <w:rFonts w:hint="eastAsia"/>
                      <w:color w:val="auto"/>
                      <w:highlight w:val="none"/>
                      <w:lang w:val="en-US" w:eastAsia="zh-CN"/>
                    </w:rPr>
                    <w:t>谐振器</w:t>
                  </w:r>
                </w:p>
              </w:tc>
              <w:tc>
                <w:tcPr>
                  <w:tcW w:w="383" w:type="pct"/>
                  <w:vAlign w:val="center"/>
                </w:tcPr>
                <w:p w14:paraId="5764D54C">
                  <w:pPr>
                    <w:pStyle w:val="20"/>
                    <w:bidi w:val="0"/>
                    <w:rPr>
                      <w:rFonts w:hint="default"/>
                      <w:color w:val="auto"/>
                      <w:highlight w:val="none"/>
                      <w:lang w:val="en-US" w:eastAsia="zh-CN"/>
                    </w:rPr>
                  </w:pPr>
                  <w:r>
                    <w:rPr>
                      <w:rFonts w:hint="eastAsia"/>
                      <w:color w:val="auto"/>
                      <w:highlight w:val="none"/>
                      <w:lang w:val="en-US" w:eastAsia="zh-CN"/>
                    </w:rPr>
                    <w:t>上</w:t>
                  </w:r>
                </w:p>
              </w:tc>
              <w:tc>
                <w:tcPr>
                  <w:tcW w:w="801" w:type="pct"/>
                  <w:vAlign w:val="center"/>
                </w:tcPr>
                <w:p w14:paraId="52E75602">
                  <w:pPr>
                    <w:pStyle w:val="20"/>
                    <w:bidi w:val="0"/>
                    <w:rPr>
                      <w:rFonts w:hint="default"/>
                      <w:color w:val="auto"/>
                      <w:highlight w:val="none"/>
                      <w:lang w:val="en-US" w:eastAsia="zh-CN"/>
                    </w:rPr>
                  </w:pPr>
                  <w:r>
                    <w:rPr>
                      <w:rFonts w:hint="eastAsia"/>
                      <w:color w:val="auto"/>
                      <w:highlight w:val="none"/>
                      <w:lang w:val="en-US" w:eastAsia="zh-CN"/>
                    </w:rPr>
                    <w:t>/</w:t>
                  </w:r>
                </w:p>
              </w:tc>
              <w:tc>
                <w:tcPr>
                  <w:tcW w:w="747" w:type="pct"/>
                  <w:vAlign w:val="center"/>
                </w:tcPr>
                <w:p w14:paraId="70261DF4">
                  <w:pPr>
                    <w:pStyle w:val="20"/>
                    <w:bidi w:val="0"/>
                    <w:rPr>
                      <w:rFonts w:hint="default"/>
                      <w:color w:val="auto"/>
                      <w:highlight w:val="none"/>
                      <w:lang w:val="en-US" w:eastAsia="zh-CN"/>
                    </w:rPr>
                  </w:pPr>
                  <w:r>
                    <w:rPr>
                      <w:rFonts w:hint="eastAsia"/>
                      <w:color w:val="auto"/>
                      <w:highlight w:val="none"/>
                      <w:lang w:val="en-US" w:eastAsia="zh-CN"/>
                    </w:rPr>
                    <w:t>10</w:t>
                  </w:r>
                </w:p>
              </w:tc>
              <w:tc>
                <w:tcPr>
                  <w:tcW w:w="657" w:type="pct"/>
                  <w:vAlign w:val="center"/>
                </w:tcPr>
                <w:p w14:paraId="49992FC6">
                  <w:pPr>
                    <w:pStyle w:val="20"/>
                    <w:bidi w:val="0"/>
                    <w:rPr>
                      <w:rFonts w:hint="default"/>
                      <w:color w:val="auto"/>
                      <w:highlight w:val="none"/>
                      <w:lang w:val="en-US" w:eastAsia="zh-CN"/>
                    </w:rPr>
                  </w:pPr>
                  <w:r>
                    <w:rPr>
                      <w:rFonts w:hint="eastAsia"/>
                      <w:color w:val="auto"/>
                      <w:highlight w:val="none"/>
                      <w:lang w:val="en-US" w:eastAsia="zh-CN"/>
                    </w:rPr>
                    <w:t>约250g/件</w:t>
                  </w:r>
                </w:p>
              </w:tc>
              <w:tc>
                <w:tcPr>
                  <w:tcW w:w="477" w:type="pct"/>
                  <w:vAlign w:val="center"/>
                </w:tcPr>
                <w:p w14:paraId="466A2758">
                  <w:pPr>
                    <w:pStyle w:val="20"/>
                    <w:bidi w:val="0"/>
                    <w:rPr>
                      <w:rFonts w:hint="default"/>
                      <w:color w:val="auto"/>
                      <w:highlight w:val="none"/>
                      <w:lang w:val="en-US" w:eastAsia="zh-CN"/>
                    </w:rPr>
                  </w:pPr>
                  <w:r>
                    <w:rPr>
                      <w:rFonts w:hint="eastAsia"/>
                      <w:color w:val="auto"/>
                      <w:highlight w:val="none"/>
                      <w:lang w:val="en-US" w:eastAsia="zh-CN"/>
                    </w:rPr>
                    <w:t>25</w:t>
                  </w:r>
                </w:p>
              </w:tc>
              <w:tc>
                <w:tcPr>
                  <w:tcW w:w="1071" w:type="pct"/>
                  <w:vMerge w:val="restart"/>
                  <w:vAlign w:val="center"/>
                </w:tcPr>
                <w:p w14:paraId="043DED7F">
                  <w:pPr>
                    <w:pStyle w:val="20"/>
                    <w:keepNext w:val="0"/>
                    <w:keepLines w:val="0"/>
                    <w:suppressLineNumbers w:val="0"/>
                    <w:bidi w:val="0"/>
                    <w:spacing w:before="0" w:beforeAutospacing="0" w:after="0" w:afterAutospacing="0"/>
                    <w:ind w:left="0" w:right="0"/>
                    <w:rPr>
                      <w:rFonts w:hint="eastAsia" w:eastAsia="宋体"/>
                      <w:color w:val="auto"/>
                      <w:highlight w:val="none"/>
                      <w:lang w:eastAsia="zh-CN"/>
                    </w:rPr>
                  </w:pPr>
                  <w:r>
                    <w:rPr>
                      <w:rFonts w:ascii="宋体" w:hAnsi="宋体" w:eastAsia="宋体" w:cs="宋体"/>
                      <w:color w:val="auto"/>
                      <w:sz w:val="24"/>
                      <w:szCs w:val="24"/>
                      <w:highlight w:val="none"/>
                    </w:rPr>
                    <w:drawing>
                      <wp:inline distT="0" distB="0" distL="114300" distR="114300">
                        <wp:extent cx="1056640" cy="674370"/>
                        <wp:effectExtent l="0" t="0" r="10160" b="11430"/>
                        <wp:docPr id="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6"/>
                                <pic:cNvPicPr>
                                  <a:picLocks noChangeAspect="1"/>
                                </pic:cNvPicPr>
                              </pic:nvPicPr>
                              <pic:blipFill>
                                <a:blip r:embed="rId18"/>
                                <a:stretch>
                                  <a:fillRect/>
                                </a:stretch>
                              </pic:blipFill>
                              <pic:spPr>
                                <a:xfrm>
                                  <a:off x="0" y="0"/>
                                  <a:ext cx="1056640" cy="674370"/>
                                </a:xfrm>
                                <a:prstGeom prst="rect">
                                  <a:avLst/>
                                </a:prstGeom>
                                <a:noFill/>
                                <a:ln w="9525">
                                  <a:noFill/>
                                </a:ln>
                              </pic:spPr>
                            </pic:pic>
                          </a:graphicData>
                        </a:graphic>
                      </wp:inline>
                    </w:drawing>
                  </w:r>
                </w:p>
              </w:tc>
              <w:tc>
                <w:tcPr>
                  <w:tcW w:w="477" w:type="pct"/>
                  <w:vAlign w:val="center"/>
                </w:tcPr>
                <w:p w14:paraId="797BE624">
                  <w:pPr>
                    <w:pStyle w:val="20"/>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PP</w:t>
                  </w:r>
                </w:p>
              </w:tc>
            </w:tr>
            <w:tr w14:paraId="41059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83" w:type="pct"/>
                  <w:gridSpan w:val="2"/>
                  <w:vMerge w:val="continue"/>
                  <w:vAlign w:val="center"/>
                </w:tcPr>
                <w:p w14:paraId="6958D3A0">
                  <w:pPr>
                    <w:pStyle w:val="20"/>
                    <w:bidi w:val="0"/>
                    <w:rPr>
                      <w:rFonts w:hint="eastAsia"/>
                      <w:color w:val="auto"/>
                      <w:highlight w:val="none"/>
                      <w:lang w:val="en-US" w:eastAsia="zh-CN"/>
                    </w:rPr>
                  </w:pPr>
                </w:p>
              </w:tc>
              <w:tc>
                <w:tcPr>
                  <w:tcW w:w="383" w:type="pct"/>
                  <w:vAlign w:val="center"/>
                </w:tcPr>
                <w:p w14:paraId="27B407F9">
                  <w:pPr>
                    <w:pStyle w:val="20"/>
                    <w:bidi w:val="0"/>
                    <w:rPr>
                      <w:rFonts w:hint="default"/>
                      <w:color w:val="auto"/>
                      <w:highlight w:val="none"/>
                      <w:lang w:val="en-US" w:eastAsia="zh-CN"/>
                    </w:rPr>
                  </w:pPr>
                  <w:r>
                    <w:rPr>
                      <w:rFonts w:hint="eastAsia"/>
                      <w:color w:val="auto"/>
                      <w:highlight w:val="none"/>
                      <w:lang w:val="en-US" w:eastAsia="zh-CN"/>
                    </w:rPr>
                    <w:t>下</w:t>
                  </w:r>
                </w:p>
              </w:tc>
              <w:tc>
                <w:tcPr>
                  <w:tcW w:w="801" w:type="pct"/>
                  <w:vAlign w:val="center"/>
                </w:tcPr>
                <w:p w14:paraId="326E5507">
                  <w:pPr>
                    <w:pStyle w:val="20"/>
                    <w:bidi w:val="0"/>
                    <w:rPr>
                      <w:rFonts w:hint="eastAsia"/>
                      <w:color w:val="auto"/>
                      <w:highlight w:val="none"/>
                      <w:lang w:val="en-US" w:eastAsia="zh-CN"/>
                    </w:rPr>
                  </w:pPr>
                  <w:r>
                    <w:rPr>
                      <w:rFonts w:hint="eastAsia"/>
                      <w:color w:val="auto"/>
                      <w:highlight w:val="none"/>
                      <w:lang w:val="en-US" w:eastAsia="zh-CN"/>
                    </w:rPr>
                    <w:t>/</w:t>
                  </w:r>
                </w:p>
              </w:tc>
              <w:tc>
                <w:tcPr>
                  <w:tcW w:w="747" w:type="pct"/>
                  <w:vAlign w:val="center"/>
                </w:tcPr>
                <w:p w14:paraId="7FA0A314">
                  <w:pPr>
                    <w:pStyle w:val="20"/>
                    <w:bidi w:val="0"/>
                    <w:rPr>
                      <w:rFonts w:hint="default"/>
                      <w:color w:val="auto"/>
                      <w:highlight w:val="none"/>
                      <w:lang w:val="en-US" w:eastAsia="zh-CN"/>
                    </w:rPr>
                  </w:pPr>
                  <w:r>
                    <w:rPr>
                      <w:rFonts w:hint="eastAsia"/>
                      <w:color w:val="auto"/>
                      <w:highlight w:val="none"/>
                      <w:lang w:val="en-US" w:eastAsia="zh-CN"/>
                    </w:rPr>
                    <w:t>10</w:t>
                  </w:r>
                </w:p>
              </w:tc>
              <w:tc>
                <w:tcPr>
                  <w:tcW w:w="657" w:type="pct"/>
                  <w:vAlign w:val="center"/>
                </w:tcPr>
                <w:p w14:paraId="4BF0853C">
                  <w:pPr>
                    <w:pStyle w:val="20"/>
                    <w:bidi w:val="0"/>
                    <w:rPr>
                      <w:rFonts w:hint="eastAsia"/>
                      <w:color w:val="auto"/>
                      <w:highlight w:val="none"/>
                      <w:lang w:val="en-US" w:eastAsia="zh-CN"/>
                    </w:rPr>
                  </w:pPr>
                  <w:r>
                    <w:rPr>
                      <w:rFonts w:hint="eastAsia"/>
                      <w:color w:val="auto"/>
                      <w:highlight w:val="none"/>
                      <w:lang w:val="en-US" w:eastAsia="zh-CN"/>
                    </w:rPr>
                    <w:t>约250g/件</w:t>
                  </w:r>
                </w:p>
              </w:tc>
              <w:tc>
                <w:tcPr>
                  <w:tcW w:w="477" w:type="pct"/>
                  <w:vAlign w:val="center"/>
                </w:tcPr>
                <w:p w14:paraId="45779F0C">
                  <w:pPr>
                    <w:pStyle w:val="20"/>
                    <w:bidi w:val="0"/>
                    <w:rPr>
                      <w:rFonts w:hint="default"/>
                      <w:color w:val="auto"/>
                      <w:highlight w:val="none"/>
                      <w:lang w:val="en-US" w:eastAsia="zh-CN"/>
                    </w:rPr>
                  </w:pPr>
                  <w:r>
                    <w:rPr>
                      <w:rFonts w:hint="eastAsia"/>
                      <w:color w:val="auto"/>
                      <w:highlight w:val="none"/>
                      <w:lang w:val="en-US" w:eastAsia="zh-CN"/>
                    </w:rPr>
                    <w:t>25</w:t>
                  </w:r>
                </w:p>
              </w:tc>
              <w:tc>
                <w:tcPr>
                  <w:tcW w:w="1071" w:type="pct"/>
                  <w:vMerge w:val="continue"/>
                  <w:vAlign w:val="center"/>
                </w:tcPr>
                <w:p w14:paraId="535887EE">
                  <w:pPr>
                    <w:pStyle w:val="20"/>
                    <w:keepNext w:val="0"/>
                    <w:keepLines w:val="0"/>
                    <w:suppressLineNumbers w:val="0"/>
                    <w:bidi w:val="0"/>
                    <w:spacing w:before="0" w:beforeAutospacing="0" w:after="0" w:afterAutospacing="0"/>
                    <w:ind w:left="0" w:right="0"/>
                    <w:rPr>
                      <w:rFonts w:ascii="宋体" w:hAnsi="宋体" w:eastAsia="宋体" w:cs="宋体"/>
                      <w:color w:val="auto"/>
                      <w:sz w:val="24"/>
                      <w:szCs w:val="24"/>
                      <w:highlight w:val="none"/>
                    </w:rPr>
                  </w:pPr>
                </w:p>
              </w:tc>
              <w:tc>
                <w:tcPr>
                  <w:tcW w:w="477" w:type="pct"/>
                  <w:vAlign w:val="center"/>
                </w:tcPr>
                <w:p w14:paraId="0E1C173B">
                  <w:pPr>
                    <w:pStyle w:val="20"/>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PP</w:t>
                  </w:r>
                </w:p>
              </w:tc>
            </w:tr>
            <w:tr w14:paraId="64DF3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83" w:type="pct"/>
                  <w:gridSpan w:val="2"/>
                  <w:vMerge w:val="continue"/>
                  <w:vAlign w:val="center"/>
                </w:tcPr>
                <w:p w14:paraId="777A156E">
                  <w:pPr>
                    <w:pStyle w:val="20"/>
                    <w:bidi w:val="0"/>
                    <w:rPr>
                      <w:rFonts w:hint="eastAsia"/>
                      <w:color w:val="auto"/>
                      <w:highlight w:val="none"/>
                      <w:lang w:val="en-US" w:eastAsia="zh-CN"/>
                    </w:rPr>
                  </w:pPr>
                </w:p>
              </w:tc>
              <w:tc>
                <w:tcPr>
                  <w:tcW w:w="383" w:type="pct"/>
                  <w:vAlign w:val="center"/>
                </w:tcPr>
                <w:p w14:paraId="32E2F06E">
                  <w:pPr>
                    <w:pStyle w:val="20"/>
                    <w:bidi w:val="0"/>
                    <w:rPr>
                      <w:rFonts w:hint="default"/>
                      <w:color w:val="auto"/>
                      <w:highlight w:val="none"/>
                      <w:lang w:val="en-US" w:eastAsia="zh-CN"/>
                    </w:rPr>
                  </w:pPr>
                  <w:r>
                    <w:rPr>
                      <w:rFonts w:hint="eastAsia"/>
                      <w:color w:val="auto"/>
                      <w:highlight w:val="none"/>
                      <w:lang w:val="en-US" w:eastAsia="zh-CN"/>
                    </w:rPr>
                    <w:t>合计</w:t>
                  </w:r>
                </w:p>
              </w:tc>
              <w:tc>
                <w:tcPr>
                  <w:tcW w:w="801" w:type="pct"/>
                  <w:vAlign w:val="center"/>
                </w:tcPr>
                <w:p w14:paraId="129B01A3">
                  <w:pPr>
                    <w:pStyle w:val="20"/>
                    <w:bidi w:val="0"/>
                    <w:rPr>
                      <w:rFonts w:hint="default"/>
                      <w:color w:val="auto"/>
                      <w:highlight w:val="none"/>
                      <w:lang w:val="en-US" w:eastAsia="zh-CN"/>
                    </w:rPr>
                  </w:pPr>
                  <w:r>
                    <w:rPr>
                      <w:rFonts w:hint="eastAsia"/>
                      <w:color w:val="auto"/>
                      <w:highlight w:val="none"/>
                      <w:lang w:val="en-US" w:eastAsia="zh-CN"/>
                    </w:rPr>
                    <w:t>/</w:t>
                  </w:r>
                </w:p>
              </w:tc>
              <w:tc>
                <w:tcPr>
                  <w:tcW w:w="747" w:type="pct"/>
                  <w:vAlign w:val="center"/>
                </w:tcPr>
                <w:p w14:paraId="0753D386">
                  <w:pPr>
                    <w:pStyle w:val="20"/>
                    <w:bidi w:val="0"/>
                    <w:rPr>
                      <w:rFonts w:hint="default"/>
                      <w:color w:val="auto"/>
                      <w:highlight w:val="none"/>
                      <w:lang w:val="en-US" w:eastAsia="zh-CN"/>
                    </w:rPr>
                  </w:pPr>
                  <w:r>
                    <w:rPr>
                      <w:rFonts w:hint="eastAsia"/>
                      <w:color w:val="auto"/>
                      <w:highlight w:val="none"/>
                      <w:lang w:val="en-US" w:eastAsia="zh-CN"/>
                    </w:rPr>
                    <w:t>10万套，20万件</w:t>
                  </w:r>
                </w:p>
              </w:tc>
              <w:tc>
                <w:tcPr>
                  <w:tcW w:w="657" w:type="pct"/>
                  <w:vAlign w:val="center"/>
                </w:tcPr>
                <w:p w14:paraId="31471917">
                  <w:pPr>
                    <w:pStyle w:val="20"/>
                    <w:bidi w:val="0"/>
                    <w:rPr>
                      <w:rFonts w:hint="default"/>
                      <w:color w:val="auto"/>
                      <w:highlight w:val="none"/>
                      <w:lang w:val="en-US" w:eastAsia="zh-CN"/>
                    </w:rPr>
                  </w:pPr>
                  <w:r>
                    <w:rPr>
                      <w:rFonts w:hint="eastAsia"/>
                      <w:color w:val="auto"/>
                      <w:highlight w:val="none"/>
                      <w:lang w:val="en-US" w:eastAsia="zh-CN"/>
                    </w:rPr>
                    <w:t>/</w:t>
                  </w:r>
                </w:p>
              </w:tc>
              <w:tc>
                <w:tcPr>
                  <w:tcW w:w="477" w:type="pct"/>
                  <w:vAlign w:val="center"/>
                </w:tcPr>
                <w:p w14:paraId="7AC9A8A2">
                  <w:pPr>
                    <w:pStyle w:val="20"/>
                    <w:bidi w:val="0"/>
                    <w:rPr>
                      <w:rFonts w:hint="default"/>
                      <w:color w:val="auto"/>
                      <w:highlight w:val="none"/>
                      <w:lang w:val="en-US" w:eastAsia="zh-CN"/>
                    </w:rPr>
                  </w:pPr>
                  <w:r>
                    <w:rPr>
                      <w:rFonts w:hint="eastAsia"/>
                      <w:color w:val="auto"/>
                      <w:highlight w:val="none"/>
                      <w:lang w:val="en-US" w:eastAsia="zh-CN"/>
                    </w:rPr>
                    <w:t>50</w:t>
                  </w:r>
                </w:p>
              </w:tc>
              <w:tc>
                <w:tcPr>
                  <w:tcW w:w="1071" w:type="pct"/>
                  <w:vAlign w:val="center"/>
                </w:tcPr>
                <w:p w14:paraId="1F201EB9">
                  <w:pPr>
                    <w:pStyle w:val="20"/>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c>
                <w:tcPr>
                  <w:tcW w:w="477" w:type="pct"/>
                  <w:vAlign w:val="center"/>
                </w:tcPr>
                <w:p w14:paraId="49847F3D">
                  <w:pPr>
                    <w:pStyle w:val="20"/>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23411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83" w:type="pct"/>
                  <w:gridSpan w:val="2"/>
                  <w:vMerge w:val="restart"/>
                  <w:shd w:val="clear" w:color="auto" w:fill="auto"/>
                  <w:vAlign w:val="center"/>
                </w:tcPr>
                <w:p w14:paraId="140192AF">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其他汽车零部件</w:t>
                  </w:r>
                </w:p>
              </w:tc>
              <w:tc>
                <w:tcPr>
                  <w:tcW w:w="383" w:type="pct"/>
                  <w:shd w:val="clear" w:color="auto" w:fill="auto"/>
                  <w:vAlign w:val="center"/>
                </w:tcPr>
                <w:p w14:paraId="3821B608">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ABS件</w:t>
                  </w:r>
                </w:p>
              </w:tc>
              <w:tc>
                <w:tcPr>
                  <w:tcW w:w="801" w:type="pct"/>
                  <w:shd w:val="clear" w:color="auto" w:fill="auto"/>
                  <w:vAlign w:val="center"/>
                </w:tcPr>
                <w:p w14:paraId="46217F7E">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w:t>
                  </w:r>
                </w:p>
              </w:tc>
              <w:tc>
                <w:tcPr>
                  <w:tcW w:w="747" w:type="pct"/>
                  <w:shd w:val="clear" w:color="auto" w:fill="auto"/>
                  <w:vAlign w:val="center"/>
                </w:tcPr>
                <w:p w14:paraId="2C8662D4">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20</w:t>
                  </w:r>
                </w:p>
              </w:tc>
              <w:tc>
                <w:tcPr>
                  <w:tcW w:w="657" w:type="pct"/>
                  <w:vMerge w:val="restart"/>
                  <w:vAlign w:val="center"/>
                </w:tcPr>
                <w:p w14:paraId="1FD7BE1B">
                  <w:pPr>
                    <w:pStyle w:val="20"/>
                    <w:bidi w:val="0"/>
                    <w:rPr>
                      <w:rFonts w:hint="default"/>
                      <w:color w:val="auto"/>
                      <w:highlight w:val="none"/>
                      <w:lang w:val="en-US" w:eastAsia="zh-CN"/>
                    </w:rPr>
                  </w:pPr>
                  <w:r>
                    <w:rPr>
                      <w:rFonts w:hint="eastAsia"/>
                      <w:color w:val="auto"/>
                      <w:highlight w:val="none"/>
                      <w:lang w:val="en-US" w:eastAsia="zh-CN"/>
                    </w:rPr>
                    <w:t>约50~150g/件，按100g/件计</w:t>
                  </w:r>
                </w:p>
              </w:tc>
              <w:tc>
                <w:tcPr>
                  <w:tcW w:w="477" w:type="pct"/>
                  <w:shd w:val="clear" w:color="auto" w:fill="auto"/>
                  <w:vAlign w:val="center"/>
                </w:tcPr>
                <w:p w14:paraId="3010E4EB">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20</w:t>
                  </w:r>
                </w:p>
              </w:tc>
              <w:tc>
                <w:tcPr>
                  <w:tcW w:w="1071" w:type="pct"/>
                  <w:shd w:val="clear" w:color="auto" w:fill="auto"/>
                  <w:vAlign w:val="center"/>
                </w:tcPr>
                <w:p w14:paraId="5E1AF964">
                  <w:pPr>
                    <w:pStyle w:val="20"/>
                    <w:keepNext w:val="0"/>
                    <w:keepLines w:val="0"/>
                    <w:suppressLineNumbers w:val="0"/>
                    <w:bidi w:val="0"/>
                    <w:spacing w:before="0" w:beforeAutospacing="0" w:after="0" w:afterAutospacing="0"/>
                    <w:ind w:left="0" w:leftChars="0" w:right="0" w:rightChars="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w:t>
                  </w:r>
                </w:p>
              </w:tc>
              <w:tc>
                <w:tcPr>
                  <w:tcW w:w="477" w:type="pct"/>
                  <w:shd w:val="clear" w:color="auto" w:fill="auto"/>
                  <w:vAlign w:val="center"/>
                </w:tcPr>
                <w:p w14:paraId="7CAFB0A8">
                  <w:pPr>
                    <w:pStyle w:val="20"/>
                    <w:keepNext w:val="0"/>
                    <w:keepLines w:val="0"/>
                    <w:suppressLineNumbers w:val="0"/>
                    <w:bidi w:val="0"/>
                    <w:spacing w:before="0" w:beforeAutospacing="0" w:after="0" w:afterAutospacing="0"/>
                    <w:ind w:left="0" w:leftChars="0" w:right="0" w:rightChars="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ABS</w:t>
                  </w:r>
                </w:p>
              </w:tc>
            </w:tr>
            <w:tr w14:paraId="42014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83" w:type="pct"/>
                  <w:gridSpan w:val="2"/>
                  <w:vMerge w:val="continue"/>
                  <w:shd w:val="clear" w:color="auto" w:fill="auto"/>
                  <w:vAlign w:val="center"/>
                </w:tcPr>
                <w:p w14:paraId="7BC0288C">
                  <w:pPr>
                    <w:pStyle w:val="20"/>
                    <w:bidi w:val="0"/>
                    <w:rPr>
                      <w:rFonts w:hint="eastAsia" w:ascii="Times New Roman" w:hAnsi="Times New Roman" w:eastAsia="宋体" w:cs="宋体"/>
                      <w:color w:val="auto"/>
                      <w:kern w:val="2"/>
                      <w:sz w:val="21"/>
                      <w:szCs w:val="21"/>
                      <w:highlight w:val="none"/>
                      <w:lang w:val="en-US" w:eastAsia="zh-CN" w:bidi="ar-SA"/>
                    </w:rPr>
                  </w:pPr>
                </w:p>
              </w:tc>
              <w:tc>
                <w:tcPr>
                  <w:tcW w:w="383" w:type="pct"/>
                  <w:shd w:val="clear" w:color="auto" w:fill="auto"/>
                  <w:vAlign w:val="center"/>
                </w:tcPr>
                <w:p w14:paraId="30D2E249">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ASA件</w:t>
                  </w:r>
                </w:p>
              </w:tc>
              <w:tc>
                <w:tcPr>
                  <w:tcW w:w="801" w:type="pct"/>
                  <w:shd w:val="clear" w:color="auto" w:fill="auto"/>
                  <w:vAlign w:val="center"/>
                </w:tcPr>
                <w:p w14:paraId="472C7585">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w:t>
                  </w:r>
                </w:p>
              </w:tc>
              <w:tc>
                <w:tcPr>
                  <w:tcW w:w="747" w:type="pct"/>
                  <w:shd w:val="clear" w:color="auto" w:fill="auto"/>
                  <w:vAlign w:val="center"/>
                </w:tcPr>
                <w:p w14:paraId="18BF87F9">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20</w:t>
                  </w:r>
                </w:p>
              </w:tc>
              <w:tc>
                <w:tcPr>
                  <w:tcW w:w="657" w:type="pct"/>
                  <w:vMerge w:val="continue"/>
                  <w:vAlign w:val="center"/>
                </w:tcPr>
                <w:p w14:paraId="74B9BCDD">
                  <w:pPr>
                    <w:pStyle w:val="20"/>
                    <w:bidi w:val="0"/>
                    <w:rPr>
                      <w:rFonts w:hint="eastAsia"/>
                      <w:color w:val="auto"/>
                      <w:highlight w:val="none"/>
                      <w:lang w:val="en-US" w:eastAsia="zh-CN"/>
                    </w:rPr>
                  </w:pPr>
                </w:p>
              </w:tc>
              <w:tc>
                <w:tcPr>
                  <w:tcW w:w="477" w:type="pct"/>
                  <w:shd w:val="clear" w:color="auto" w:fill="auto"/>
                  <w:vAlign w:val="center"/>
                </w:tcPr>
                <w:p w14:paraId="64C9FC72">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20</w:t>
                  </w:r>
                </w:p>
              </w:tc>
              <w:tc>
                <w:tcPr>
                  <w:tcW w:w="1071" w:type="pct"/>
                  <w:shd w:val="clear" w:color="auto" w:fill="auto"/>
                  <w:vAlign w:val="center"/>
                </w:tcPr>
                <w:p w14:paraId="60DA13A0">
                  <w:pPr>
                    <w:pStyle w:val="20"/>
                    <w:keepNext w:val="0"/>
                    <w:keepLines w:val="0"/>
                    <w:suppressLineNumbers w:val="0"/>
                    <w:bidi w:val="0"/>
                    <w:spacing w:before="0" w:beforeAutospacing="0" w:after="0" w:afterAutospacing="0"/>
                    <w:ind w:left="0" w:leftChars="0" w:right="0" w:rightChars="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w:t>
                  </w:r>
                </w:p>
              </w:tc>
              <w:tc>
                <w:tcPr>
                  <w:tcW w:w="477" w:type="pct"/>
                  <w:shd w:val="clear" w:color="auto" w:fill="auto"/>
                  <w:vAlign w:val="center"/>
                </w:tcPr>
                <w:p w14:paraId="7E3C0E88">
                  <w:pPr>
                    <w:pStyle w:val="20"/>
                    <w:keepNext w:val="0"/>
                    <w:keepLines w:val="0"/>
                    <w:suppressLineNumbers w:val="0"/>
                    <w:bidi w:val="0"/>
                    <w:spacing w:before="0" w:beforeAutospacing="0" w:after="0" w:afterAutospacing="0"/>
                    <w:ind w:left="0" w:leftChars="0" w:right="0" w:rightChars="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ASA</w:t>
                  </w:r>
                </w:p>
              </w:tc>
            </w:tr>
            <w:tr w14:paraId="497F5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83" w:type="pct"/>
                  <w:gridSpan w:val="2"/>
                  <w:vMerge w:val="continue"/>
                  <w:shd w:val="clear" w:color="auto" w:fill="auto"/>
                  <w:vAlign w:val="center"/>
                </w:tcPr>
                <w:p w14:paraId="0A101572">
                  <w:pPr>
                    <w:pStyle w:val="20"/>
                    <w:bidi w:val="0"/>
                    <w:rPr>
                      <w:rFonts w:hint="default" w:ascii="Times New Roman" w:hAnsi="Times New Roman" w:eastAsia="宋体" w:cs="宋体"/>
                      <w:color w:val="auto"/>
                      <w:kern w:val="2"/>
                      <w:sz w:val="21"/>
                      <w:szCs w:val="21"/>
                      <w:highlight w:val="none"/>
                      <w:lang w:val="en-US" w:eastAsia="zh-CN" w:bidi="ar-SA"/>
                    </w:rPr>
                  </w:pPr>
                </w:p>
              </w:tc>
              <w:tc>
                <w:tcPr>
                  <w:tcW w:w="383" w:type="pct"/>
                  <w:shd w:val="clear" w:color="auto" w:fill="auto"/>
                  <w:vAlign w:val="center"/>
                </w:tcPr>
                <w:p w14:paraId="0739BBFD">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PP件</w:t>
                  </w:r>
                </w:p>
              </w:tc>
              <w:tc>
                <w:tcPr>
                  <w:tcW w:w="801" w:type="pct"/>
                  <w:shd w:val="clear" w:color="auto" w:fill="auto"/>
                  <w:vAlign w:val="center"/>
                </w:tcPr>
                <w:p w14:paraId="10BC3055">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w:t>
                  </w:r>
                </w:p>
              </w:tc>
              <w:tc>
                <w:tcPr>
                  <w:tcW w:w="747" w:type="pct"/>
                  <w:shd w:val="clear" w:color="auto" w:fill="auto"/>
                  <w:vAlign w:val="center"/>
                </w:tcPr>
                <w:p w14:paraId="7751C6BF">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20</w:t>
                  </w:r>
                </w:p>
              </w:tc>
              <w:tc>
                <w:tcPr>
                  <w:tcW w:w="657" w:type="pct"/>
                  <w:vMerge w:val="continue"/>
                  <w:vAlign w:val="center"/>
                </w:tcPr>
                <w:p w14:paraId="3159A162">
                  <w:pPr>
                    <w:pStyle w:val="20"/>
                    <w:bidi w:val="0"/>
                    <w:rPr>
                      <w:rFonts w:hint="eastAsia"/>
                      <w:color w:val="auto"/>
                      <w:highlight w:val="none"/>
                      <w:lang w:val="en-US" w:eastAsia="zh-CN"/>
                    </w:rPr>
                  </w:pPr>
                </w:p>
              </w:tc>
              <w:tc>
                <w:tcPr>
                  <w:tcW w:w="477" w:type="pct"/>
                  <w:shd w:val="clear" w:color="auto" w:fill="auto"/>
                  <w:vAlign w:val="center"/>
                </w:tcPr>
                <w:p w14:paraId="04654A7A">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20</w:t>
                  </w:r>
                </w:p>
              </w:tc>
              <w:tc>
                <w:tcPr>
                  <w:tcW w:w="1071" w:type="pct"/>
                  <w:shd w:val="clear" w:color="auto" w:fill="auto"/>
                  <w:vAlign w:val="center"/>
                </w:tcPr>
                <w:p w14:paraId="0BADB6FC">
                  <w:pPr>
                    <w:pStyle w:val="20"/>
                    <w:keepNext w:val="0"/>
                    <w:keepLines w:val="0"/>
                    <w:suppressLineNumbers w:val="0"/>
                    <w:bidi w:val="0"/>
                    <w:spacing w:before="0" w:beforeAutospacing="0" w:after="0" w:afterAutospacing="0"/>
                    <w:ind w:left="0" w:leftChars="0" w:right="0" w:rightChars="0"/>
                    <w:rPr>
                      <w:rFonts w:hint="default" w:ascii="Times New Roman" w:hAnsi="Times New Roman" w:eastAsia="宋体" w:cs="宋体"/>
                      <w:color w:val="auto"/>
                      <w:kern w:val="2"/>
                      <w:sz w:val="21"/>
                      <w:szCs w:val="21"/>
                      <w:highlight w:val="none"/>
                      <w:lang w:val="en-US" w:eastAsia="zh-CN" w:bidi="ar-SA"/>
                    </w:rPr>
                  </w:pPr>
                </w:p>
              </w:tc>
              <w:tc>
                <w:tcPr>
                  <w:tcW w:w="477" w:type="pct"/>
                  <w:shd w:val="clear" w:color="auto" w:fill="auto"/>
                  <w:vAlign w:val="center"/>
                </w:tcPr>
                <w:p w14:paraId="56874C92">
                  <w:pPr>
                    <w:pStyle w:val="20"/>
                    <w:keepNext w:val="0"/>
                    <w:keepLines w:val="0"/>
                    <w:suppressLineNumbers w:val="0"/>
                    <w:bidi w:val="0"/>
                    <w:spacing w:before="0" w:beforeAutospacing="0" w:after="0" w:afterAutospacing="0"/>
                    <w:ind w:left="0" w:leftChars="0" w:right="0" w:rightChars="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PP</w:t>
                  </w:r>
                </w:p>
              </w:tc>
            </w:tr>
            <w:tr w14:paraId="2092A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66" w:type="pct"/>
                  <w:gridSpan w:val="3"/>
                  <w:vAlign w:val="center"/>
                </w:tcPr>
                <w:p w14:paraId="6E8F70BF">
                  <w:pPr>
                    <w:pStyle w:val="20"/>
                    <w:bidi w:val="0"/>
                    <w:rPr>
                      <w:rFonts w:hint="default"/>
                      <w:color w:val="auto"/>
                      <w:highlight w:val="none"/>
                      <w:lang w:val="en-US" w:eastAsia="zh-CN"/>
                    </w:rPr>
                  </w:pPr>
                  <w:r>
                    <w:rPr>
                      <w:rFonts w:hint="eastAsia"/>
                      <w:color w:val="auto"/>
                      <w:highlight w:val="none"/>
                      <w:lang w:val="en-US" w:eastAsia="zh-CN"/>
                    </w:rPr>
                    <w:t>总计</w:t>
                  </w:r>
                </w:p>
              </w:tc>
              <w:tc>
                <w:tcPr>
                  <w:tcW w:w="801" w:type="pct"/>
                  <w:vAlign w:val="center"/>
                </w:tcPr>
                <w:p w14:paraId="525FDADD">
                  <w:pPr>
                    <w:pStyle w:val="20"/>
                    <w:bidi w:val="0"/>
                    <w:rPr>
                      <w:rFonts w:hint="default"/>
                      <w:color w:val="auto"/>
                      <w:highlight w:val="none"/>
                      <w:lang w:val="en-US" w:eastAsia="zh-CN"/>
                    </w:rPr>
                  </w:pPr>
                  <w:r>
                    <w:rPr>
                      <w:rFonts w:hint="eastAsia"/>
                      <w:color w:val="auto"/>
                      <w:highlight w:val="none"/>
                      <w:lang w:val="en-US" w:eastAsia="zh-CN"/>
                    </w:rPr>
                    <w:t>80</w:t>
                  </w:r>
                </w:p>
              </w:tc>
              <w:tc>
                <w:tcPr>
                  <w:tcW w:w="747" w:type="pct"/>
                  <w:vAlign w:val="center"/>
                </w:tcPr>
                <w:p w14:paraId="34D748A5">
                  <w:pPr>
                    <w:pStyle w:val="20"/>
                    <w:bidi w:val="0"/>
                    <w:rPr>
                      <w:rFonts w:hint="default"/>
                      <w:color w:val="auto"/>
                      <w:highlight w:val="none"/>
                      <w:lang w:val="en-US" w:eastAsia="zh-CN"/>
                    </w:rPr>
                  </w:pPr>
                  <w:r>
                    <w:rPr>
                      <w:rFonts w:hint="eastAsia"/>
                      <w:color w:val="auto"/>
                      <w:highlight w:val="none"/>
                      <w:lang w:val="en-US" w:eastAsia="zh-CN"/>
                    </w:rPr>
                    <w:t>600</w:t>
                  </w:r>
                </w:p>
              </w:tc>
              <w:tc>
                <w:tcPr>
                  <w:tcW w:w="657" w:type="pct"/>
                  <w:vAlign w:val="center"/>
                </w:tcPr>
                <w:p w14:paraId="09EE1795">
                  <w:pPr>
                    <w:pStyle w:val="20"/>
                    <w:bidi w:val="0"/>
                    <w:rPr>
                      <w:rFonts w:hint="default"/>
                      <w:color w:val="auto"/>
                      <w:highlight w:val="none"/>
                      <w:lang w:val="en-US" w:eastAsia="zh-CN"/>
                    </w:rPr>
                  </w:pPr>
                  <w:r>
                    <w:rPr>
                      <w:rFonts w:hint="eastAsia"/>
                      <w:color w:val="auto"/>
                      <w:highlight w:val="none"/>
                      <w:lang w:val="en-US" w:eastAsia="zh-CN"/>
                    </w:rPr>
                    <w:t>/</w:t>
                  </w:r>
                </w:p>
              </w:tc>
              <w:tc>
                <w:tcPr>
                  <w:tcW w:w="477" w:type="pct"/>
                  <w:vAlign w:val="center"/>
                </w:tcPr>
                <w:p w14:paraId="33C060BC">
                  <w:pPr>
                    <w:pStyle w:val="20"/>
                    <w:bidi w:val="0"/>
                    <w:rPr>
                      <w:rFonts w:hint="default"/>
                      <w:color w:val="auto"/>
                      <w:highlight w:val="none"/>
                      <w:lang w:val="en-US" w:eastAsia="zh-CN"/>
                    </w:rPr>
                  </w:pPr>
                  <w:r>
                    <w:rPr>
                      <w:rFonts w:hint="eastAsia"/>
                      <w:color w:val="auto"/>
                      <w:highlight w:val="none"/>
                      <w:lang w:val="en-US" w:eastAsia="zh-CN"/>
                    </w:rPr>
                    <w:t>697.6</w:t>
                  </w:r>
                </w:p>
              </w:tc>
              <w:tc>
                <w:tcPr>
                  <w:tcW w:w="1071" w:type="pct"/>
                  <w:vAlign w:val="center"/>
                </w:tcPr>
                <w:p w14:paraId="5A300AA4">
                  <w:pPr>
                    <w:pStyle w:val="20"/>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w:t>
                  </w:r>
                </w:p>
              </w:tc>
              <w:tc>
                <w:tcPr>
                  <w:tcW w:w="477" w:type="pct"/>
                  <w:vAlign w:val="center"/>
                </w:tcPr>
                <w:p w14:paraId="088BC673">
                  <w:pPr>
                    <w:pStyle w:val="20"/>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w:t>
                  </w:r>
                </w:p>
              </w:tc>
            </w:tr>
            <w:tr w14:paraId="40757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66" w:type="pct"/>
                  <w:gridSpan w:val="3"/>
                  <w:vAlign w:val="center"/>
                </w:tcPr>
                <w:p w14:paraId="12CD2F01">
                  <w:pPr>
                    <w:pStyle w:val="20"/>
                    <w:bidi w:val="0"/>
                    <w:rPr>
                      <w:rFonts w:hint="default"/>
                      <w:color w:val="auto"/>
                      <w:highlight w:val="none"/>
                      <w:lang w:val="en-US" w:eastAsia="zh-CN"/>
                    </w:rPr>
                  </w:pPr>
                  <w:r>
                    <w:rPr>
                      <w:rFonts w:hint="eastAsia"/>
                      <w:color w:val="auto"/>
                      <w:highlight w:val="none"/>
                      <w:lang w:val="en-US" w:eastAsia="zh-CN"/>
                    </w:rPr>
                    <w:t>其中</w:t>
                  </w:r>
                </w:p>
              </w:tc>
              <w:tc>
                <w:tcPr>
                  <w:tcW w:w="4233" w:type="pct"/>
                  <w:gridSpan w:val="6"/>
                  <w:vAlign w:val="center"/>
                </w:tcPr>
                <w:p w14:paraId="62047E8A">
                  <w:pPr>
                    <w:pStyle w:val="20"/>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扩建后ABS产品约251.6t；ASA产品约257.6t；PP产品约188.4t</w:t>
                  </w:r>
                </w:p>
              </w:tc>
            </w:tr>
          </w:tbl>
          <w:p w14:paraId="45F1FCC5">
            <w:pPr>
              <w:pStyle w:val="18"/>
              <w:bidi w:val="0"/>
              <w:rPr>
                <w:color w:val="auto"/>
                <w:highlight w:val="none"/>
              </w:rPr>
            </w:pPr>
          </w:p>
        </w:tc>
      </w:tr>
    </w:tbl>
    <w:p w14:paraId="0D3E98D7">
      <w:pPr>
        <w:keepNext w:val="0"/>
        <w:keepLines w:val="0"/>
        <w:pageBreakBefore w:val="0"/>
        <w:widowControl w:val="0"/>
        <w:kinsoku/>
        <w:wordWrap/>
        <w:overflowPunct/>
        <w:topLinePunct w:val="0"/>
        <w:autoSpaceDE/>
        <w:autoSpaceDN/>
        <w:bidi w:val="0"/>
        <w:adjustRightInd/>
        <w:snapToGrid/>
        <w:spacing w:line="34" w:lineRule="exact"/>
        <w:textAlignment w:val="auto"/>
        <w:outlineLvl w:val="0"/>
        <w:rPr>
          <w:rFonts w:hint="default"/>
          <w:color w:val="auto"/>
          <w:sz w:val="10"/>
          <w:szCs w:val="10"/>
          <w:highlight w:val="none"/>
          <w:lang w:val="en-US" w:eastAsia="zh-CN"/>
        </w:rPr>
      </w:pPr>
      <w:r>
        <w:rPr>
          <w:rFonts w:hint="eastAsia"/>
          <w:color w:val="auto"/>
          <w:sz w:val="10"/>
          <w:szCs w:val="10"/>
          <w:highlight w:val="none"/>
          <w:lang w:val="en-US" w:eastAsia="zh-CN"/>
        </w:rPr>
        <w:t>设备</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37"/>
        <w:gridCol w:w="8457"/>
      </w:tblGrid>
      <w:tr w14:paraId="6FE35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0" w:type="pct"/>
            <w:vAlign w:val="top"/>
          </w:tcPr>
          <w:p w14:paraId="594CD9C2">
            <w:pPr>
              <w:rPr>
                <w:color w:val="auto"/>
                <w:highlight w:val="none"/>
                <w:vertAlign w:val="baseline"/>
              </w:rPr>
            </w:pPr>
          </w:p>
        </w:tc>
        <w:tc>
          <w:tcPr>
            <w:tcW w:w="4649" w:type="pct"/>
            <w:vAlign w:val="top"/>
          </w:tcPr>
          <w:p w14:paraId="78A63E36">
            <w:pPr>
              <w:pStyle w:val="2"/>
              <w:numPr>
                <w:ilvl w:val="0"/>
                <w:numId w:val="3"/>
              </w:numPr>
              <w:spacing w:before="156"/>
              <w:rPr>
                <w:color w:val="auto"/>
                <w:highlight w:val="none"/>
              </w:rPr>
            </w:pPr>
            <w:r>
              <w:rPr>
                <w:rFonts w:hint="eastAsia"/>
                <w:color w:val="auto"/>
                <w:highlight w:val="none"/>
              </w:rPr>
              <w:t>主要生产设备</w:t>
            </w:r>
          </w:p>
          <w:p w14:paraId="646A7EBC">
            <w:pPr>
              <w:pStyle w:val="18"/>
              <w:bidi w:val="0"/>
              <w:rPr>
                <w:rFonts w:hint="eastAsia"/>
                <w:color w:val="auto"/>
                <w:highlight w:val="none"/>
              </w:rPr>
            </w:pPr>
            <w:r>
              <w:rPr>
                <w:rFonts w:hint="eastAsia"/>
                <w:color w:val="auto"/>
                <w:highlight w:val="none"/>
              </w:rPr>
              <w:t>项目运营期主要设备清单详见</w:t>
            </w:r>
            <w:r>
              <w:rPr>
                <w:rFonts w:hint="eastAsia"/>
                <w:color w:val="auto"/>
                <w:highlight w:val="none"/>
              </w:rPr>
              <w:fldChar w:fldCharType="begin"/>
            </w:r>
            <w:r>
              <w:rPr>
                <w:rFonts w:hint="eastAsia"/>
                <w:color w:val="auto"/>
                <w:highlight w:val="none"/>
              </w:rPr>
              <w:instrText xml:space="preserve"> REF _Ref18416 \h </w:instrText>
            </w:r>
            <w:r>
              <w:rPr>
                <w:rFonts w:hint="eastAsia"/>
                <w:color w:val="auto"/>
                <w:highlight w:val="none"/>
              </w:rPr>
              <w:fldChar w:fldCharType="separate"/>
            </w:r>
            <w:r>
              <w:rPr>
                <w:color w:val="auto"/>
                <w:highlight w:val="none"/>
              </w:rPr>
              <w:t>表2-3</w:t>
            </w:r>
            <w:r>
              <w:rPr>
                <w:rFonts w:hint="eastAsia"/>
                <w:color w:val="auto"/>
                <w:highlight w:val="none"/>
              </w:rPr>
              <w:fldChar w:fldCharType="end"/>
            </w:r>
            <w:r>
              <w:rPr>
                <w:rFonts w:hint="eastAsia"/>
                <w:color w:val="auto"/>
                <w:highlight w:val="none"/>
              </w:rPr>
              <w:t>：</w:t>
            </w:r>
            <w:bookmarkStart w:id="13" w:name="_Ref26192"/>
          </w:p>
          <w:bookmarkEnd w:id="13"/>
          <w:p w14:paraId="37F116FC">
            <w:pPr>
              <w:pStyle w:val="19"/>
              <w:bidi w:val="0"/>
              <w:rPr>
                <w:rFonts w:hint="eastAsia"/>
                <w:color w:val="auto"/>
                <w:highlight w:val="none"/>
              </w:rPr>
            </w:pPr>
            <w:bookmarkStart w:id="14" w:name="_Ref18416"/>
            <w:bookmarkStart w:id="15" w:name="_Ref19575"/>
            <w:r>
              <w:rPr>
                <w:color w:val="auto"/>
                <w:highlight w:val="none"/>
              </w:rPr>
              <w:t>表2-</w:t>
            </w:r>
            <w:r>
              <w:rPr>
                <w:color w:val="auto"/>
                <w:highlight w:val="none"/>
              </w:rPr>
              <w:fldChar w:fldCharType="begin"/>
            </w:r>
            <w:r>
              <w:rPr>
                <w:color w:val="auto"/>
                <w:highlight w:val="none"/>
              </w:rPr>
              <w:instrText xml:space="preserve"> SEQ 表2- \* ARABIC </w:instrText>
            </w:r>
            <w:r>
              <w:rPr>
                <w:color w:val="auto"/>
                <w:highlight w:val="none"/>
              </w:rPr>
              <w:fldChar w:fldCharType="separate"/>
            </w:r>
            <w:r>
              <w:rPr>
                <w:color w:val="auto"/>
                <w:highlight w:val="none"/>
              </w:rPr>
              <w:t>3</w:t>
            </w:r>
            <w:r>
              <w:rPr>
                <w:color w:val="auto"/>
                <w:highlight w:val="none"/>
              </w:rPr>
              <w:fldChar w:fldCharType="end"/>
            </w:r>
            <w:bookmarkEnd w:id="14"/>
            <w:r>
              <w:rPr>
                <w:rFonts w:hint="eastAsia"/>
                <w:color w:val="auto"/>
                <w:highlight w:val="none"/>
              </w:rPr>
              <w:t xml:space="preserve">  项目主要设备一览表</w:t>
            </w:r>
            <w:bookmarkEnd w:id="15"/>
          </w:p>
          <w:tbl>
            <w:tblPr>
              <w:tblStyle w:val="1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
              <w:gridCol w:w="1116"/>
              <w:gridCol w:w="1638"/>
              <w:gridCol w:w="710"/>
              <w:gridCol w:w="1609"/>
              <w:gridCol w:w="723"/>
              <w:gridCol w:w="1256"/>
              <w:gridCol w:w="783"/>
            </w:tblGrid>
            <w:tr w14:paraId="72A6F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94" w:type="pct"/>
                  <w:vMerge w:val="restart"/>
                  <w:noWrap w:val="0"/>
                  <w:vAlign w:val="center"/>
                </w:tcPr>
                <w:p w14:paraId="047530DE">
                  <w:pPr>
                    <w:pStyle w:val="20"/>
                    <w:bidi w:val="0"/>
                    <w:jc w:val="center"/>
                    <w:rPr>
                      <w:rFonts w:hint="default"/>
                      <w:b/>
                      <w:bCs/>
                      <w:color w:val="auto"/>
                      <w:highlight w:val="none"/>
                    </w:rPr>
                  </w:pPr>
                  <w:r>
                    <w:rPr>
                      <w:rFonts w:hint="default"/>
                      <w:b/>
                      <w:bCs/>
                      <w:color w:val="auto"/>
                      <w:highlight w:val="none"/>
                      <w:lang w:val="en-US" w:eastAsia="zh-CN"/>
                    </w:rPr>
                    <w:t>序号</w:t>
                  </w:r>
                </w:p>
              </w:tc>
              <w:tc>
                <w:tcPr>
                  <w:tcW w:w="670" w:type="pct"/>
                  <w:vMerge w:val="restart"/>
                  <w:noWrap w:val="0"/>
                  <w:vAlign w:val="center"/>
                </w:tcPr>
                <w:p w14:paraId="5E90B048">
                  <w:pPr>
                    <w:pStyle w:val="20"/>
                    <w:bidi w:val="0"/>
                    <w:jc w:val="center"/>
                    <w:rPr>
                      <w:rFonts w:hint="default"/>
                      <w:b/>
                      <w:bCs/>
                      <w:color w:val="auto"/>
                      <w:highlight w:val="none"/>
                    </w:rPr>
                  </w:pPr>
                  <w:r>
                    <w:rPr>
                      <w:rFonts w:hint="default"/>
                      <w:b/>
                      <w:bCs/>
                      <w:color w:val="auto"/>
                      <w:highlight w:val="none"/>
                      <w:lang w:val="en-US" w:eastAsia="zh-CN"/>
                    </w:rPr>
                    <w:t>设备名称</w:t>
                  </w:r>
                </w:p>
              </w:tc>
              <w:tc>
                <w:tcPr>
                  <w:tcW w:w="1409" w:type="pct"/>
                  <w:gridSpan w:val="2"/>
                  <w:noWrap w:val="0"/>
                  <w:vAlign w:val="center"/>
                </w:tcPr>
                <w:p w14:paraId="64FAE7A7">
                  <w:pPr>
                    <w:pStyle w:val="20"/>
                    <w:bidi w:val="0"/>
                    <w:jc w:val="center"/>
                    <w:rPr>
                      <w:rFonts w:hint="default"/>
                      <w:b/>
                      <w:bCs/>
                      <w:color w:val="auto"/>
                      <w:highlight w:val="none"/>
                    </w:rPr>
                  </w:pPr>
                  <w:r>
                    <w:rPr>
                      <w:rFonts w:hint="eastAsia"/>
                      <w:b/>
                      <w:bCs/>
                      <w:color w:val="auto"/>
                      <w:highlight w:val="none"/>
                      <w:lang w:val="en-US" w:eastAsia="zh-CN"/>
                    </w:rPr>
                    <w:t>扩建</w:t>
                  </w:r>
                  <w:r>
                    <w:rPr>
                      <w:rFonts w:hint="default"/>
                      <w:b/>
                      <w:bCs/>
                      <w:color w:val="auto"/>
                      <w:highlight w:val="none"/>
                      <w:lang w:val="en-US" w:eastAsia="zh-CN"/>
                    </w:rPr>
                    <w:t>前</w:t>
                  </w:r>
                </w:p>
              </w:tc>
              <w:tc>
                <w:tcPr>
                  <w:tcW w:w="1400" w:type="pct"/>
                  <w:gridSpan w:val="2"/>
                  <w:noWrap w:val="0"/>
                  <w:vAlign w:val="center"/>
                </w:tcPr>
                <w:p w14:paraId="3269CBCF">
                  <w:pPr>
                    <w:pStyle w:val="20"/>
                    <w:bidi w:val="0"/>
                    <w:jc w:val="center"/>
                    <w:rPr>
                      <w:rFonts w:hint="default"/>
                      <w:b/>
                      <w:bCs/>
                      <w:color w:val="auto"/>
                      <w:highlight w:val="none"/>
                      <w:lang w:val="en-US" w:eastAsia="zh-CN"/>
                    </w:rPr>
                  </w:pPr>
                  <w:r>
                    <w:rPr>
                      <w:rFonts w:hint="eastAsia"/>
                      <w:b/>
                      <w:bCs/>
                      <w:color w:val="auto"/>
                      <w:highlight w:val="none"/>
                      <w:lang w:val="en-US" w:eastAsia="zh-CN"/>
                    </w:rPr>
                    <w:t>扩建</w:t>
                  </w:r>
                  <w:r>
                    <w:rPr>
                      <w:rFonts w:hint="default"/>
                      <w:b/>
                      <w:bCs/>
                      <w:color w:val="auto"/>
                      <w:highlight w:val="none"/>
                      <w:lang w:val="en-US" w:eastAsia="zh-CN"/>
                    </w:rPr>
                    <w:t>后</w:t>
                  </w:r>
                </w:p>
              </w:tc>
              <w:tc>
                <w:tcPr>
                  <w:tcW w:w="754" w:type="pct"/>
                  <w:vMerge w:val="restart"/>
                  <w:noWrap w:val="0"/>
                  <w:vAlign w:val="center"/>
                </w:tcPr>
                <w:p w14:paraId="0A1DF157">
                  <w:pPr>
                    <w:pStyle w:val="20"/>
                    <w:bidi w:val="0"/>
                    <w:jc w:val="center"/>
                    <w:rPr>
                      <w:rFonts w:hint="eastAsia"/>
                      <w:b/>
                      <w:bCs/>
                      <w:color w:val="auto"/>
                      <w:highlight w:val="none"/>
                      <w:lang w:val="en-US" w:eastAsia="zh-CN"/>
                    </w:rPr>
                  </w:pPr>
                  <w:r>
                    <w:rPr>
                      <w:rFonts w:hint="eastAsia"/>
                      <w:b/>
                      <w:bCs/>
                      <w:color w:val="auto"/>
                      <w:highlight w:val="none"/>
                      <w:lang w:val="en-US" w:eastAsia="zh-CN"/>
                    </w:rPr>
                    <w:t>用途</w:t>
                  </w:r>
                </w:p>
              </w:tc>
              <w:tc>
                <w:tcPr>
                  <w:tcW w:w="470" w:type="pct"/>
                  <w:vMerge w:val="restart"/>
                  <w:noWrap w:val="0"/>
                  <w:vAlign w:val="center"/>
                </w:tcPr>
                <w:p w14:paraId="18A6588C">
                  <w:pPr>
                    <w:pStyle w:val="20"/>
                    <w:bidi w:val="0"/>
                    <w:jc w:val="center"/>
                    <w:rPr>
                      <w:rFonts w:hint="default"/>
                      <w:b/>
                      <w:bCs/>
                      <w:color w:val="auto"/>
                      <w:highlight w:val="none"/>
                    </w:rPr>
                  </w:pPr>
                  <w:r>
                    <w:rPr>
                      <w:rFonts w:hint="default"/>
                      <w:b/>
                      <w:bCs/>
                      <w:color w:val="auto"/>
                      <w:highlight w:val="none"/>
                      <w:lang w:val="en-US" w:eastAsia="zh-CN"/>
                    </w:rPr>
                    <w:t>备注</w:t>
                  </w:r>
                </w:p>
              </w:tc>
            </w:tr>
            <w:tr w14:paraId="077C3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4" w:type="pct"/>
                  <w:vMerge w:val="continue"/>
                  <w:noWrap w:val="0"/>
                  <w:vAlign w:val="center"/>
                </w:tcPr>
                <w:p w14:paraId="5D13E2ED">
                  <w:pPr>
                    <w:pStyle w:val="20"/>
                    <w:bidi w:val="0"/>
                    <w:jc w:val="center"/>
                    <w:rPr>
                      <w:rFonts w:hint="default"/>
                      <w:color w:val="auto"/>
                      <w:highlight w:val="none"/>
                    </w:rPr>
                  </w:pPr>
                </w:p>
              </w:tc>
              <w:tc>
                <w:tcPr>
                  <w:tcW w:w="670" w:type="pct"/>
                  <w:vMerge w:val="continue"/>
                  <w:noWrap w:val="0"/>
                  <w:vAlign w:val="center"/>
                </w:tcPr>
                <w:p w14:paraId="650BBADB">
                  <w:pPr>
                    <w:pStyle w:val="20"/>
                    <w:bidi w:val="0"/>
                    <w:jc w:val="center"/>
                    <w:rPr>
                      <w:rFonts w:hint="default"/>
                      <w:color w:val="auto"/>
                      <w:highlight w:val="none"/>
                    </w:rPr>
                  </w:pPr>
                </w:p>
              </w:tc>
              <w:tc>
                <w:tcPr>
                  <w:tcW w:w="983" w:type="pct"/>
                  <w:noWrap w:val="0"/>
                  <w:vAlign w:val="center"/>
                </w:tcPr>
                <w:p w14:paraId="5D2AE0C7">
                  <w:pPr>
                    <w:pStyle w:val="20"/>
                    <w:bidi w:val="0"/>
                    <w:jc w:val="center"/>
                    <w:rPr>
                      <w:rFonts w:hint="default"/>
                      <w:b/>
                      <w:bCs/>
                      <w:color w:val="auto"/>
                      <w:highlight w:val="none"/>
                      <w:lang w:val="en-US" w:eastAsia="zh-CN"/>
                    </w:rPr>
                  </w:pPr>
                  <w:r>
                    <w:rPr>
                      <w:rFonts w:hint="default"/>
                      <w:b/>
                      <w:bCs/>
                      <w:color w:val="auto"/>
                      <w:highlight w:val="none"/>
                      <w:lang w:val="en-US" w:eastAsia="zh-CN"/>
                    </w:rPr>
                    <w:t>规格型号</w:t>
                  </w:r>
                </w:p>
              </w:tc>
              <w:tc>
                <w:tcPr>
                  <w:tcW w:w="425" w:type="pct"/>
                  <w:noWrap w:val="0"/>
                  <w:vAlign w:val="center"/>
                </w:tcPr>
                <w:p w14:paraId="6BE23DA2">
                  <w:pPr>
                    <w:pStyle w:val="20"/>
                    <w:bidi w:val="0"/>
                    <w:jc w:val="center"/>
                    <w:rPr>
                      <w:rFonts w:hint="default"/>
                      <w:b/>
                      <w:bCs/>
                      <w:color w:val="auto"/>
                      <w:highlight w:val="none"/>
                    </w:rPr>
                  </w:pPr>
                  <w:r>
                    <w:rPr>
                      <w:rFonts w:hint="default"/>
                      <w:b/>
                      <w:bCs/>
                      <w:color w:val="auto"/>
                      <w:highlight w:val="none"/>
                      <w:lang w:val="en-US" w:eastAsia="zh-CN"/>
                    </w:rPr>
                    <w:t>数量</w:t>
                  </w:r>
                  <w:r>
                    <w:rPr>
                      <w:rFonts w:hint="default"/>
                      <w:b/>
                      <w:bCs/>
                      <w:color w:val="auto"/>
                      <w:highlight w:val="none"/>
                      <w:lang w:val="en-US" w:eastAsia="zh-CN"/>
                    </w:rPr>
                    <w:br w:type="textWrapping"/>
                  </w:r>
                  <w:r>
                    <w:rPr>
                      <w:rFonts w:hint="default"/>
                      <w:b/>
                      <w:bCs/>
                      <w:color w:val="auto"/>
                      <w:highlight w:val="none"/>
                      <w:lang w:val="en-US" w:eastAsia="zh-CN"/>
                    </w:rPr>
                    <w:t>台/套</w:t>
                  </w:r>
                </w:p>
              </w:tc>
              <w:tc>
                <w:tcPr>
                  <w:tcW w:w="966" w:type="pct"/>
                  <w:noWrap w:val="0"/>
                  <w:vAlign w:val="center"/>
                </w:tcPr>
                <w:p w14:paraId="5E1534D7">
                  <w:pPr>
                    <w:pStyle w:val="20"/>
                    <w:bidi w:val="0"/>
                    <w:jc w:val="center"/>
                    <w:rPr>
                      <w:rFonts w:hint="default"/>
                      <w:b/>
                      <w:bCs/>
                      <w:color w:val="auto"/>
                      <w:highlight w:val="none"/>
                    </w:rPr>
                  </w:pPr>
                  <w:r>
                    <w:rPr>
                      <w:rFonts w:hint="default"/>
                      <w:b/>
                      <w:bCs/>
                      <w:color w:val="auto"/>
                      <w:highlight w:val="none"/>
                      <w:lang w:val="en-US" w:eastAsia="zh-CN"/>
                    </w:rPr>
                    <w:t>规格型号</w:t>
                  </w:r>
                </w:p>
              </w:tc>
              <w:tc>
                <w:tcPr>
                  <w:tcW w:w="434" w:type="pct"/>
                  <w:noWrap w:val="0"/>
                  <w:vAlign w:val="center"/>
                </w:tcPr>
                <w:p w14:paraId="245CC999">
                  <w:pPr>
                    <w:pStyle w:val="20"/>
                    <w:bidi w:val="0"/>
                    <w:jc w:val="center"/>
                    <w:rPr>
                      <w:rFonts w:hint="default"/>
                      <w:b/>
                      <w:bCs/>
                      <w:color w:val="auto"/>
                      <w:highlight w:val="none"/>
                    </w:rPr>
                  </w:pPr>
                  <w:r>
                    <w:rPr>
                      <w:rFonts w:hint="default"/>
                      <w:b/>
                      <w:bCs/>
                      <w:color w:val="auto"/>
                      <w:highlight w:val="none"/>
                      <w:lang w:val="en-US" w:eastAsia="zh-CN"/>
                    </w:rPr>
                    <w:t>数量</w:t>
                  </w:r>
                  <w:r>
                    <w:rPr>
                      <w:rFonts w:hint="default"/>
                      <w:b/>
                      <w:bCs/>
                      <w:color w:val="auto"/>
                      <w:highlight w:val="none"/>
                      <w:lang w:val="en-US" w:eastAsia="zh-CN"/>
                    </w:rPr>
                    <w:br w:type="textWrapping"/>
                  </w:r>
                  <w:r>
                    <w:rPr>
                      <w:rFonts w:hint="default"/>
                      <w:b/>
                      <w:bCs/>
                      <w:color w:val="auto"/>
                      <w:highlight w:val="none"/>
                      <w:lang w:val="en-US" w:eastAsia="zh-CN"/>
                    </w:rPr>
                    <w:t>台/套</w:t>
                  </w:r>
                </w:p>
              </w:tc>
              <w:tc>
                <w:tcPr>
                  <w:tcW w:w="754" w:type="pct"/>
                  <w:vMerge w:val="continue"/>
                  <w:noWrap w:val="0"/>
                  <w:vAlign w:val="center"/>
                </w:tcPr>
                <w:p w14:paraId="3500B10E">
                  <w:pPr>
                    <w:pStyle w:val="20"/>
                    <w:bidi w:val="0"/>
                    <w:jc w:val="center"/>
                    <w:rPr>
                      <w:rFonts w:hint="default"/>
                      <w:color w:val="auto"/>
                      <w:highlight w:val="none"/>
                    </w:rPr>
                  </w:pPr>
                </w:p>
              </w:tc>
              <w:tc>
                <w:tcPr>
                  <w:tcW w:w="470" w:type="pct"/>
                  <w:vMerge w:val="continue"/>
                  <w:noWrap w:val="0"/>
                  <w:vAlign w:val="center"/>
                </w:tcPr>
                <w:p w14:paraId="04090370">
                  <w:pPr>
                    <w:pStyle w:val="20"/>
                    <w:bidi w:val="0"/>
                    <w:jc w:val="center"/>
                    <w:rPr>
                      <w:rFonts w:hint="default"/>
                      <w:color w:val="auto"/>
                      <w:highlight w:val="none"/>
                    </w:rPr>
                  </w:pPr>
                </w:p>
              </w:tc>
            </w:tr>
            <w:tr w14:paraId="0A8B2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4" w:type="pct"/>
                  <w:vMerge w:val="restart"/>
                  <w:noWrap w:val="0"/>
                  <w:vAlign w:val="center"/>
                </w:tcPr>
                <w:p w14:paraId="44B0A735">
                  <w:pPr>
                    <w:pStyle w:val="20"/>
                    <w:bidi w:val="0"/>
                    <w:rPr>
                      <w:rFonts w:hint="eastAsia"/>
                      <w:color w:val="auto"/>
                      <w:highlight w:val="none"/>
                      <w:lang w:val="en-US" w:eastAsia="zh-CN"/>
                    </w:rPr>
                  </w:pPr>
                  <w:r>
                    <w:rPr>
                      <w:rFonts w:hint="eastAsia"/>
                      <w:color w:val="auto"/>
                      <w:highlight w:val="none"/>
                      <w:lang w:val="en-US" w:eastAsia="zh-CN"/>
                    </w:rPr>
                    <w:t>1</w:t>
                  </w:r>
                </w:p>
              </w:tc>
              <w:tc>
                <w:tcPr>
                  <w:tcW w:w="670" w:type="pct"/>
                  <w:vMerge w:val="restart"/>
                  <w:noWrap w:val="0"/>
                  <w:vAlign w:val="center"/>
                </w:tcPr>
                <w:p w14:paraId="6ACC91AA">
                  <w:pPr>
                    <w:pStyle w:val="20"/>
                    <w:bidi w:val="0"/>
                    <w:rPr>
                      <w:rFonts w:hint="default"/>
                      <w:color w:val="auto"/>
                      <w:highlight w:val="none"/>
                      <w:lang w:val="en-US" w:eastAsia="zh-CN"/>
                    </w:rPr>
                  </w:pPr>
                  <w:r>
                    <w:rPr>
                      <w:rFonts w:hint="eastAsia"/>
                      <w:color w:val="auto"/>
                      <w:highlight w:val="none"/>
                      <w:lang w:val="en-US" w:eastAsia="zh-CN"/>
                    </w:rPr>
                    <w:t>注塑机</w:t>
                  </w:r>
                </w:p>
              </w:tc>
              <w:tc>
                <w:tcPr>
                  <w:tcW w:w="983" w:type="pct"/>
                  <w:noWrap w:val="0"/>
                  <w:vAlign w:val="center"/>
                </w:tcPr>
                <w:p w14:paraId="204B514C">
                  <w:pPr>
                    <w:pStyle w:val="20"/>
                    <w:bidi w:val="0"/>
                    <w:rPr>
                      <w:rFonts w:hint="default"/>
                      <w:color w:val="auto"/>
                      <w:highlight w:val="none"/>
                      <w:lang w:val="en-US" w:eastAsia="zh-CN"/>
                    </w:rPr>
                  </w:pPr>
                  <w:r>
                    <w:rPr>
                      <w:rFonts w:hint="eastAsia"/>
                      <w:color w:val="auto"/>
                      <w:highlight w:val="none"/>
                      <w:lang w:val="en-US" w:eastAsia="zh-CN"/>
                    </w:rPr>
                    <w:t>EM220-SVP/2</w:t>
                  </w:r>
                </w:p>
              </w:tc>
              <w:tc>
                <w:tcPr>
                  <w:tcW w:w="425" w:type="pct"/>
                  <w:noWrap w:val="0"/>
                  <w:vAlign w:val="center"/>
                </w:tcPr>
                <w:p w14:paraId="6DD45061">
                  <w:pPr>
                    <w:pStyle w:val="20"/>
                    <w:bidi w:val="0"/>
                    <w:rPr>
                      <w:rFonts w:hint="default"/>
                      <w:color w:val="auto"/>
                      <w:highlight w:val="none"/>
                    </w:rPr>
                  </w:pPr>
                  <w:r>
                    <w:rPr>
                      <w:rFonts w:hint="eastAsia"/>
                      <w:color w:val="auto"/>
                      <w:highlight w:val="none"/>
                      <w:lang w:val="en-US" w:eastAsia="zh-CN"/>
                    </w:rPr>
                    <w:t>2</w:t>
                  </w:r>
                </w:p>
              </w:tc>
              <w:tc>
                <w:tcPr>
                  <w:tcW w:w="966" w:type="pct"/>
                  <w:noWrap w:val="0"/>
                  <w:vAlign w:val="center"/>
                </w:tcPr>
                <w:p w14:paraId="04F90697">
                  <w:pPr>
                    <w:pStyle w:val="20"/>
                    <w:bidi w:val="0"/>
                    <w:rPr>
                      <w:rFonts w:hint="default"/>
                      <w:color w:val="auto"/>
                      <w:highlight w:val="none"/>
                    </w:rPr>
                  </w:pPr>
                  <w:r>
                    <w:rPr>
                      <w:rFonts w:hint="eastAsia"/>
                      <w:color w:val="auto"/>
                      <w:highlight w:val="none"/>
                      <w:lang w:val="en-US" w:eastAsia="zh-CN"/>
                    </w:rPr>
                    <w:t>EM220-SVP/2</w:t>
                  </w:r>
                </w:p>
              </w:tc>
              <w:tc>
                <w:tcPr>
                  <w:tcW w:w="434" w:type="pct"/>
                  <w:noWrap w:val="0"/>
                  <w:vAlign w:val="center"/>
                </w:tcPr>
                <w:p w14:paraId="31F096EE">
                  <w:pPr>
                    <w:pStyle w:val="20"/>
                    <w:bidi w:val="0"/>
                    <w:rPr>
                      <w:rFonts w:hint="default"/>
                      <w:color w:val="auto"/>
                      <w:highlight w:val="none"/>
                    </w:rPr>
                  </w:pPr>
                  <w:r>
                    <w:rPr>
                      <w:rFonts w:hint="eastAsia"/>
                      <w:color w:val="auto"/>
                      <w:highlight w:val="none"/>
                      <w:lang w:val="en-US" w:eastAsia="zh-CN"/>
                    </w:rPr>
                    <w:t>2</w:t>
                  </w:r>
                </w:p>
              </w:tc>
              <w:tc>
                <w:tcPr>
                  <w:tcW w:w="754" w:type="pct"/>
                  <w:vMerge w:val="restart"/>
                  <w:noWrap w:val="0"/>
                  <w:vAlign w:val="center"/>
                </w:tcPr>
                <w:p w14:paraId="4FF22120">
                  <w:pPr>
                    <w:pStyle w:val="20"/>
                    <w:bidi w:val="0"/>
                    <w:rPr>
                      <w:rFonts w:hint="default"/>
                      <w:color w:val="auto"/>
                      <w:highlight w:val="none"/>
                      <w:lang w:val="en-US" w:eastAsia="zh-CN"/>
                    </w:rPr>
                  </w:pPr>
                  <w:r>
                    <w:rPr>
                      <w:rFonts w:hint="eastAsia"/>
                      <w:color w:val="auto"/>
                      <w:highlight w:val="none"/>
                      <w:lang w:val="en-US" w:eastAsia="zh-CN"/>
                    </w:rPr>
                    <w:t>产品注塑</w:t>
                  </w:r>
                </w:p>
              </w:tc>
              <w:tc>
                <w:tcPr>
                  <w:tcW w:w="470" w:type="pct"/>
                  <w:noWrap w:val="0"/>
                  <w:vAlign w:val="center"/>
                </w:tcPr>
                <w:p w14:paraId="1D058FA7">
                  <w:pPr>
                    <w:pStyle w:val="20"/>
                    <w:bidi w:val="0"/>
                    <w:rPr>
                      <w:rFonts w:hint="default"/>
                      <w:color w:val="auto"/>
                      <w:highlight w:val="none"/>
                      <w:lang w:val="en-US" w:eastAsia="zh-CN"/>
                    </w:rPr>
                  </w:pPr>
                  <w:r>
                    <w:rPr>
                      <w:rFonts w:hint="eastAsia"/>
                      <w:color w:val="auto"/>
                      <w:highlight w:val="none"/>
                      <w:lang w:val="en-US" w:eastAsia="zh-CN"/>
                    </w:rPr>
                    <w:t>利旧</w:t>
                  </w:r>
                </w:p>
              </w:tc>
            </w:tr>
            <w:tr w14:paraId="4A059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4" w:type="pct"/>
                  <w:vMerge w:val="continue"/>
                  <w:noWrap w:val="0"/>
                  <w:vAlign w:val="center"/>
                </w:tcPr>
                <w:p w14:paraId="179639A1">
                  <w:pPr>
                    <w:pStyle w:val="20"/>
                    <w:bidi w:val="0"/>
                    <w:rPr>
                      <w:rFonts w:hint="default"/>
                      <w:color w:val="auto"/>
                      <w:highlight w:val="none"/>
                    </w:rPr>
                  </w:pPr>
                </w:p>
              </w:tc>
              <w:tc>
                <w:tcPr>
                  <w:tcW w:w="670" w:type="pct"/>
                  <w:vMerge w:val="continue"/>
                  <w:noWrap w:val="0"/>
                  <w:vAlign w:val="center"/>
                </w:tcPr>
                <w:p w14:paraId="3B19F495">
                  <w:pPr>
                    <w:pStyle w:val="20"/>
                    <w:bidi w:val="0"/>
                    <w:rPr>
                      <w:rFonts w:hint="default"/>
                      <w:color w:val="auto"/>
                      <w:highlight w:val="none"/>
                      <w:lang w:eastAsia="zh-CN"/>
                    </w:rPr>
                  </w:pPr>
                </w:p>
              </w:tc>
              <w:tc>
                <w:tcPr>
                  <w:tcW w:w="983" w:type="pct"/>
                  <w:noWrap w:val="0"/>
                  <w:vAlign w:val="center"/>
                </w:tcPr>
                <w:p w14:paraId="7DF2ECD6">
                  <w:pPr>
                    <w:pStyle w:val="20"/>
                    <w:bidi w:val="0"/>
                    <w:rPr>
                      <w:rFonts w:hint="default"/>
                      <w:color w:val="auto"/>
                      <w:highlight w:val="none"/>
                      <w:lang w:val="en-US" w:eastAsia="zh-CN"/>
                    </w:rPr>
                  </w:pPr>
                  <w:r>
                    <w:rPr>
                      <w:rFonts w:hint="eastAsia"/>
                      <w:color w:val="auto"/>
                      <w:highlight w:val="none"/>
                      <w:lang w:val="en-US" w:eastAsia="zh-CN"/>
                    </w:rPr>
                    <w:t>EM320-SVP/2</w:t>
                  </w:r>
                </w:p>
              </w:tc>
              <w:tc>
                <w:tcPr>
                  <w:tcW w:w="425" w:type="pct"/>
                  <w:noWrap w:val="0"/>
                  <w:vAlign w:val="center"/>
                </w:tcPr>
                <w:p w14:paraId="50850224">
                  <w:pPr>
                    <w:pStyle w:val="20"/>
                    <w:bidi w:val="0"/>
                    <w:rPr>
                      <w:rFonts w:hint="default"/>
                      <w:color w:val="auto"/>
                      <w:highlight w:val="none"/>
                    </w:rPr>
                  </w:pPr>
                  <w:r>
                    <w:rPr>
                      <w:rFonts w:hint="eastAsia"/>
                      <w:color w:val="auto"/>
                      <w:highlight w:val="none"/>
                      <w:lang w:val="en-US" w:eastAsia="zh-CN"/>
                    </w:rPr>
                    <w:t>2</w:t>
                  </w:r>
                </w:p>
              </w:tc>
              <w:tc>
                <w:tcPr>
                  <w:tcW w:w="966" w:type="pct"/>
                  <w:noWrap w:val="0"/>
                  <w:vAlign w:val="center"/>
                </w:tcPr>
                <w:p w14:paraId="31956918">
                  <w:pPr>
                    <w:pStyle w:val="20"/>
                    <w:bidi w:val="0"/>
                    <w:rPr>
                      <w:rFonts w:hint="default"/>
                      <w:color w:val="auto"/>
                      <w:highlight w:val="none"/>
                    </w:rPr>
                  </w:pPr>
                  <w:r>
                    <w:rPr>
                      <w:rFonts w:hint="eastAsia"/>
                      <w:color w:val="auto"/>
                      <w:highlight w:val="none"/>
                      <w:lang w:val="en-US" w:eastAsia="zh-CN"/>
                    </w:rPr>
                    <w:t>EM320-SVP/2</w:t>
                  </w:r>
                </w:p>
              </w:tc>
              <w:tc>
                <w:tcPr>
                  <w:tcW w:w="434" w:type="pct"/>
                  <w:noWrap w:val="0"/>
                  <w:vAlign w:val="center"/>
                </w:tcPr>
                <w:p w14:paraId="7E2FC2F6">
                  <w:pPr>
                    <w:pStyle w:val="20"/>
                    <w:bidi w:val="0"/>
                    <w:rPr>
                      <w:rFonts w:hint="default"/>
                      <w:color w:val="auto"/>
                      <w:highlight w:val="none"/>
                    </w:rPr>
                  </w:pPr>
                  <w:r>
                    <w:rPr>
                      <w:rFonts w:hint="eastAsia"/>
                      <w:color w:val="auto"/>
                      <w:highlight w:val="none"/>
                      <w:lang w:val="en-US" w:eastAsia="zh-CN"/>
                    </w:rPr>
                    <w:t>4</w:t>
                  </w:r>
                </w:p>
              </w:tc>
              <w:tc>
                <w:tcPr>
                  <w:tcW w:w="754" w:type="pct"/>
                  <w:vMerge w:val="continue"/>
                  <w:noWrap w:val="0"/>
                  <w:vAlign w:val="center"/>
                </w:tcPr>
                <w:p w14:paraId="7746EFE9">
                  <w:pPr>
                    <w:pStyle w:val="20"/>
                    <w:bidi w:val="0"/>
                    <w:rPr>
                      <w:rFonts w:hint="default"/>
                      <w:color w:val="auto"/>
                      <w:highlight w:val="none"/>
                    </w:rPr>
                  </w:pPr>
                </w:p>
              </w:tc>
              <w:tc>
                <w:tcPr>
                  <w:tcW w:w="470" w:type="pct"/>
                  <w:noWrap w:val="0"/>
                  <w:vAlign w:val="center"/>
                </w:tcPr>
                <w:p w14:paraId="764CC4C5">
                  <w:pPr>
                    <w:pStyle w:val="20"/>
                    <w:bidi w:val="0"/>
                    <w:rPr>
                      <w:rFonts w:hint="default"/>
                      <w:color w:val="auto"/>
                      <w:highlight w:val="none"/>
                      <w:lang w:val="en-US"/>
                    </w:rPr>
                  </w:pPr>
                  <w:r>
                    <w:rPr>
                      <w:rFonts w:hint="eastAsia"/>
                      <w:color w:val="auto"/>
                      <w:highlight w:val="none"/>
                      <w:lang w:val="en-US" w:eastAsia="zh-CN"/>
                    </w:rPr>
                    <w:t>新增2</w:t>
                  </w:r>
                </w:p>
              </w:tc>
            </w:tr>
            <w:tr w14:paraId="4DEEC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4" w:type="pct"/>
                  <w:vMerge w:val="continue"/>
                  <w:noWrap w:val="0"/>
                  <w:vAlign w:val="center"/>
                </w:tcPr>
                <w:p w14:paraId="4E377CF3">
                  <w:pPr>
                    <w:pStyle w:val="20"/>
                    <w:bidi w:val="0"/>
                    <w:rPr>
                      <w:rFonts w:hint="default"/>
                      <w:color w:val="auto"/>
                      <w:highlight w:val="none"/>
                    </w:rPr>
                  </w:pPr>
                </w:p>
              </w:tc>
              <w:tc>
                <w:tcPr>
                  <w:tcW w:w="670" w:type="pct"/>
                  <w:vMerge w:val="continue"/>
                  <w:noWrap w:val="0"/>
                  <w:vAlign w:val="center"/>
                </w:tcPr>
                <w:p w14:paraId="7B83ECCE">
                  <w:pPr>
                    <w:pStyle w:val="20"/>
                    <w:bidi w:val="0"/>
                    <w:rPr>
                      <w:rFonts w:hint="default"/>
                      <w:color w:val="auto"/>
                      <w:highlight w:val="none"/>
                      <w:lang w:eastAsia="zh-CN"/>
                    </w:rPr>
                  </w:pPr>
                </w:p>
              </w:tc>
              <w:tc>
                <w:tcPr>
                  <w:tcW w:w="983" w:type="pct"/>
                  <w:noWrap w:val="0"/>
                  <w:vAlign w:val="center"/>
                </w:tcPr>
                <w:p w14:paraId="207C7A43">
                  <w:pPr>
                    <w:pStyle w:val="20"/>
                    <w:bidi w:val="0"/>
                    <w:rPr>
                      <w:rFonts w:hint="default"/>
                      <w:color w:val="auto"/>
                      <w:highlight w:val="none"/>
                      <w:lang w:val="en-US" w:eastAsia="zh-CN"/>
                    </w:rPr>
                  </w:pPr>
                  <w:r>
                    <w:rPr>
                      <w:rFonts w:hint="eastAsia"/>
                      <w:color w:val="auto"/>
                      <w:highlight w:val="none"/>
                      <w:lang w:val="en-US" w:eastAsia="zh-CN"/>
                    </w:rPr>
                    <w:t>HT250</w:t>
                  </w:r>
                </w:p>
              </w:tc>
              <w:tc>
                <w:tcPr>
                  <w:tcW w:w="425" w:type="pct"/>
                  <w:noWrap w:val="0"/>
                  <w:vAlign w:val="center"/>
                </w:tcPr>
                <w:p w14:paraId="79E6586B">
                  <w:pPr>
                    <w:pStyle w:val="20"/>
                    <w:bidi w:val="0"/>
                    <w:rPr>
                      <w:rFonts w:hint="default"/>
                      <w:color w:val="auto"/>
                      <w:highlight w:val="none"/>
                    </w:rPr>
                  </w:pPr>
                  <w:r>
                    <w:rPr>
                      <w:rFonts w:hint="default"/>
                      <w:color w:val="auto"/>
                      <w:highlight w:val="none"/>
                      <w:lang w:val="en-US" w:eastAsia="zh-CN"/>
                    </w:rPr>
                    <w:t>1</w:t>
                  </w:r>
                </w:p>
              </w:tc>
              <w:tc>
                <w:tcPr>
                  <w:tcW w:w="966" w:type="pct"/>
                  <w:noWrap w:val="0"/>
                  <w:vAlign w:val="center"/>
                </w:tcPr>
                <w:p w14:paraId="0E72CC72">
                  <w:pPr>
                    <w:pStyle w:val="20"/>
                    <w:bidi w:val="0"/>
                    <w:rPr>
                      <w:rFonts w:hint="default"/>
                      <w:color w:val="auto"/>
                      <w:highlight w:val="none"/>
                    </w:rPr>
                  </w:pPr>
                  <w:r>
                    <w:rPr>
                      <w:rFonts w:hint="eastAsia"/>
                      <w:color w:val="auto"/>
                      <w:highlight w:val="none"/>
                      <w:lang w:val="en-US" w:eastAsia="zh-CN"/>
                    </w:rPr>
                    <w:t>HT250</w:t>
                  </w:r>
                </w:p>
              </w:tc>
              <w:tc>
                <w:tcPr>
                  <w:tcW w:w="434" w:type="pct"/>
                  <w:noWrap w:val="0"/>
                  <w:vAlign w:val="center"/>
                </w:tcPr>
                <w:p w14:paraId="73B42A6C">
                  <w:pPr>
                    <w:pStyle w:val="20"/>
                    <w:bidi w:val="0"/>
                    <w:rPr>
                      <w:rFonts w:hint="default"/>
                      <w:color w:val="auto"/>
                      <w:highlight w:val="none"/>
                    </w:rPr>
                  </w:pPr>
                  <w:r>
                    <w:rPr>
                      <w:rFonts w:hint="default"/>
                      <w:color w:val="auto"/>
                      <w:highlight w:val="none"/>
                      <w:lang w:val="en-US" w:eastAsia="zh-CN"/>
                    </w:rPr>
                    <w:t>1</w:t>
                  </w:r>
                </w:p>
              </w:tc>
              <w:tc>
                <w:tcPr>
                  <w:tcW w:w="754" w:type="pct"/>
                  <w:vMerge w:val="continue"/>
                  <w:noWrap w:val="0"/>
                  <w:vAlign w:val="center"/>
                </w:tcPr>
                <w:p w14:paraId="7B183B88">
                  <w:pPr>
                    <w:pStyle w:val="20"/>
                    <w:bidi w:val="0"/>
                    <w:rPr>
                      <w:rFonts w:hint="default"/>
                      <w:color w:val="auto"/>
                      <w:highlight w:val="none"/>
                    </w:rPr>
                  </w:pPr>
                </w:p>
              </w:tc>
              <w:tc>
                <w:tcPr>
                  <w:tcW w:w="470" w:type="pct"/>
                  <w:noWrap w:val="0"/>
                  <w:vAlign w:val="center"/>
                </w:tcPr>
                <w:p w14:paraId="2B21E6D4">
                  <w:pPr>
                    <w:pStyle w:val="20"/>
                    <w:bidi w:val="0"/>
                    <w:rPr>
                      <w:rFonts w:hint="default"/>
                      <w:color w:val="auto"/>
                      <w:highlight w:val="none"/>
                    </w:rPr>
                  </w:pPr>
                  <w:r>
                    <w:rPr>
                      <w:rFonts w:hint="eastAsia"/>
                      <w:color w:val="auto"/>
                      <w:highlight w:val="none"/>
                      <w:lang w:val="en-US" w:eastAsia="zh-CN"/>
                    </w:rPr>
                    <w:t>利旧</w:t>
                  </w:r>
                </w:p>
              </w:tc>
            </w:tr>
            <w:tr w14:paraId="4F590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4" w:type="pct"/>
                  <w:vMerge w:val="continue"/>
                  <w:noWrap w:val="0"/>
                  <w:vAlign w:val="center"/>
                </w:tcPr>
                <w:p w14:paraId="11A9E98B">
                  <w:pPr>
                    <w:pStyle w:val="20"/>
                    <w:bidi w:val="0"/>
                    <w:rPr>
                      <w:rFonts w:hint="default"/>
                      <w:color w:val="auto"/>
                      <w:highlight w:val="none"/>
                    </w:rPr>
                  </w:pPr>
                </w:p>
              </w:tc>
              <w:tc>
                <w:tcPr>
                  <w:tcW w:w="670" w:type="pct"/>
                  <w:vMerge w:val="continue"/>
                  <w:noWrap w:val="0"/>
                  <w:vAlign w:val="center"/>
                </w:tcPr>
                <w:p w14:paraId="384F4A80">
                  <w:pPr>
                    <w:pStyle w:val="20"/>
                    <w:bidi w:val="0"/>
                    <w:rPr>
                      <w:rFonts w:hint="default"/>
                      <w:color w:val="auto"/>
                      <w:highlight w:val="none"/>
                    </w:rPr>
                  </w:pPr>
                </w:p>
              </w:tc>
              <w:tc>
                <w:tcPr>
                  <w:tcW w:w="983" w:type="pct"/>
                  <w:noWrap w:val="0"/>
                  <w:vAlign w:val="center"/>
                </w:tcPr>
                <w:p w14:paraId="55E85D48">
                  <w:pPr>
                    <w:pStyle w:val="20"/>
                    <w:bidi w:val="0"/>
                    <w:rPr>
                      <w:rFonts w:hint="default"/>
                      <w:color w:val="auto"/>
                      <w:highlight w:val="none"/>
                      <w:lang w:val="en-US" w:eastAsia="zh-CN"/>
                    </w:rPr>
                  </w:pPr>
                  <w:r>
                    <w:rPr>
                      <w:rFonts w:hint="eastAsia"/>
                      <w:color w:val="auto"/>
                      <w:highlight w:val="none"/>
                      <w:lang w:val="en-US" w:eastAsia="zh-CN"/>
                    </w:rPr>
                    <w:t>560T</w:t>
                  </w:r>
                </w:p>
              </w:tc>
              <w:tc>
                <w:tcPr>
                  <w:tcW w:w="425" w:type="pct"/>
                  <w:noWrap w:val="0"/>
                  <w:vAlign w:val="center"/>
                </w:tcPr>
                <w:p w14:paraId="2BCA2AC2">
                  <w:pPr>
                    <w:pStyle w:val="20"/>
                    <w:bidi w:val="0"/>
                    <w:rPr>
                      <w:rFonts w:hint="default"/>
                      <w:color w:val="auto"/>
                      <w:highlight w:val="none"/>
                      <w:lang w:val="en-US" w:eastAsia="zh-CN"/>
                    </w:rPr>
                  </w:pPr>
                  <w:r>
                    <w:rPr>
                      <w:rFonts w:hint="eastAsia"/>
                      <w:color w:val="auto"/>
                      <w:highlight w:val="none"/>
                      <w:lang w:val="en-US" w:eastAsia="zh-CN"/>
                    </w:rPr>
                    <w:t>1</w:t>
                  </w:r>
                </w:p>
              </w:tc>
              <w:tc>
                <w:tcPr>
                  <w:tcW w:w="966" w:type="pct"/>
                  <w:noWrap w:val="0"/>
                  <w:vAlign w:val="center"/>
                </w:tcPr>
                <w:p w14:paraId="1EFFB53E">
                  <w:pPr>
                    <w:pStyle w:val="20"/>
                    <w:bidi w:val="0"/>
                    <w:rPr>
                      <w:rFonts w:hint="default"/>
                      <w:color w:val="auto"/>
                      <w:highlight w:val="none"/>
                      <w:lang w:val="en-US" w:eastAsia="zh-CN"/>
                    </w:rPr>
                  </w:pPr>
                  <w:r>
                    <w:rPr>
                      <w:rFonts w:hint="eastAsia"/>
                      <w:color w:val="auto"/>
                      <w:highlight w:val="none"/>
                      <w:lang w:val="en-US" w:eastAsia="zh-CN"/>
                    </w:rPr>
                    <w:t>560T</w:t>
                  </w:r>
                </w:p>
              </w:tc>
              <w:tc>
                <w:tcPr>
                  <w:tcW w:w="434" w:type="pct"/>
                  <w:noWrap w:val="0"/>
                  <w:vAlign w:val="center"/>
                </w:tcPr>
                <w:p w14:paraId="5EACD812">
                  <w:pPr>
                    <w:pStyle w:val="20"/>
                    <w:bidi w:val="0"/>
                    <w:rPr>
                      <w:rFonts w:hint="default"/>
                      <w:color w:val="auto"/>
                      <w:highlight w:val="none"/>
                    </w:rPr>
                  </w:pPr>
                  <w:r>
                    <w:rPr>
                      <w:rFonts w:hint="eastAsia"/>
                      <w:color w:val="auto"/>
                      <w:highlight w:val="none"/>
                      <w:lang w:val="en-US" w:eastAsia="zh-CN"/>
                    </w:rPr>
                    <w:t>1</w:t>
                  </w:r>
                </w:p>
              </w:tc>
              <w:tc>
                <w:tcPr>
                  <w:tcW w:w="754" w:type="pct"/>
                  <w:vMerge w:val="continue"/>
                  <w:noWrap w:val="0"/>
                  <w:vAlign w:val="center"/>
                </w:tcPr>
                <w:p w14:paraId="0FAA28DB">
                  <w:pPr>
                    <w:pStyle w:val="20"/>
                    <w:bidi w:val="0"/>
                    <w:rPr>
                      <w:rFonts w:hint="default"/>
                      <w:color w:val="auto"/>
                      <w:highlight w:val="none"/>
                    </w:rPr>
                  </w:pPr>
                </w:p>
              </w:tc>
              <w:tc>
                <w:tcPr>
                  <w:tcW w:w="470" w:type="pct"/>
                  <w:noWrap w:val="0"/>
                  <w:vAlign w:val="center"/>
                </w:tcPr>
                <w:p w14:paraId="11C52DEA">
                  <w:pPr>
                    <w:pStyle w:val="20"/>
                    <w:bidi w:val="0"/>
                    <w:rPr>
                      <w:rFonts w:hint="default"/>
                      <w:color w:val="auto"/>
                      <w:highlight w:val="none"/>
                      <w:lang w:val="en-US" w:eastAsia="zh-CN"/>
                    </w:rPr>
                  </w:pPr>
                  <w:r>
                    <w:rPr>
                      <w:rFonts w:hint="eastAsia"/>
                      <w:color w:val="auto"/>
                      <w:highlight w:val="none"/>
                      <w:lang w:val="en-US" w:eastAsia="zh-CN"/>
                    </w:rPr>
                    <w:t>利旧</w:t>
                  </w:r>
                </w:p>
              </w:tc>
            </w:tr>
            <w:tr w14:paraId="133CB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4" w:type="pct"/>
                  <w:vMerge w:val="continue"/>
                  <w:noWrap w:val="0"/>
                  <w:vAlign w:val="center"/>
                </w:tcPr>
                <w:p w14:paraId="62D0A413">
                  <w:pPr>
                    <w:pStyle w:val="20"/>
                    <w:bidi w:val="0"/>
                    <w:rPr>
                      <w:rFonts w:hint="default"/>
                      <w:color w:val="auto"/>
                      <w:highlight w:val="none"/>
                    </w:rPr>
                  </w:pPr>
                </w:p>
              </w:tc>
              <w:tc>
                <w:tcPr>
                  <w:tcW w:w="670" w:type="pct"/>
                  <w:vMerge w:val="continue"/>
                  <w:noWrap w:val="0"/>
                  <w:vAlign w:val="center"/>
                </w:tcPr>
                <w:p w14:paraId="379AC91C">
                  <w:pPr>
                    <w:pStyle w:val="20"/>
                    <w:bidi w:val="0"/>
                    <w:rPr>
                      <w:rFonts w:hint="default"/>
                      <w:color w:val="auto"/>
                      <w:highlight w:val="none"/>
                    </w:rPr>
                  </w:pPr>
                </w:p>
              </w:tc>
              <w:tc>
                <w:tcPr>
                  <w:tcW w:w="983" w:type="pct"/>
                  <w:noWrap w:val="0"/>
                  <w:vAlign w:val="center"/>
                </w:tcPr>
                <w:p w14:paraId="1A528BE5">
                  <w:pPr>
                    <w:pStyle w:val="20"/>
                    <w:bidi w:val="0"/>
                    <w:rPr>
                      <w:rFonts w:hint="default"/>
                      <w:color w:val="auto"/>
                      <w:highlight w:val="none"/>
                      <w:lang w:val="en-US" w:eastAsia="zh-CN"/>
                    </w:rPr>
                  </w:pPr>
                  <w:r>
                    <w:rPr>
                      <w:rFonts w:hint="eastAsia"/>
                      <w:color w:val="auto"/>
                      <w:highlight w:val="none"/>
                      <w:lang w:val="en-US" w:eastAsia="zh-CN"/>
                    </w:rPr>
                    <w:t>/</w:t>
                  </w:r>
                </w:p>
              </w:tc>
              <w:tc>
                <w:tcPr>
                  <w:tcW w:w="425" w:type="pct"/>
                  <w:noWrap w:val="0"/>
                  <w:vAlign w:val="center"/>
                </w:tcPr>
                <w:p w14:paraId="47A92EF2">
                  <w:pPr>
                    <w:pStyle w:val="20"/>
                    <w:bidi w:val="0"/>
                    <w:rPr>
                      <w:rFonts w:hint="default"/>
                      <w:color w:val="auto"/>
                      <w:highlight w:val="none"/>
                      <w:lang w:val="en-US" w:eastAsia="zh-CN"/>
                    </w:rPr>
                  </w:pPr>
                  <w:r>
                    <w:rPr>
                      <w:rFonts w:hint="eastAsia"/>
                      <w:color w:val="auto"/>
                      <w:highlight w:val="none"/>
                      <w:lang w:val="en-US" w:eastAsia="zh-CN"/>
                    </w:rPr>
                    <w:t>/</w:t>
                  </w:r>
                </w:p>
              </w:tc>
              <w:tc>
                <w:tcPr>
                  <w:tcW w:w="966" w:type="pct"/>
                  <w:shd w:val="clear" w:color="auto" w:fill="auto"/>
                  <w:noWrap w:val="0"/>
                  <w:vAlign w:val="center"/>
                </w:tcPr>
                <w:p w14:paraId="0BC0D30D">
                  <w:pPr>
                    <w:pStyle w:val="20"/>
                    <w:bidi w:val="0"/>
                    <w:rPr>
                      <w:rFonts w:hint="default"/>
                      <w:color w:val="auto"/>
                      <w:highlight w:val="none"/>
                      <w:lang w:val="en-US" w:eastAsia="zh-CN"/>
                    </w:rPr>
                  </w:pPr>
                  <w:r>
                    <w:rPr>
                      <w:rFonts w:hint="default"/>
                      <w:color w:val="auto"/>
                      <w:highlight w:val="none"/>
                      <w:lang w:val="en-US" w:eastAsia="zh-CN"/>
                    </w:rPr>
                    <w:t>SS228G</w:t>
                  </w:r>
                </w:p>
              </w:tc>
              <w:tc>
                <w:tcPr>
                  <w:tcW w:w="434" w:type="pct"/>
                  <w:shd w:val="clear" w:color="auto" w:fill="auto"/>
                  <w:noWrap w:val="0"/>
                  <w:vAlign w:val="center"/>
                </w:tcPr>
                <w:p w14:paraId="2507A4E8">
                  <w:pPr>
                    <w:pStyle w:val="20"/>
                    <w:bidi w:val="0"/>
                    <w:rPr>
                      <w:rFonts w:hint="default"/>
                      <w:color w:val="auto"/>
                      <w:highlight w:val="none"/>
                      <w:lang w:val="en-US" w:eastAsia="zh-CN"/>
                    </w:rPr>
                  </w:pPr>
                  <w:r>
                    <w:rPr>
                      <w:rFonts w:hint="eastAsia"/>
                      <w:color w:val="auto"/>
                      <w:highlight w:val="none"/>
                      <w:lang w:val="en-US" w:eastAsia="zh-CN"/>
                    </w:rPr>
                    <w:t>1</w:t>
                  </w:r>
                </w:p>
              </w:tc>
              <w:tc>
                <w:tcPr>
                  <w:tcW w:w="754" w:type="pct"/>
                  <w:vMerge w:val="continue"/>
                  <w:noWrap w:val="0"/>
                  <w:vAlign w:val="center"/>
                </w:tcPr>
                <w:p w14:paraId="3A72CCB4">
                  <w:pPr>
                    <w:pStyle w:val="20"/>
                    <w:bidi w:val="0"/>
                    <w:rPr>
                      <w:rFonts w:hint="default"/>
                      <w:color w:val="auto"/>
                      <w:highlight w:val="none"/>
                      <w:lang w:val="en-US" w:eastAsia="zh-CN"/>
                    </w:rPr>
                  </w:pPr>
                </w:p>
              </w:tc>
              <w:tc>
                <w:tcPr>
                  <w:tcW w:w="470" w:type="pct"/>
                  <w:noWrap w:val="0"/>
                  <w:vAlign w:val="center"/>
                </w:tcPr>
                <w:p w14:paraId="4F0ADD0E">
                  <w:pPr>
                    <w:pStyle w:val="20"/>
                    <w:bidi w:val="0"/>
                    <w:rPr>
                      <w:rFonts w:hint="default"/>
                      <w:color w:val="auto"/>
                      <w:highlight w:val="none"/>
                    </w:rPr>
                  </w:pPr>
                  <w:r>
                    <w:rPr>
                      <w:rFonts w:hint="eastAsia"/>
                      <w:color w:val="auto"/>
                      <w:highlight w:val="none"/>
                      <w:lang w:val="en-US" w:eastAsia="zh-CN"/>
                    </w:rPr>
                    <w:t>新增</w:t>
                  </w:r>
                </w:p>
              </w:tc>
            </w:tr>
            <w:tr w14:paraId="415D0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4" w:type="pct"/>
                  <w:vMerge w:val="continue"/>
                  <w:noWrap w:val="0"/>
                  <w:vAlign w:val="center"/>
                </w:tcPr>
                <w:p w14:paraId="2EA2F657">
                  <w:pPr>
                    <w:pStyle w:val="20"/>
                    <w:bidi w:val="0"/>
                    <w:rPr>
                      <w:rFonts w:hint="default"/>
                      <w:color w:val="auto"/>
                      <w:highlight w:val="none"/>
                    </w:rPr>
                  </w:pPr>
                </w:p>
              </w:tc>
              <w:tc>
                <w:tcPr>
                  <w:tcW w:w="670" w:type="pct"/>
                  <w:vMerge w:val="continue"/>
                  <w:noWrap w:val="0"/>
                  <w:vAlign w:val="center"/>
                </w:tcPr>
                <w:p w14:paraId="1C0592E0">
                  <w:pPr>
                    <w:pStyle w:val="20"/>
                    <w:bidi w:val="0"/>
                    <w:rPr>
                      <w:rFonts w:hint="default"/>
                      <w:color w:val="auto"/>
                      <w:highlight w:val="none"/>
                    </w:rPr>
                  </w:pPr>
                </w:p>
              </w:tc>
              <w:tc>
                <w:tcPr>
                  <w:tcW w:w="983" w:type="pct"/>
                  <w:noWrap w:val="0"/>
                  <w:vAlign w:val="center"/>
                </w:tcPr>
                <w:p w14:paraId="31A6F466">
                  <w:pPr>
                    <w:pStyle w:val="20"/>
                    <w:bidi w:val="0"/>
                    <w:rPr>
                      <w:rFonts w:hint="default"/>
                      <w:color w:val="auto"/>
                      <w:highlight w:val="none"/>
                      <w:lang w:val="en-US" w:eastAsia="zh-CN"/>
                    </w:rPr>
                  </w:pPr>
                  <w:r>
                    <w:rPr>
                      <w:rFonts w:hint="eastAsia"/>
                      <w:color w:val="auto"/>
                      <w:highlight w:val="none"/>
                      <w:lang w:val="en-US" w:eastAsia="zh-CN"/>
                    </w:rPr>
                    <w:t>/</w:t>
                  </w:r>
                </w:p>
              </w:tc>
              <w:tc>
                <w:tcPr>
                  <w:tcW w:w="425" w:type="pct"/>
                  <w:noWrap w:val="0"/>
                  <w:vAlign w:val="center"/>
                </w:tcPr>
                <w:p w14:paraId="6B04F21F">
                  <w:pPr>
                    <w:pStyle w:val="20"/>
                    <w:bidi w:val="0"/>
                    <w:rPr>
                      <w:rFonts w:hint="default"/>
                      <w:color w:val="auto"/>
                      <w:highlight w:val="none"/>
                      <w:lang w:val="en-US" w:eastAsia="zh-CN"/>
                    </w:rPr>
                  </w:pPr>
                  <w:r>
                    <w:rPr>
                      <w:rFonts w:hint="eastAsia"/>
                      <w:color w:val="auto"/>
                      <w:highlight w:val="none"/>
                      <w:lang w:val="en-US" w:eastAsia="zh-CN"/>
                    </w:rPr>
                    <w:t>/</w:t>
                  </w:r>
                </w:p>
              </w:tc>
              <w:tc>
                <w:tcPr>
                  <w:tcW w:w="966" w:type="pct"/>
                  <w:shd w:val="clear" w:color="auto" w:fill="auto"/>
                  <w:noWrap w:val="0"/>
                  <w:vAlign w:val="center"/>
                </w:tcPr>
                <w:p w14:paraId="380DCE1B">
                  <w:pPr>
                    <w:pStyle w:val="20"/>
                    <w:bidi w:val="0"/>
                    <w:rPr>
                      <w:rFonts w:hint="default"/>
                      <w:color w:val="auto"/>
                      <w:highlight w:val="none"/>
                      <w:lang w:val="en-US" w:eastAsia="zh-CN"/>
                    </w:rPr>
                  </w:pPr>
                  <w:r>
                    <w:rPr>
                      <w:rFonts w:hint="default"/>
                      <w:color w:val="auto"/>
                      <w:highlight w:val="none"/>
                      <w:lang w:val="en-US" w:eastAsia="zh-CN"/>
                    </w:rPr>
                    <w:t>SS250G</w:t>
                  </w:r>
                </w:p>
              </w:tc>
              <w:tc>
                <w:tcPr>
                  <w:tcW w:w="434" w:type="pct"/>
                  <w:shd w:val="clear" w:color="auto" w:fill="auto"/>
                  <w:noWrap w:val="0"/>
                  <w:vAlign w:val="center"/>
                </w:tcPr>
                <w:p w14:paraId="1ECE5ECC">
                  <w:pPr>
                    <w:pStyle w:val="20"/>
                    <w:bidi w:val="0"/>
                    <w:rPr>
                      <w:rFonts w:hint="default"/>
                      <w:color w:val="auto"/>
                      <w:highlight w:val="none"/>
                      <w:lang w:val="en-US" w:eastAsia="zh-CN"/>
                    </w:rPr>
                  </w:pPr>
                  <w:r>
                    <w:rPr>
                      <w:rFonts w:hint="eastAsia"/>
                      <w:color w:val="auto"/>
                      <w:highlight w:val="none"/>
                      <w:lang w:val="en-US" w:eastAsia="zh-CN"/>
                    </w:rPr>
                    <w:t>1</w:t>
                  </w:r>
                </w:p>
              </w:tc>
              <w:tc>
                <w:tcPr>
                  <w:tcW w:w="754" w:type="pct"/>
                  <w:vMerge w:val="continue"/>
                  <w:noWrap w:val="0"/>
                  <w:vAlign w:val="center"/>
                </w:tcPr>
                <w:p w14:paraId="27D58CB9">
                  <w:pPr>
                    <w:pStyle w:val="20"/>
                    <w:bidi w:val="0"/>
                    <w:rPr>
                      <w:rFonts w:hint="default"/>
                      <w:color w:val="auto"/>
                      <w:highlight w:val="none"/>
                      <w:lang w:val="en-US" w:eastAsia="zh-CN"/>
                    </w:rPr>
                  </w:pPr>
                </w:p>
              </w:tc>
              <w:tc>
                <w:tcPr>
                  <w:tcW w:w="470" w:type="pct"/>
                  <w:noWrap w:val="0"/>
                  <w:vAlign w:val="center"/>
                </w:tcPr>
                <w:p w14:paraId="21707F6A">
                  <w:pPr>
                    <w:pStyle w:val="20"/>
                    <w:bidi w:val="0"/>
                    <w:rPr>
                      <w:rFonts w:hint="default"/>
                      <w:color w:val="auto"/>
                      <w:highlight w:val="none"/>
                    </w:rPr>
                  </w:pPr>
                  <w:r>
                    <w:rPr>
                      <w:rFonts w:hint="eastAsia"/>
                      <w:color w:val="auto"/>
                      <w:highlight w:val="none"/>
                      <w:lang w:val="en-US" w:eastAsia="zh-CN"/>
                    </w:rPr>
                    <w:t>新增</w:t>
                  </w:r>
                </w:p>
              </w:tc>
            </w:tr>
            <w:tr w14:paraId="3F520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4" w:type="pct"/>
                  <w:vMerge w:val="continue"/>
                  <w:noWrap w:val="0"/>
                  <w:vAlign w:val="center"/>
                </w:tcPr>
                <w:p w14:paraId="2CB95206">
                  <w:pPr>
                    <w:pStyle w:val="20"/>
                    <w:bidi w:val="0"/>
                    <w:rPr>
                      <w:rFonts w:hint="default"/>
                      <w:color w:val="auto"/>
                      <w:highlight w:val="none"/>
                    </w:rPr>
                  </w:pPr>
                </w:p>
              </w:tc>
              <w:tc>
                <w:tcPr>
                  <w:tcW w:w="670" w:type="pct"/>
                  <w:vMerge w:val="continue"/>
                  <w:noWrap w:val="0"/>
                  <w:vAlign w:val="center"/>
                </w:tcPr>
                <w:p w14:paraId="0E947700">
                  <w:pPr>
                    <w:pStyle w:val="20"/>
                    <w:bidi w:val="0"/>
                    <w:rPr>
                      <w:rFonts w:hint="default"/>
                      <w:color w:val="auto"/>
                      <w:highlight w:val="none"/>
                    </w:rPr>
                  </w:pPr>
                </w:p>
              </w:tc>
              <w:tc>
                <w:tcPr>
                  <w:tcW w:w="983" w:type="pct"/>
                  <w:shd w:val="clear" w:color="auto" w:fill="auto"/>
                  <w:noWrap w:val="0"/>
                  <w:vAlign w:val="center"/>
                </w:tcPr>
                <w:p w14:paraId="4E28E352">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w:t>
                  </w:r>
                </w:p>
              </w:tc>
              <w:tc>
                <w:tcPr>
                  <w:tcW w:w="425" w:type="pct"/>
                  <w:shd w:val="clear" w:color="auto" w:fill="auto"/>
                  <w:noWrap w:val="0"/>
                  <w:vAlign w:val="center"/>
                </w:tcPr>
                <w:p w14:paraId="0B0757F9">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w:t>
                  </w:r>
                </w:p>
              </w:tc>
              <w:tc>
                <w:tcPr>
                  <w:tcW w:w="966" w:type="pct"/>
                  <w:shd w:val="clear" w:color="auto" w:fill="auto"/>
                  <w:noWrap w:val="0"/>
                  <w:vAlign w:val="center"/>
                </w:tcPr>
                <w:p w14:paraId="6FD3BC77">
                  <w:pPr>
                    <w:pStyle w:val="20"/>
                    <w:bidi w:val="0"/>
                    <w:rPr>
                      <w:rFonts w:hint="default"/>
                      <w:color w:val="auto"/>
                      <w:highlight w:val="none"/>
                      <w:lang w:val="en-US" w:eastAsia="zh-CN"/>
                    </w:rPr>
                  </w:pPr>
                  <w:r>
                    <w:rPr>
                      <w:rFonts w:hint="eastAsia"/>
                      <w:color w:val="auto"/>
                      <w:highlight w:val="none"/>
                      <w:lang w:val="en-US" w:eastAsia="zh-CN"/>
                    </w:rPr>
                    <w:t>UN-350</w:t>
                  </w:r>
                </w:p>
              </w:tc>
              <w:tc>
                <w:tcPr>
                  <w:tcW w:w="434" w:type="pct"/>
                  <w:shd w:val="clear" w:color="auto" w:fill="auto"/>
                  <w:noWrap w:val="0"/>
                  <w:vAlign w:val="center"/>
                </w:tcPr>
                <w:p w14:paraId="16A618F6">
                  <w:pPr>
                    <w:pStyle w:val="20"/>
                    <w:bidi w:val="0"/>
                    <w:rPr>
                      <w:rFonts w:hint="eastAsia"/>
                      <w:color w:val="auto"/>
                      <w:highlight w:val="none"/>
                      <w:lang w:val="en-US" w:eastAsia="zh-CN"/>
                    </w:rPr>
                  </w:pPr>
                  <w:r>
                    <w:rPr>
                      <w:rFonts w:hint="eastAsia"/>
                      <w:color w:val="auto"/>
                      <w:highlight w:val="none"/>
                      <w:lang w:val="en-US" w:eastAsia="zh-CN"/>
                    </w:rPr>
                    <w:t>1</w:t>
                  </w:r>
                </w:p>
              </w:tc>
              <w:tc>
                <w:tcPr>
                  <w:tcW w:w="754" w:type="pct"/>
                  <w:vMerge w:val="continue"/>
                  <w:noWrap w:val="0"/>
                  <w:vAlign w:val="center"/>
                </w:tcPr>
                <w:p w14:paraId="10F565A7">
                  <w:pPr>
                    <w:pStyle w:val="20"/>
                    <w:bidi w:val="0"/>
                    <w:rPr>
                      <w:rFonts w:hint="default"/>
                      <w:color w:val="auto"/>
                      <w:highlight w:val="none"/>
                      <w:lang w:val="en-US" w:eastAsia="zh-CN"/>
                    </w:rPr>
                  </w:pPr>
                </w:p>
              </w:tc>
              <w:tc>
                <w:tcPr>
                  <w:tcW w:w="470" w:type="pct"/>
                  <w:noWrap w:val="0"/>
                  <w:vAlign w:val="center"/>
                </w:tcPr>
                <w:p w14:paraId="1CDAFEBC">
                  <w:pPr>
                    <w:pStyle w:val="20"/>
                    <w:bidi w:val="0"/>
                    <w:rPr>
                      <w:rFonts w:hint="eastAsia"/>
                      <w:color w:val="auto"/>
                      <w:highlight w:val="none"/>
                      <w:lang w:val="en-US" w:eastAsia="zh-CN"/>
                    </w:rPr>
                  </w:pPr>
                  <w:r>
                    <w:rPr>
                      <w:rFonts w:hint="eastAsia"/>
                      <w:color w:val="auto"/>
                      <w:highlight w:val="none"/>
                      <w:lang w:val="en-US" w:eastAsia="zh-CN"/>
                    </w:rPr>
                    <w:t>新增</w:t>
                  </w:r>
                </w:p>
              </w:tc>
            </w:tr>
            <w:tr w14:paraId="3D990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4" w:type="pct"/>
                  <w:vMerge w:val="continue"/>
                  <w:noWrap w:val="0"/>
                  <w:vAlign w:val="center"/>
                </w:tcPr>
                <w:p w14:paraId="58A1E04C">
                  <w:pPr>
                    <w:pStyle w:val="20"/>
                    <w:bidi w:val="0"/>
                    <w:rPr>
                      <w:rFonts w:hint="default"/>
                      <w:color w:val="auto"/>
                      <w:highlight w:val="none"/>
                    </w:rPr>
                  </w:pPr>
                </w:p>
              </w:tc>
              <w:tc>
                <w:tcPr>
                  <w:tcW w:w="670" w:type="pct"/>
                  <w:vMerge w:val="continue"/>
                  <w:noWrap w:val="0"/>
                  <w:vAlign w:val="center"/>
                </w:tcPr>
                <w:p w14:paraId="5F40EBC4">
                  <w:pPr>
                    <w:pStyle w:val="20"/>
                    <w:bidi w:val="0"/>
                    <w:rPr>
                      <w:rFonts w:hint="default"/>
                      <w:color w:val="auto"/>
                      <w:highlight w:val="none"/>
                    </w:rPr>
                  </w:pPr>
                </w:p>
              </w:tc>
              <w:tc>
                <w:tcPr>
                  <w:tcW w:w="983" w:type="pct"/>
                  <w:noWrap w:val="0"/>
                  <w:vAlign w:val="center"/>
                </w:tcPr>
                <w:p w14:paraId="00E8B12C">
                  <w:pPr>
                    <w:pStyle w:val="20"/>
                    <w:bidi w:val="0"/>
                    <w:rPr>
                      <w:rFonts w:hint="default"/>
                      <w:color w:val="auto"/>
                      <w:highlight w:val="none"/>
                      <w:lang w:val="en-US" w:eastAsia="zh-CN"/>
                    </w:rPr>
                  </w:pPr>
                  <w:r>
                    <w:rPr>
                      <w:rFonts w:hint="eastAsia"/>
                      <w:color w:val="auto"/>
                      <w:highlight w:val="none"/>
                      <w:lang w:val="en-US" w:eastAsia="zh-CN"/>
                    </w:rPr>
                    <w:t>/</w:t>
                  </w:r>
                </w:p>
              </w:tc>
              <w:tc>
                <w:tcPr>
                  <w:tcW w:w="425" w:type="pct"/>
                  <w:noWrap w:val="0"/>
                  <w:vAlign w:val="center"/>
                </w:tcPr>
                <w:p w14:paraId="08C55773">
                  <w:pPr>
                    <w:pStyle w:val="20"/>
                    <w:bidi w:val="0"/>
                    <w:rPr>
                      <w:rFonts w:hint="default"/>
                      <w:color w:val="auto"/>
                      <w:highlight w:val="none"/>
                      <w:lang w:val="en-US" w:eastAsia="zh-CN"/>
                    </w:rPr>
                  </w:pPr>
                  <w:r>
                    <w:rPr>
                      <w:rFonts w:hint="eastAsia"/>
                      <w:color w:val="auto"/>
                      <w:highlight w:val="none"/>
                      <w:lang w:val="en-US" w:eastAsia="zh-CN"/>
                    </w:rPr>
                    <w:t>/</w:t>
                  </w:r>
                </w:p>
              </w:tc>
              <w:tc>
                <w:tcPr>
                  <w:tcW w:w="966" w:type="pct"/>
                  <w:shd w:val="clear" w:color="auto" w:fill="auto"/>
                  <w:noWrap w:val="0"/>
                  <w:vAlign w:val="center"/>
                </w:tcPr>
                <w:p w14:paraId="0F722505">
                  <w:pPr>
                    <w:pStyle w:val="20"/>
                    <w:bidi w:val="0"/>
                    <w:rPr>
                      <w:rFonts w:hint="default"/>
                      <w:color w:val="auto"/>
                      <w:highlight w:val="none"/>
                      <w:lang w:val="en-US" w:eastAsia="zh-CN"/>
                    </w:rPr>
                  </w:pPr>
                  <w:r>
                    <w:rPr>
                      <w:rFonts w:hint="default"/>
                      <w:color w:val="auto"/>
                      <w:highlight w:val="none"/>
                      <w:lang w:val="en-US" w:eastAsia="zh-CN"/>
                    </w:rPr>
                    <w:t>SS530G</w:t>
                  </w:r>
                </w:p>
              </w:tc>
              <w:tc>
                <w:tcPr>
                  <w:tcW w:w="434" w:type="pct"/>
                  <w:shd w:val="clear" w:color="auto" w:fill="auto"/>
                  <w:noWrap w:val="0"/>
                  <w:vAlign w:val="center"/>
                </w:tcPr>
                <w:p w14:paraId="7B3E571E">
                  <w:pPr>
                    <w:pStyle w:val="20"/>
                    <w:bidi w:val="0"/>
                    <w:rPr>
                      <w:rFonts w:hint="default"/>
                      <w:color w:val="auto"/>
                      <w:highlight w:val="none"/>
                      <w:lang w:val="en-US" w:eastAsia="zh-CN"/>
                    </w:rPr>
                  </w:pPr>
                  <w:r>
                    <w:rPr>
                      <w:rFonts w:hint="eastAsia"/>
                      <w:color w:val="auto"/>
                      <w:highlight w:val="none"/>
                      <w:lang w:val="en-US" w:eastAsia="zh-CN"/>
                    </w:rPr>
                    <w:t>1</w:t>
                  </w:r>
                </w:p>
              </w:tc>
              <w:tc>
                <w:tcPr>
                  <w:tcW w:w="754" w:type="pct"/>
                  <w:vMerge w:val="continue"/>
                  <w:noWrap w:val="0"/>
                  <w:vAlign w:val="center"/>
                </w:tcPr>
                <w:p w14:paraId="7F5D72C4">
                  <w:pPr>
                    <w:pStyle w:val="20"/>
                    <w:bidi w:val="0"/>
                    <w:rPr>
                      <w:rFonts w:hint="default"/>
                      <w:color w:val="auto"/>
                      <w:highlight w:val="none"/>
                      <w:lang w:val="en-US" w:eastAsia="zh-CN"/>
                    </w:rPr>
                  </w:pPr>
                </w:p>
              </w:tc>
              <w:tc>
                <w:tcPr>
                  <w:tcW w:w="470" w:type="pct"/>
                  <w:noWrap w:val="0"/>
                  <w:vAlign w:val="center"/>
                </w:tcPr>
                <w:p w14:paraId="51D9EFDB">
                  <w:pPr>
                    <w:pStyle w:val="20"/>
                    <w:bidi w:val="0"/>
                    <w:rPr>
                      <w:rFonts w:hint="eastAsia"/>
                      <w:color w:val="auto"/>
                      <w:highlight w:val="none"/>
                      <w:lang w:val="en-US" w:eastAsia="zh-CN"/>
                    </w:rPr>
                  </w:pPr>
                  <w:r>
                    <w:rPr>
                      <w:rFonts w:hint="eastAsia"/>
                      <w:color w:val="auto"/>
                      <w:highlight w:val="none"/>
                      <w:lang w:val="en-US" w:eastAsia="zh-CN"/>
                    </w:rPr>
                    <w:t>新增</w:t>
                  </w:r>
                </w:p>
              </w:tc>
            </w:tr>
            <w:tr w14:paraId="7D49B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4" w:type="pct"/>
                  <w:vMerge w:val="continue"/>
                  <w:noWrap w:val="0"/>
                  <w:vAlign w:val="center"/>
                </w:tcPr>
                <w:p w14:paraId="0ED54B06">
                  <w:pPr>
                    <w:pStyle w:val="20"/>
                    <w:bidi w:val="0"/>
                    <w:rPr>
                      <w:rFonts w:hint="default"/>
                      <w:color w:val="auto"/>
                      <w:highlight w:val="none"/>
                    </w:rPr>
                  </w:pPr>
                </w:p>
              </w:tc>
              <w:tc>
                <w:tcPr>
                  <w:tcW w:w="670" w:type="pct"/>
                  <w:vMerge w:val="continue"/>
                  <w:noWrap w:val="0"/>
                  <w:vAlign w:val="center"/>
                </w:tcPr>
                <w:p w14:paraId="0933E232">
                  <w:pPr>
                    <w:pStyle w:val="20"/>
                    <w:bidi w:val="0"/>
                    <w:rPr>
                      <w:rFonts w:hint="default"/>
                      <w:color w:val="auto"/>
                      <w:highlight w:val="none"/>
                    </w:rPr>
                  </w:pPr>
                </w:p>
              </w:tc>
              <w:tc>
                <w:tcPr>
                  <w:tcW w:w="983" w:type="pct"/>
                  <w:noWrap w:val="0"/>
                  <w:vAlign w:val="center"/>
                </w:tcPr>
                <w:p w14:paraId="4FD42CB5">
                  <w:pPr>
                    <w:pStyle w:val="20"/>
                    <w:bidi w:val="0"/>
                    <w:rPr>
                      <w:rFonts w:hint="default"/>
                      <w:color w:val="auto"/>
                      <w:highlight w:val="none"/>
                      <w:lang w:val="en-US" w:eastAsia="zh-CN"/>
                    </w:rPr>
                  </w:pPr>
                  <w:r>
                    <w:rPr>
                      <w:rFonts w:hint="eastAsia"/>
                      <w:color w:val="auto"/>
                      <w:highlight w:val="none"/>
                      <w:lang w:val="en-US" w:eastAsia="zh-CN"/>
                    </w:rPr>
                    <w:t>/</w:t>
                  </w:r>
                </w:p>
              </w:tc>
              <w:tc>
                <w:tcPr>
                  <w:tcW w:w="425" w:type="pct"/>
                  <w:noWrap w:val="0"/>
                  <w:vAlign w:val="center"/>
                </w:tcPr>
                <w:p w14:paraId="00EA39B4">
                  <w:pPr>
                    <w:pStyle w:val="20"/>
                    <w:bidi w:val="0"/>
                    <w:rPr>
                      <w:rFonts w:hint="default"/>
                      <w:color w:val="auto"/>
                      <w:highlight w:val="none"/>
                      <w:lang w:val="en-US" w:eastAsia="zh-CN"/>
                    </w:rPr>
                  </w:pPr>
                  <w:r>
                    <w:rPr>
                      <w:rFonts w:hint="eastAsia"/>
                      <w:color w:val="auto"/>
                      <w:highlight w:val="none"/>
                      <w:lang w:val="en-US" w:eastAsia="zh-CN"/>
                    </w:rPr>
                    <w:t>/</w:t>
                  </w:r>
                </w:p>
              </w:tc>
              <w:tc>
                <w:tcPr>
                  <w:tcW w:w="966" w:type="pct"/>
                  <w:shd w:val="clear" w:color="auto" w:fill="auto"/>
                  <w:noWrap w:val="0"/>
                  <w:vAlign w:val="center"/>
                </w:tcPr>
                <w:p w14:paraId="15AAA86A">
                  <w:pPr>
                    <w:pStyle w:val="20"/>
                    <w:bidi w:val="0"/>
                    <w:rPr>
                      <w:rFonts w:hint="default"/>
                      <w:color w:val="auto"/>
                      <w:highlight w:val="none"/>
                      <w:lang w:val="en-US" w:eastAsia="zh-CN"/>
                    </w:rPr>
                  </w:pPr>
                  <w:r>
                    <w:rPr>
                      <w:rFonts w:hint="default"/>
                      <w:color w:val="auto"/>
                      <w:highlight w:val="none"/>
                      <w:lang w:val="en-US" w:eastAsia="zh-CN"/>
                    </w:rPr>
                    <w:t>UN-500</w:t>
                  </w:r>
                </w:p>
              </w:tc>
              <w:tc>
                <w:tcPr>
                  <w:tcW w:w="434" w:type="pct"/>
                  <w:shd w:val="clear" w:color="auto" w:fill="auto"/>
                  <w:noWrap w:val="0"/>
                  <w:vAlign w:val="center"/>
                </w:tcPr>
                <w:p w14:paraId="7A240870">
                  <w:pPr>
                    <w:pStyle w:val="20"/>
                    <w:bidi w:val="0"/>
                    <w:rPr>
                      <w:rFonts w:hint="default"/>
                      <w:color w:val="auto"/>
                      <w:highlight w:val="none"/>
                      <w:lang w:val="en-US" w:eastAsia="zh-CN"/>
                    </w:rPr>
                  </w:pPr>
                  <w:r>
                    <w:rPr>
                      <w:rFonts w:hint="eastAsia"/>
                      <w:color w:val="auto"/>
                      <w:highlight w:val="none"/>
                      <w:lang w:val="en-US" w:eastAsia="zh-CN"/>
                    </w:rPr>
                    <w:t>1</w:t>
                  </w:r>
                </w:p>
              </w:tc>
              <w:tc>
                <w:tcPr>
                  <w:tcW w:w="754" w:type="pct"/>
                  <w:vMerge w:val="continue"/>
                  <w:noWrap w:val="0"/>
                  <w:vAlign w:val="center"/>
                </w:tcPr>
                <w:p w14:paraId="01E2D574">
                  <w:pPr>
                    <w:pStyle w:val="20"/>
                    <w:bidi w:val="0"/>
                    <w:rPr>
                      <w:rFonts w:hint="default"/>
                      <w:color w:val="auto"/>
                      <w:highlight w:val="none"/>
                      <w:lang w:val="en-US" w:eastAsia="zh-CN"/>
                    </w:rPr>
                  </w:pPr>
                </w:p>
              </w:tc>
              <w:tc>
                <w:tcPr>
                  <w:tcW w:w="470" w:type="pct"/>
                  <w:noWrap w:val="0"/>
                  <w:vAlign w:val="center"/>
                </w:tcPr>
                <w:p w14:paraId="175A1C2B">
                  <w:pPr>
                    <w:pStyle w:val="20"/>
                    <w:bidi w:val="0"/>
                    <w:rPr>
                      <w:rFonts w:hint="default"/>
                      <w:color w:val="auto"/>
                      <w:highlight w:val="none"/>
                    </w:rPr>
                  </w:pPr>
                  <w:r>
                    <w:rPr>
                      <w:rFonts w:hint="eastAsia"/>
                      <w:color w:val="auto"/>
                      <w:highlight w:val="none"/>
                      <w:lang w:val="en-US" w:eastAsia="zh-CN"/>
                    </w:rPr>
                    <w:t>新增</w:t>
                  </w:r>
                </w:p>
              </w:tc>
            </w:tr>
            <w:tr w14:paraId="552AD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4" w:type="pct"/>
                  <w:vMerge w:val="continue"/>
                  <w:noWrap w:val="0"/>
                  <w:vAlign w:val="center"/>
                </w:tcPr>
                <w:p w14:paraId="2E3AEA0F">
                  <w:pPr>
                    <w:pStyle w:val="20"/>
                    <w:bidi w:val="0"/>
                    <w:rPr>
                      <w:rFonts w:hint="default"/>
                      <w:color w:val="auto"/>
                      <w:highlight w:val="none"/>
                    </w:rPr>
                  </w:pPr>
                </w:p>
              </w:tc>
              <w:tc>
                <w:tcPr>
                  <w:tcW w:w="670" w:type="pct"/>
                  <w:vMerge w:val="continue"/>
                  <w:noWrap w:val="0"/>
                  <w:vAlign w:val="center"/>
                </w:tcPr>
                <w:p w14:paraId="054CEC49">
                  <w:pPr>
                    <w:pStyle w:val="20"/>
                    <w:bidi w:val="0"/>
                    <w:rPr>
                      <w:rFonts w:hint="default"/>
                      <w:color w:val="auto"/>
                      <w:highlight w:val="none"/>
                    </w:rPr>
                  </w:pPr>
                </w:p>
              </w:tc>
              <w:tc>
                <w:tcPr>
                  <w:tcW w:w="983" w:type="pct"/>
                  <w:shd w:val="clear" w:color="auto" w:fill="auto"/>
                  <w:noWrap w:val="0"/>
                  <w:vAlign w:val="center"/>
                </w:tcPr>
                <w:p w14:paraId="7FCDF929">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w:t>
                  </w:r>
                </w:p>
              </w:tc>
              <w:tc>
                <w:tcPr>
                  <w:tcW w:w="425" w:type="pct"/>
                  <w:shd w:val="clear" w:color="auto" w:fill="auto"/>
                  <w:noWrap w:val="0"/>
                  <w:vAlign w:val="center"/>
                </w:tcPr>
                <w:p w14:paraId="7B3F8D88">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w:t>
                  </w:r>
                </w:p>
              </w:tc>
              <w:tc>
                <w:tcPr>
                  <w:tcW w:w="966" w:type="pct"/>
                  <w:shd w:val="clear" w:color="auto" w:fill="auto"/>
                  <w:noWrap w:val="0"/>
                  <w:vAlign w:val="center"/>
                </w:tcPr>
                <w:p w14:paraId="2ED8CA02">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EM560-SVP/2</w:t>
                  </w:r>
                </w:p>
              </w:tc>
              <w:tc>
                <w:tcPr>
                  <w:tcW w:w="434" w:type="pct"/>
                  <w:shd w:val="clear" w:color="auto" w:fill="auto"/>
                  <w:noWrap w:val="0"/>
                  <w:vAlign w:val="center"/>
                </w:tcPr>
                <w:p w14:paraId="294755BE">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1</w:t>
                  </w:r>
                </w:p>
              </w:tc>
              <w:tc>
                <w:tcPr>
                  <w:tcW w:w="754" w:type="pct"/>
                  <w:vMerge w:val="continue"/>
                  <w:noWrap w:val="0"/>
                  <w:vAlign w:val="center"/>
                </w:tcPr>
                <w:p w14:paraId="56CC1928">
                  <w:pPr>
                    <w:pStyle w:val="20"/>
                    <w:bidi w:val="0"/>
                    <w:rPr>
                      <w:rFonts w:hint="default"/>
                      <w:color w:val="auto"/>
                      <w:highlight w:val="none"/>
                      <w:lang w:val="en-US" w:eastAsia="zh-CN"/>
                    </w:rPr>
                  </w:pPr>
                </w:p>
              </w:tc>
              <w:tc>
                <w:tcPr>
                  <w:tcW w:w="470" w:type="pct"/>
                  <w:noWrap w:val="0"/>
                  <w:vAlign w:val="center"/>
                </w:tcPr>
                <w:p w14:paraId="41758B5F">
                  <w:pPr>
                    <w:pStyle w:val="20"/>
                    <w:bidi w:val="0"/>
                    <w:rPr>
                      <w:rFonts w:hint="eastAsia"/>
                      <w:color w:val="auto"/>
                      <w:highlight w:val="none"/>
                      <w:lang w:val="en-US" w:eastAsia="zh-CN"/>
                    </w:rPr>
                  </w:pPr>
                  <w:r>
                    <w:rPr>
                      <w:rFonts w:hint="eastAsia"/>
                      <w:color w:val="auto"/>
                      <w:highlight w:val="none"/>
                      <w:lang w:val="en-US" w:eastAsia="zh-CN"/>
                    </w:rPr>
                    <w:t>新增</w:t>
                  </w:r>
                </w:p>
              </w:tc>
            </w:tr>
            <w:tr w14:paraId="6A25E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4" w:type="pct"/>
                  <w:vMerge w:val="continue"/>
                  <w:noWrap w:val="0"/>
                  <w:vAlign w:val="center"/>
                </w:tcPr>
                <w:p w14:paraId="59531F79">
                  <w:pPr>
                    <w:pStyle w:val="20"/>
                    <w:bidi w:val="0"/>
                    <w:rPr>
                      <w:rFonts w:hint="default"/>
                      <w:color w:val="auto"/>
                      <w:highlight w:val="none"/>
                    </w:rPr>
                  </w:pPr>
                </w:p>
              </w:tc>
              <w:tc>
                <w:tcPr>
                  <w:tcW w:w="670" w:type="pct"/>
                  <w:vMerge w:val="continue"/>
                  <w:noWrap w:val="0"/>
                  <w:vAlign w:val="center"/>
                </w:tcPr>
                <w:p w14:paraId="13320957">
                  <w:pPr>
                    <w:pStyle w:val="20"/>
                    <w:bidi w:val="0"/>
                    <w:rPr>
                      <w:rFonts w:hint="default"/>
                      <w:color w:val="auto"/>
                      <w:highlight w:val="none"/>
                    </w:rPr>
                  </w:pPr>
                </w:p>
              </w:tc>
              <w:tc>
                <w:tcPr>
                  <w:tcW w:w="983" w:type="pct"/>
                  <w:noWrap w:val="0"/>
                  <w:vAlign w:val="center"/>
                </w:tcPr>
                <w:p w14:paraId="2E607F88">
                  <w:pPr>
                    <w:pStyle w:val="20"/>
                    <w:bidi w:val="0"/>
                    <w:rPr>
                      <w:rFonts w:hint="eastAsia"/>
                      <w:color w:val="auto"/>
                      <w:highlight w:val="none"/>
                      <w:lang w:val="en-US" w:eastAsia="zh-CN"/>
                    </w:rPr>
                  </w:pPr>
                  <w:r>
                    <w:rPr>
                      <w:rFonts w:hint="eastAsia"/>
                      <w:color w:val="auto"/>
                      <w:highlight w:val="none"/>
                      <w:lang w:val="en-US" w:eastAsia="zh-CN"/>
                    </w:rPr>
                    <w:t>/</w:t>
                  </w:r>
                </w:p>
              </w:tc>
              <w:tc>
                <w:tcPr>
                  <w:tcW w:w="425" w:type="pct"/>
                  <w:noWrap w:val="0"/>
                  <w:vAlign w:val="center"/>
                </w:tcPr>
                <w:p w14:paraId="1806C6AF">
                  <w:pPr>
                    <w:pStyle w:val="20"/>
                    <w:bidi w:val="0"/>
                    <w:rPr>
                      <w:rFonts w:hint="eastAsia"/>
                      <w:color w:val="auto"/>
                      <w:highlight w:val="none"/>
                      <w:lang w:val="en-US" w:eastAsia="zh-CN"/>
                    </w:rPr>
                  </w:pPr>
                  <w:r>
                    <w:rPr>
                      <w:rFonts w:hint="eastAsia"/>
                      <w:color w:val="auto"/>
                      <w:highlight w:val="none"/>
                      <w:lang w:val="en-US" w:eastAsia="zh-CN"/>
                    </w:rPr>
                    <w:t>/</w:t>
                  </w:r>
                </w:p>
              </w:tc>
              <w:tc>
                <w:tcPr>
                  <w:tcW w:w="966" w:type="pct"/>
                  <w:shd w:val="clear" w:color="auto" w:fill="auto"/>
                  <w:noWrap w:val="0"/>
                  <w:vAlign w:val="center"/>
                </w:tcPr>
                <w:p w14:paraId="39787C65">
                  <w:pPr>
                    <w:pStyle w:val="20"/>
                    <w:bidi w:val="0"/>
                    <w:rPr>
                      <w:rFonts w:hint="default"/>
                      <w:color w:val="auto"/>
                      <w:highlight w:val="none"/>
                      <w:lang w:val="en-US" w:eastAsia="zh-CN"/>
                    </w:rPr>
                  </w:pPr>
                  <w:r>
                    <w:rPr>
                      <w:rFonts w:hint="eastAsia"/>
                      <w:color w:val="auto"/>
                      <w:highlight w:val="none"/>
                      <w:lang w:val="en-US" w:eastAsia="zh-CN"/>
                    </w:rPr>
                    <w:t>UN-650</w:t>
                  </w:r>
                </w:p>
              </w:tc>
              <w:tc>
                <w:tcPr>
                  <w:tcW w:w="434" w:type="pct"/>
                  <w:shd w:val="clear" w:color="auto" w:fill="auto"/>
                  <w:noWrap w:val="0"/>
                  <w:vAlign w:val="center"/>
                </w:tcPr>
                <w:p w14:paraId="1DD583A0">
                  <w:pPr>
                    <w:pStyle w:val="20"/>
                    <w:bidi w:val="0"/>
                    <w:rPr>
                      <w:rFonts w:hint="default"/>
                      <w:color w:val="auto"/>
                      <w:highlight w:val="none"/>
                      <w:lang w:val="en-US" w:eastAsia="zh-CN"/>
                    </w:rPr>
                  </w:pPr>
                  <w:r>
                    <w:rPr>
                      <w:rFonts w:hint="eastAsia"/>
                      <w:color w:val="auto"/>
                      <w:highlight w:val="none"/>
                      <w:lang w:val="en-US" w:eastAsia="zh-CN"/>
                    </w:rPr>
                    <w:t>1</w:t>
                  </w:r>
                </w:p>
              </w:tc>
              <w:tc>
                <w:tcPr>
                  <w:tcW w:w="754" w:type="pct"/>
                  <w:vMerge w:val="continue"/>
                  <w:noWrap w:val="0"/>
                  <w:vAlign w:val="center"/>
                </w:tcPr>
                <w:p w14:paraId="2884B020">
                  <w:pPr>
                    <w:pStyle w:val="20"/>
                    <w:bidi w:val="0"/>
                    <w:rPr>
                      <w:rFonts w:hint="eastAsia"/>
                      <w:color w:val="auto"/>
                      <w:highlight w:val="none"/>
                      <w:lang w:val="en-US" w:eastAsia="zh-CN"/>
                    </w:rPr>
                  </w:pPr>
                </w:p>
              </w:tc>
              <w:tc>
                <w:tcPr>
                  <w:tcW w:w="470" w:type="pct"/>
                  <w:noWrap w:val="0"/>
                  <w:vAlign w:val="center"/>
                </w:tcPr>
                <w:p w14:paraId="11CE0839">
                  <w:pPr>
                    <w:pStyle w:val="20"/>
                    <w:bidi w:val="0"/>
                    <w:rPr>
                      <w:rFonts w:hint="eastAsia"/>
                      <w:color w:val="auto"/>
                      <w:highlight w:val="none"/>
                      <w:lang w:val="en-US" w:eastAsia="zh-CN"/>
                    </w:rPr>
                  </w:pPr>
                  <w:r>
                    <w:rPr>
                      <w:rFonts w:hint="eastAsia"/>
                      <w:color w:val="auto"/>
                      <w:highlight w:val="none"/>
                      <w:lang w:val="en-US" w:eastAsia="zh-CN"/>
                    </w:rPr>
                    <w:t>新增</w:t>
                  </w:r>
                </w:p>
              </w:tc>
            </w:tr>
            <w:tr w14:paraId="42727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4" w:type="pct"/>
                  <w:shd w:val="clear" w:color="auto" w:fill="auto"/>
                  <w:noWrap w:val="0"/>
                  <w:vAlign w:val="center"/>
                </w:tcPr>
                <w:p w14:paraId="19E3D7D2">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2</w:t>
                  </w:r>
                </w:p>
              </w:tc>
              <w:tc>
                <w:tcPr>
                  <w:tcW w:w="670" w:type="pct"/>
                  <w:noWrap w:val="0"/>
                  <w:vAlign w:val="center"/>
                </w:tcPr>
                <w:p w14:paraId="2A95191F">
                  <w:pPr>
                    <w:pStyle w:val="20"/>
                    <w:bidi w:val="0"/>
                    <w:jc w:val="center"/>
                    <w:rPr>
                      <w:rFonts w:hint="default"/>
                      <w:color w:val="auto"/>
                      <w:highlight w:val="none"/>
                      <w:lang w:val="en-US" w:eastAsia="zh-CN"/>
                    </w:rPr>
                  </w:pPr>
                  <w:r>
                    <w:rPr>
                      <w:rFonts w:hint="eastAsia"/>
                      <w:color w:val="auto"/>
                      <w:highlight w:val="none"/>
                      <w:lang w:val="en-US" w:eastAsia="zh-CN"/>
                    </w:rPr>
                    <w:t>干燥机</w:t>
                  </w:r>
                </w:p>
              </w:tc>
              <w:tc>
                <w:tcPr>
                  <w:tcW w:w="983" w:type="pct"/>
                  <w:shd w:val="clear" w:color="auto" w:fill="auto"/>
                  <w:noWrap w:val="0"/>
                  <w:vAlign w:val="center"/>
                </w:tcPr>
                <w:p w14:paraId="2298E791">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ZD-100E</w:t>
                  </w:r>
                </w:p>
              </w:tc>
              <w:tc>
                <w:tcPr>
                  <w:tcW w:w="425" w:type="pct"/>
                  <w:shd w:val="clear" w:color="auto" w:fill="auto"/>
                  <w:noWrap w:val="0"/>
                  <w:vAlign w:val="center"/>
                </w:tcPr>
                <w:p w14:paraId="11BF7CF2">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1</w:t>
                  </w:r>
                </w:p>
              </w:tc>
              <w:tc>
                <w:tcPr>
                  <w:tcW w:w="966" w:type="pct"/>
                  <w:shd w:val="clear" w:color="auto" w:fill="auto"/>
                  <w:noWrap w:val="0"/>
                  <w:vAlign w:val="center"/>
                </w:tcPr>
                <w:p w14:paraId="679295ED">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ZD-100E</w:t>
                  </w:r>
                </w:p>
              </w:tc>
              <w:tc>
                <w:tcPr>
                  <w:tcW w:w="434" w:type="pct"/>
                  <w:shd w:val="clear" w:color="auto" w:fill="auto"/>
                  <w:noWrap w:val="0"/>
                  <w:vAlign w:val="center"/>
                </w:tcPr>
                <w:p w14:paraId="2CCB6B9A">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1</w:t>
                  </w:r>
                </w:p>
              </w:tc>
              <w:tc>
                <w:tcPr>
                  <w:tcW w:w="754" w:type="pct"/>
                  <w:noWrap w:val="0"/>
                  <w:vAlign w:val="center"/>
                </w:tcPr>
                <w:p w14:paraId="1067E962">
                  <w:pPr>
                    <w:pStyle w:val="20"/>
                    <w:bidi w:val="0"/>
                    <w:jc w:val="center"/>
                    <w:rPr>
                      <w:rFonts w:hint="default"/>
                      <w:color w:val="auto"/>
                      <w:highlight w:val="none"/>
                      <w:lang w:val="en-US" w:eastAsia="zh-CN"/>
                    </w:rPr>
                  </w:pPr>
                  <w:r>
                    <w:rPr>
                      <w:rFonts w:hint="eastAsia"/>
                      <w:color w:val="auto"/>
                      <w:highlight w:val="none"/>
                      <w:lang w:val="en-US" w:eastAsia="zh-CN"/>
                    </w:rPr>
                    <w:t>干燥备用，用电</w:t>
                  </w:r>
                </w:p>
              </w:tc>
              <w:tc>
                <w:tcPr>
                  <w:tcW w:w="470" w:type="pct"/>
                  <w:noWrap w:val="0"/>
                  <w:vAlign w:val="center"/>
                </w:tcPr>
                <w:p w14:paraId="33DC4F85">
                  <w:pPr>
                    <w:pStyle w:val="20"/>
                    <w:bidi w:val="0"/>
                    <w:jc w:val="center"/>
                    <w:rPr>
                      <w:rFonts w:hint="default"/>
                      <w:color w:val="auto"/>
                      <w:highlight w:val="none"/>
                      <w:lang w:val="en-US" w:eastAsia="zh-CN"/>
                    </w:rPr>
                  </w:pPr>
                  <w:r>
                    <w:rPr>
                      <w:rFonts w:hint="default"/>
                      <w:color w:val="auto"/>
                      <w:highlight w:val="none"/>
                      <w:lang w:val="en-US" w:eastAsia="zh-CN"/>
                    </w:rPr>
                    <w:t>利旧</w:t>
                  </w:r>
                </w:p>
              </w:tc>
            </w:tr>
            <w:tr w14:paraId="1FDD8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4" w:type="pct"/>
                  <w:shd w:val="clear" w:color="auto" w:fill="auto"/>
                  <w:noWrap w:val="0"/>
                  <w:vAlign w:val="center"/>
                </w:tcPr>
                <w:p w14:paraId="3A6DA268">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3</w:t>
                  </w:r>
                </w:p>
              </w:tc>
              <w:tc>
                <w:tcPr>
                  <w:tcW w:w="670" w:type="pct"/>
                  <w:noWrap w:val="0"/>
                  <w:vAlign w:val="center"/>
                </w:tcPr>
                <w:p w14:paraId="7AEFD06A">
                  <w:pPr>
                    <w:pStyle w:val="20"/>
                    <w:bidi w:val="0"/>
                    <w:jc w:val="center"/>
                    <w:rPr>
                      <w:rFonts w:hint="default"/>
                      <w:color w:val="auto"/>
                      <w:highlight w:val="none"/>
                      <w:lang w:val="en-US" w:eastAsia="zh-CN"/>
                    </w:rPr>
                  </w:pPr>
                  <w:r>
                    <w:rPr>
                      <w:rFonts w:hint="eastAsia"/>
                      <w:color w:val="auto"/>
                      <w:highlight w:val="none"/>
                      <w:lang w:val="en-US" w:eastAsia="zh-CN"/>
                    </w:rPr>
                    <w:t>破碎机</w:t>
                  </w:r>
                </w:p>
              </w:tc>
              <w:tc>
                <w:tcPr>
                  <w:tcW w:w="983" w:type="pct"/>
                  <w:noWrap w:val="0"/>
                  <w:vAlign w:val="center"/>
                </w:tcPr>
                <w:p w14:paraId="6E20F7C0">
                  <w:pPr>
                    <w:pStyle w:val="20"/>
                    <w:bidi w:val="0"/>
                    <w:jc w:val="center"/>
                    <w:rPr>
                      <w:rFonts w:hint="default"/>
                      <w:color w:val="auto"/>
                      <w:highlight w:val="none"/>
                      <w:lang w:val="en-US" w:eastAsia="zh-CN"/>
                    </w:rPr>
                  </w:pPr>
                  <w:r>
                    <w:rPr>
                      <w:rFonts w:hint="eastAsia"/>
                      <w:color w:val="auto"/>
                      <w:highlight w:val="none"/>
                      <w:lang w:val="en-US" w:eastAsia="zh-CN"/>
                    </w:rPr>
                    <w:t>/</w:t>
                  </w:r>
                </w:p>
              </w:tc>
              <w:tc>
                <w:tcPr>
                  <w:tcW w:w="425" w:type="pct"/>
                  <w:noWrap w:val="0"/>
                  <w:vAlign w:val="center"/>
                </w:tcPr>
                <w:p w14:paraId="637D6985">
                  <w:pPr>
                    <w:pStyle w:val="20"/>
                    <w:bidi w:val="0"/>
                    <w:jc w:val="center"/>
                    <w:rPr>
                      <w:rFonts w:hint="default"/>
                      <w:color w:val="auto"/>
                      <w:highlight w:val="none"/>
                      <w:lang w:val="en-US" w:eastAsia="zh-CN"/>
                    </w:rPr>
                  </w:pPr>
                  <w:r>
                    <w:rPr>
                      <w:rFonts w:hint="eastAsia"/>
                      <w:color w:val="auto"/>
                      <w:highlight w:val="none"/>
                      <w:lang w:val="en-US" w:eastAsia="zh-CN"/>
                    </w:rPr>
                    <w:t>1</w:t>
                  </w:r>
                </w:p>
              </w:tc>
              <w:tc>
                <w:tcPr>
                  <w:tcW w:w="966" w:type="pct"/>
                  <w:shd w:val="clear" w:color="auto" w:fill="auto"/>
                  <w:noWrap w:val="0"/>
                  <w:vAlign w:val="center"/>
                </w:tcPr>
                <w:p w14:paraId="4CE442DF">
                  <w:pPr>
                    <w:pStyle w:val="20"/>
                    <w:bidi w:val="0"/>
                    <w:jc w:val="center"/>
                    <w:rPr>
                      <w:rFonts w:hint="default"/>
                      <w:color w:val="auto"/>
                      <w:highlight w:val="none"/>
                      <w:lang w:val="en-US" w:eastAsia="zh-CN"/>
                    </w:rPr>
                  </w:pPr>
                  <w:r>
                    <w:rPr>
                      <w:rFonts w:hint="eastAsia"/>
                      <w:color w:val="auto"/>
                      <w:highlight w:val="none"/>
                      <w:lang w:val="en-US" w:eastAsia="zh-CN"/>
                    </w:rPr>
                    <w:t>/</w:t>
                  </w:r>
                </w:p>
              </w:tc>
              <w:tc>
                <w:tcPr>
                  <w:tcW w:w="434" w:type="pct"/>
                  <w:shd w:val="clear" w:color="auto" w:fill="auto"/>
                  <w:noWrap w:val="0"/>
                  <w:vAlign w:val="center"/>
                </w:tcPr>
                <w:p w14:paraId="2431C998">
                  <w:pPr>
                    <w:pStyle w:val="20"/>
                    <w:bidi w:val="0"/>
                    <w:jc w:val="center"/>
                    <w:rPr>
                      <w:rFonts w:hint="default"/>
                      <w:color w:val="auto"/>
                      <w:highlight w:val="none"/>
                      <w:lang w:val="en-US" w:eastAsia="zh-CN"/>
                    </w:rPr>
                  </w:pPr>
                  <w:r>
                    <w:rPr>
                      <w:rFonts w:hint="eastAsia"/>
                      <w:color w:val="auto"/>
                      <w:highlight w:val="none"/>
                      <w:lang w:val="en-US" w:eastAsia="zh-CN"/>
                    </w:rPr>
                    <w:t>2</w:t>
                  </w:r>
                </w:p>
              </w:tc>
              <w:tc>
                <w:tcPr>
                  <w:tcW w:w="754" w:type="pct"/>
                  <w:noWrap w:val="0"/>
                  <w:vAlign w:val="center"/>
                </w:tcPr>
                <w:p w14:paraId="6BCFC7D0">
                  <w:pPr>
                    <w:pStyle w:val="20"/>
                    <w:bidi w:val="0"/>
                    <w:jc w:val="center"/>
                    <w:rPr>
                      <w:rFonts w:hint="default"/>
                      <w:color w:val="auto"/>
                      <w:highlight w:val="none"/>
                      <w:lang w:val="en-US" w:eastAsia="zh-CN"/>
                    </w:rPr>
                  </w:pPr>
                  <w:r>
                    <w:rPr>
                      <w:rFonts w:hint="eastAsia"/>
                      <w:color w:val="auto"/>
                      <w:highlight w:val="none"/>
                      <w:lang w:val="en-US" w:eastAsia="zh-CN"/>
                    </w:rPr>
                    <w:t>不合格品等破碎</w:t>
                  </w:r>
                </w:p>
              </w:tc>
              <w:tc>
                <w:tcPr>
                  <w:tcW w:w="470" w:type="pct"/>
                  <w:noWrap w:val="0"/>
                  <w:vAlign w:val="center"/>
                </w:tcPr>
                <w:p w14:paraId="0AB25725">
                  <w:pPr>
                    <w:pStyle w:val="20"/>
                    <w:bidi w:val="0"/>
                    <w:jc w:val="center"/>
                    <w:rPr>
                      <w:rFonts w:hint="default"/>
                      <w:color w:val="auto"/>
                      <w:highlight w:val="none"/>
                      <w:lang w:val="en-US" w:eastAsia="zh-CN"/>
                    </w:rPr>
                  </w:pPr>
                  <w:r>
                    <w:rPr>
                      <w:rFonts w:hint="eastAsia"/>
                      <w:color w:val="auto"/>
                      <w:highlight w:val="none"/>
                      <w:lang w:val="en-US" w:eastAsia="zh-CN"/>
                    </w:rPr>
                    <w:t>新增1</w:t>
                  </w:r>
                </w:p>
              </w:tc>
            </w:tr>
            <w:tr w14:paraId="1ED75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4" w:type="pct"/>
                  <w:shd w:val="clear" w:color="auto" w:fill="auto"/>
                  <w:noWrap w:val="0"/>
                  <w:vAlign w:val="center"/>
                </w:tcPr>
                <w:p w14:paraId="46061E70">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4</w:t>
                  </w:r>
                </w:p>
              </w:tc>
              <w:tc>
                <w:tcPr>
                  <w:tcW w:w="670" w:type="pct"/>
                  <w:noWrap w:val="0"/>
                  <w:vAlign w:val="center"/>
                </w:tcPr>
                <w:p w14:paraId="21DCF3AC">
                  <w:pPr>
                    <w:pStyle w:val="20"/>
                    <w:bidi w:val="0"/>
                    <w:jc w:val="center"/>
                    <w:rPr>
                      <w:rFonts w:hint="default"/>
                      <w:color w:val="auto"/>
                      <w:highlight w:val="none"/>
                      <w:lang w:val="en-US" w:eastAsia="zh-CN"/>
                    </w:rPr>
                  </w:pPr>
                  <w:r>
                    <w:rPr>
                      <w:rFonts w:hint="eastAsia"/>
                      <w:color w:val="auto"/>
                      <w:highlight w:val="none"/>
                      <w:lang w:val="en-US" w:eastAsia="zh-CN"/>
                    </w:rPr>
                    <w:t>混料机</w:t>
                  </w:r>
                </w:p>
              </w:tc>
              <w:tc>
                <w:tcPr>
                  <w:tcW w:w="983" w:type="pct"/>
                  <w:noWrap w:val="0"/>
                  <w:vAlign w:val="center"/>
                </w:tcPr>
                <w:p w14:paraId="2B8D6B50">
                  <w:pPr>
                    <w:pStyle w:val="20"/>
                    <w:bidi w:val="0"/>
                    <w:jc w:val="center"/>
                    <w:rPr>
                      <w:rFonts w:hint="default"/>
                      <w:color w:val="auto"/>
                      <w:highlight w:val="none"/>
                      <w:lang w:val="en-US" w:eastAsia="zh-CN"/>
                    </w:rPr>
                  </w:pPr>
                  <w:r>
                    <w:rPr>
                      <w:rFonts w:hint="eastAsia"/>
                      <w:color w:val="auto"/>
                      <w:highlight w:val="none"/>
                      <w:lang w:val="en-US" w:eastAsia="zh-CN"/>
                    </w:rPr>
                    <w:t>/</w:t>
                  </w:r>
                </w:p>
              </w:tc>
              <w:tc>
                <w:tcPr>
                  <w:tcW w:w="425" w:type="pct"/>
                  <w:noWrap w:val="0"/>
                  <w:vAlign w:val="center"/>
                </w:tcPr>
                <w:p w14:paraId="1CE9B233">
                  <w:pPr>
                    <w:pStyle w:val="20"/>
                    <w:bidi w:val="0"/>
                    <w:jc w:val="center"/>
                    <w:rPr>
                      <w:rFonts w:hint="default"/>
                      <w:color w:val="auto"/>
                      <w:highlight w:val="none"/>
                      <w:lang w:val="en-US" w:eastAsia="zh-CN"/>
                    </w:rPr>
                  </w:pPr>
                  <w:r>
                    <w:rPr>
                      <w:rFonts w:hint="eastAsia"/>
                      <w:color w:val="auto"/>
                      <w:highlight w:val="none"/>
                      <w:lang w:val="en-US" w:eastAsia="zh-CN"/>
                    </w:rPr>
                    <w:t>1</w:t>
                  </w:r>
                </w:p>
              </w:tc>
              <w:tc>
                <w:tcPr>
                  <w:tcW w:w="966" w:type="pct"/>
                  <w:shd w:val="clear" w:color="auto" w:fill="auto"/>
                  <w:noWrap w:val="0"/>
                  <w:vAlign w:val="center"/>
                </w:tcPr>
                <w:p w14:paraId="25A59571">
                  <w:pPr>
                    <w:pStyle w:val="20"/>
                    <w:bidi w:val="0"/>
                    <w:jc w:val="center"/>
                    <w:rPr>
                      <w:rFonts w:hint="default"/>
                      <w:color w:val="auto"/>
                      <w:highlight w:val="none"/>
                      <w:lang w:val="en-US" w:eastAsia="zh-CN"/>
                    </w:rPr>
                  </w:pPr>
                  <w:r>
                    <w:rPr>
                      <w:rFonts w:hint="eastAsia"/>
                      <w:color w:val="auto"/>
                      <w:highlight w:val="none"/>
                      <w:lang w:val="en-US" w:eastAsia="zh-CN"/>
                    </w:rPr>
                    <w:t>/</w:t>
                  </w:r>
                </w:p>
              </w:tc>
              <w:tc>
                <w:tcPr>
                  <w:tcW w:w="434" w:type="pct"/>
                  <w:shd w:val="clear" w:color="auto" w:fill="auto"/>
                  <w:noWrap w:val="0"/>
                  <w:vAlign w:val="center"/>
                </w:tcPr>
                <w:p w14:paraId="4CC8C620">
                  <w:pPr>
                    <w:pStyle w:val="20"/>
                    <w:bidi w:val="0"/>
                    <w:jc w:val="center"/>
                    <w:rPr>
                      <w:rFonts w:hint="default"/>
                      <w:color w:val="auto"/>
                      <w:highlight w:val="none"/>
                      <w:lang w:val="en-US" w:eastAsia="zh-CN"/>
                    </w:rPr>
                  </w:pPr>
                  <w:r>
                    <w:rPr>
                      <w:rFonts w:hint="eastAsia"/>
                      <w:color w:val="auto"/>
                      <w:highlight w:val="none"/>
                      <w:lang w:val="en-US" w:eastAsia="zh-CN"/>
                    </w:rPr>
                    <w:t>1</w:t>
                  </w:r>
                </w:p>
              </w:tc>
              <w:tc>
                <w:tcPr>
                  <w:tcW w:w="754" w:type="pct"/>
                  <w:noWrap w:val="0"/>
                  <w:vAlign w:val="center"/>
                </w:tcPr>
                <w:p w14:paraId="6307BB1D">
                  <w:pPr>
                    <w:pStyle w:val="20"/>
                    <w:bidi w:val="0"/>
                    <w:jc w:val="center"/>
                    <w:rPr>
                      <w:rFonts w:hint="default"/>
                      <w:color w:val="auto"/>
                      <w:highlight w:val="none"/>
                      <w:lang w:val="en-US" w:eastAsia="zh-CN"/>
                    </w:rPr>
                  </w:pPr>
                  <w:r>
                    <w:rPr>
                      <w:rFonts w:hint="eastAsia"/>
                      <w:color w:val="auto"/>
                      <w:highlight w:val="none"/>
                      <w:lang w:val="en-US" w:eastAsia="zh-CN"/>
                    </w:rPr>
                    <w:t>破碎和原料混合</w:t>
                  </w:r>
                </w:p>
              </w:tc>
              <w:tc>
                <w:tcPr>
                  <w:tcW w:w="470" w:type="pct"/>
                  <w:noWrap w:val="0"/>
                  <w:vAlign w:val="center"/>
                </w:tcPr>
                <w:p w14:paraId="340B71A0">
                  <w:pPr>
                    <w:pStyle w:val="20"/>
                    <w:bidi w:val="0"/>
                    <w:jc w:val="center"/>
                    <w:rPr>
                      <w:rFonts w:hint="eastAsia"/>
                      <w:color w:val="auto"/>
                      <w:highlight w:val="none"/>
                      <w:lang w:val="en-US" w:eastAsia="zh-CN"/>
                    </w:rPr>
                  </w:pPr>
                  <w:r>
                    <w:rPr>
                      <w:rFonts w:hint="default"/>
                      <w:color w:val="auto"/>
                      <w:highlight w:val="none"/>
                      <w:lang w:val="en-US" w:eastAsia="zh-CN"/>
                    </w:rPr>
                    <w:t>利旧</w:t>
                  </w:r>
                </w:p>
              </w:tc>
            </w:tr>
            <w:tr w14:paraId="67F6D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4" w:type="pct"/>
                  <w:vMerge w:val="restart"/>
                  <w:shd w:val="clear" w:color="auto" w:fill="auto"/>
                  <w:noWrap w:val="0"/>
                  <w:vAlign w:val="center"/>
                </w:tcPr>
                <w:p w14:paraId="74D53AF6">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5</w:t>
                  </w:r>
                </w:p>
              </w:tc>
              <w:tc>
                <w:tcPr>
                  <w:tcW w:w="670" w:type="pct"/>
                  <w:vMerge w:val="restart"/>
                  <w:noWrap w:val="0"/>
                  <w:vAlign w:val="center"/>
                </w:tcPr>
                <w:p w14:paraId="5A5F8E7E">
                  <w:pPr>
                    <w:pStyle w:val="20"/>
                    <w:bidi w:val="0"/>
                    <w:jc w:val="center"/>
                    <w:rPr>
                      <w:rFonts w:hint="default"/>
                      <w:color w:val="auto"/>
                      <w:highlight w:val="none"/>
                    </w:rPr>
                  </w:pPr>
                  <w:r>
                    <w:rPr>
                      <w:rFonts w:hint="default"/>
                      <w:color w:val="auto"/>
                      <w:highlight w:val="none"/>
                      <w:lang w:val="en-US" w:eastAsia="zh-CN"/>
                    </w:rPr>
                    <w:t>冷却水系统</w:t>
                  </w:r>
                </w:p>
              </w:tc>
              <w:tc>
                <w:tcPr>
                  <w:tcW w:w="983" w:type="pct"/>
                  <w:noWrap w:val="0"/>
                  <w:vAlign w:val="center"/>
                </w:tcPr>
                <w:p w14:paraId="403C69CC">
                  <w:pPr>
                    <w:pStyle w:val="20"/>
                    <w:bidi w:val="0"/>
                    <w:jc w:val="center"/>
                    <w:rPr>
                      <w:rFonts w:hint="default"/>
                      <w:color w:val="auto"/>
                      <w:highlight w:val="none"/>
                      <w:lang w:val="en-US" w:eastAsia="zh-CN"/>
                    </w:rPr>
                  </w:pPr>
                  <w:r>
                    <w:rPr>
                      <w:rFonts w:hint="eastAsia"/>
                      <w:color w:val="auto"/>
                      <w:highlight w:val="none"/>
                      <w:lang w:val="en-US" w:eastAsia="zh-CN"/>
                    </w:rPr>
                    <w:t>LBC-M-65T</w:t>
                  </w:r>
                </w:p>
              </w:tc>
              <w:tc>
                <w:tcPr>
                  <w:tcW w:w="425" w:type="pct"/>
                  <w:noWrap w:val="0"/>
                  <w:vAlign w:val="center"/>
                </w:tcPr>
                <w:p w14:paraId="4BEBD6E7">
                  <w:pPr>
                    <w:pStyle w:val="20"/>
                    <w:bidi w:val="0"/>
                    <w:jc w:val="center"/>
                    <w:rPr>
                      <w:rFonts w:hint="default"/>
                      <w:color w:val="auto"/>
                      <w:highlight w:val="none"/>
                      <w:lang w:val="en-US" w:eastAsia="zh-CN"/>
                    </w:rPr>
                  </w:pPr>
                  <w:r>
                    <w:rPr>
                      <w:rFonts w:hint="eastAsia"/>
                      <w:color w:val="auto"/>
                      <w:highlight w:val="none"/>
                      <w:lang w:val="en-US" w:eastAsia="zh-CN"/>
                    </w:rPr>
                    <w:t>1</w:t>
                  </w:r>
                </w:p>
              </w:tc>
              <w:tc>
                <w:tcPr>
                  <w:tcW w:w="966" w:type="pct"/>
                  <w:shd w:val="clear" w:color="auto" w:fill="auto"/>
                  <w:noWrap w:val="0"/>
                  <w:vAlign w:val="center"/>
                </w:tcPr>
                <w:p w14:paraId="32966FAE">
                  <w:pPr>
                    <w:pStyle w:val="20"/>
                    <w:bidi w:val="0"/>
                    <w:jc w:val="center"/>
                    <w:rPr>
                      <w:rFonts w:hint="default"/>
                      <w:color w:val="auto"/>
                      <w:highlight w:val="none"/>
                      <w:lang w:val="en-US" w:eastAsia="zh-CN"/>
                    </w:rPr>
                  </w:pPr>
                  <w:r>
                    <w:rPr>
                      <w:rFonts w:hint="eastAsia"/>
                      <w:color w:val="auto"/>
                      <w:highlight w:val="none"/>
                      <w:lang w:val="en-US" w:eastAsia="zh-CN"/>
                    </w:rPr>
                    <w:t>LBC-M-65T</w:t>
                  </w:r>
                </w:p>
              </w:tc>
              <w:tc>
                <w:tcPr>
                  <w:tcW w:w="434" w:type="pct"/>
                  <w:shd w:val="clear" w:color="auto" w:fill="auto"/>
                  <w:noWrap w:val="0"/>
                  <w:vAlign w:val="center"/>
                </w:tcPr>
                <w:p w14:paraId="30ABEEAF">
                  <w:pPr>
                    <w:pStyle w:val="20"/>
                    <w:bidi w:val="0"/>
                    <w:jc w:val="center"/>
                    <w:rPr>
                      <w:rFonts w:hint="default"/>
                      <w:color w:val="auto"/>
                      <w:highlight w:val="none"/>
                      <w:lang w:val="en-US" w:eastAsia="zh-CN"/>
                    </w:rPr>
                  </w:pPr>
                  <w:r>
                    <w:rPr>
                      <w:rFonts w:hint="eastAsia"/>
                      <w:color w:val="auto"/>
                      <w:highlight w:val="none"/>
                      <w:lang w:val="en-US" w:eastAsia="zh-CN"/>
                    </w:rPr>
                    <w:t>1</w:t>
                  </w:r>
                </w:p>
              </w:tc>
              <w:tc>
                <w:tcPr>
                  <w:tcW w:w="754" w:type="pct"/>
                  <w:vMerge w:val="restart"/>
                  <w:noWrap w:val="0"/>
                  <w:vAlign w:val="center"/>
                </w:tcPr>
                <w:p w14:paraId="679E0381">
                  <w:pPr>
                    <w:pStyle w:val="20"/>
                    <w:bidi w:val="0"/>
                    <w:jc w:val="center"/>
                    <w:rPr>
                      <w:rFonts w:hint="eastAsia"/>
                      <w:color w:val="auto"/>
                      <w:highlight w:val="none"/>
                      <w:lang w:val="en-US" w:eastAsia="zh-CN"/>
                    </w:rPr>
                  </w:pPr>
                  <w:r>
                    <w:rPr>
                      <w:rFonts w:hint="default"/>
                      <w:color w:val="auto"/>
                      <w:highlight w:val="none"/>
                      <w:lang w:val="en-US" w:eastAsia="zh-CN"/>
                    </w:rPr>
                    <w:t>间接循环冷却</w:t>
                  </w:r>
                </w:p>
              </w:tc>
              <w:tc>
                <w:tcPr>
                  <w:tcW w:w="470" w:type="pct"/>
                  <w:noWrap w:val="0"/>
                  <w:vAlign w:val="center"/>
                </w:tcPr>
                <w:p w14:paraId="22E4498F">
                  <w:pPr>
                    <w:pStyle w:val="20"/>
                    <w:bidi w:val="0"/>
                    <w:jc w:val="center"/>
                    <w:rPr>
                      <w:rFonts w:hint="eastAsia"/>
                      <w:color w:val="auto"/>
                      <w:highlight w:val="none"/>
                      <w:lang w:val="en-US" w:eastAsia="zh-CN"/>
                    </w:rPr>
                  </w:pPr>
                  <w:r>
                    <w:rPr>
                      <w:rFonts w:hint="default"/>
                      <w:color w:val="auto"/>
                      <w:highlight w:val="none"/>
                      <w:lang w:val="en-US" w:eastAsia="zh-CN"/>
                    </w:rPr>
                    <w:t>利旧</w:t>
                  </w:r>
                </w:p>
              </w:tc>
            </w:tr>
            <w:tr w14:paraId="2AFB8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4" w:type="pct"/>
                  <w:vMerge w:val="continue"/>
                  <w:shd w:val="clear" w:color="auto" w:fill="auto"/>
                  <w:noWrap w:val="0"/>
                  <w:vAlign w:val="center"/>
                </w:tcPr>
                <w:p w14:paraId="42892C14">
                  <w:pPr>
                    <w:pStyle w:val="20"/>
                    <w:bidi w:val="0"/>
                    <w:jc w:val="center"/>
                    <w:rPr>
                      <w:rFonts w:hint="eastAsia"/>
                      <w:color w:val="auto"/>
                      <w:highlight w:val="none"/>
                      <w:lang w:val="en-US" w:eastAsia="zh-CN"/>
                    </w:rPr>
                  </w:pPr>
                </w:p>
              </w:tc>
              <w:tc>
                <w:tcPr>
                  <w:tcW w:w="670" w:type="pct"/>
                  <w:vMerge w:val="continue"/>
                  <w:noWrap w:val="0"/>
                  <w:vAlign w:val="center"/>
                </w:tcPr>
                <w:p w14:paraId="4CF2E90A">
                  <w:pPr>
                    <w:pStyle w:val="20"/>
                    <w:bidi w:val="0"/>
                    <w:jc w:val="center"/>
                    <w:rPr>
                      <w:rFonts w:hint="default"/>
                      <w:color w:val="auto"/>
                      <w:highlight w:val="none"/>
                      <w:lang w:val="en-US" w:eastAsia="zh-CN"/>
                    </w:rPr>
                  </w:pPr>
                </w:p>
              </w:tc>
              <w:tc>
                <w:tcPr>
                  <w:tcW w:w="983" w:type="pct"/>
                  <w:noWrap w:val="0"/>
                  <w:vAlign w:val="center"/>
                </w:tcPr>
                <w:p w14:paraId="50AFA8EE">
                  <w:pPr>
                    <w:pStyle w:val="20"/>
                    <w:bidi w:val="0"/>
                    <w:jc w:val="center"/>
                    <w:rPr>
                      <w:rFonts w:hint="default"/>
                      <w:color w:val="auto"/>
                      <w:highlight w:val="none"/>
                      <w:lang w:val="en-US" w:eastAsia="zh-CN"/>
                    </w:rPr>
                  </w:pPr>
                  <w:r>
                    <w:rPr>
                      <w:rFonts w:hint="eastAsia"/>
                      <w:color w:val="auto"/>
                      <w:highlight w:val="none"/>
                      <w:lang w:val="en-US" w:eastAsia="zh-CN"/>
                    </w:rPr>
                    <w:t>/</w:t>
                  </w:r>
                </w:p>
              </w:tc>
              <w:tc>
                <w:tcPr>
                  <w:tcW w:w="425" w:type="pct"/>
                  <w:noWrap w:val="0"/>
                  <w:vAlign w:val="center"/>
                </w:tcPr>
                <w:p w14:paraId="639C68FF">
                  <w:pPr>
                    <w:pStyle w:val="20"/>
                    <w:bidi w:val="0"/>
                    <w:jc w:val="center"/>
                    <w:rPr>
                      <w:rFonts w:hint="default"/>
                      <w:color w:val="auto"/>
                      <w:highlight w:val="none"/>
                      <w:lang w:val="en-US" w:eastAsia="zh-CN"/>
                    </w:rPr>
                  </w:pPr>
                  <w:r>
                    <w:rPr>
                      <w:rFonts w:hint="eastAsia"/>
                      <w:color w:val="auto"/>
                      <w:highlight w:val="none"/>
                      <w:lang w:val="en-US" w:eastAsia="zh-CN"/>
                    </w:rPr>
                    <w:t>0</w:t>
                  </w:r>
                </w:p>
              </w:tc>
              <w:tc>
                <w:tcPr>
                  <w:tcW w:w="966" w:type="pct"/>
                  <w:shd w:val="clear" w:color="auto" w:fill="auto"/>
                  <w:noWrap w:val="0"/>
                  <w:vAlign w:val="center"/>
                </w:tcPr>
                <w:p w14:paraId="7C17ED4F">
                  <w:pPr>
                    <w:pStyle w:val="20"/>
                    <w:bidi w:val="0"/>
                    <w:jc w:val="center"/>
                    <w:rPr>
                      <w:rFonts w:hint="default"/>
                      <w:color w:val="auto"/>
                      <w:highlight w:val="none"/>
                      <w:lang w:val="en-US" w:eastAsia="zh-CN"/>
                    </w:rPr>
                  </w:pPr>
                  <w:r>
                    <w:rPr>
                      <w:rFonts w:hint="eastAsia"/>
                      <w:color w:val="auto"/>
                      <w:highlight w:val="none"/>
                      <w:lang w:val="en-US" w:eastAsia="zh-CN"/>
                    </w:rPr>
                    <w:t>LBC-M-15T</w:t>
                  </w:r>
                </w:p>
              </w:tc>
              <w:tc>
                <w:tcPr>
                  <w:tcW w:w="434" w:type="pct"/>
                  <w:shd w:val="clear" w:color="auto" w:fill="auto"/>
                  <w:noWrap w:val="0"/>
                  <w:vAlign w:val="center"/>
                </w:tcPr>
                <w:p w14:paraId="7EBD22E8">
                  <w:pPr>
                    <w:pStyle w:val="20"/>
                    <w:bidi w:val="0"/>
                    <w:jc w:val="center"/>
                    <w:rPr>
                      <w:rFonts w:hint="default"/>
                      <w:color w:val="auto"/>
                      <w:highlight w:val="none"/>
                      <w:lang w:val="en-US" w:eastAsia="zh-CN"/>
                    </w:rPr>
                  </w:pPr>
                  <w:r>
                    <w:rPr>
                      <w:rFonts w:hint="eastAsia"/>
                      <w:color w:val="auto"/>
                      <w:highlight w:val="none"/>
                      <w:lang w:val="en-US" w:eastAsia="zh-CN"/>
                    </w:rPr>
                    <w:t>1</w:t>
                  </w:r>
                </w:p>
              </w:tc>
              <w:tc>
                <w:tcPr>
                  <w:tcW w:w="754" w:type="pct"/>
                  <w:vMerge w:val="continue"/>
                  <w:noWrap w:val="0"/>
                  <w:vAlign w:val="center"/>
                </w:tcPr>
                <w:p w14:paraId="3B5AEC25">
                  <w:pPr>
                    <w:pStyle w:val="20"/>
                    <w:bidi w:val="0"/>
                    <w:jc w:val="center"/>
                    <w:rPr>
                      <w:rFonts w:hint="default"/>
                      <w:color w:val="auto"/>
                      <w:highlight w:val="none"/>
                      <w:lang w:val="en-US" w:eastAsia="zh-CN"/>
                    </w:rPr>
                  </w:pPr>
                </w:p>
              </w:tc>
              <w:tc>
                <w:tcPr>
                  <w:tcW w:w="470" w:type="pct"/>
                  <w:noWrap w:val="0"/>
                  <w:vAlign w:val="center"/>
                </w:tcPr>
                <w:p w14:paraId="4D238EB4">
                  <w:pPr>
                    <w:pStyle w:val="20"/>
                    <w:bidi w:val="0"/>
                    <w:jc w:val="center"/>
                    <w:rPr>
                      <w:rFonts w:hint="default"/>
                      <w:color w:val="auto"/>
                      <w:highlight w:val="none"/>
                      <w:lang w:val="en-US" w:eastAsia="zh-CN"/>
                    </w:rPr>
                  </w:pPr>
                  <w:r>
                    <w:rPr>
                      <w:rFonts w:hint="eastAsia"/>
                      <w:color w:val="auto"/>
                      <w:highlight w:val="none"/>
                      <w:lang w:val="en-US" w:eastAsia="zh-CN"/>
                    </w:rPr>
                    <w:t>新增</w:t>
                  </w:r>
                </w:p>
              </w:tc>
            </w:tr>
            <w:tr w14:paraId="70A92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4" w:type="pct"/>
                  <w:vMerge w:val="restart"/>
                  <w:shd w:val="clear" w:color="auto" w:fill="auto"/>
                  <w:noWrap w:val="0"/>
                  <w:vAlign w:val="center"/>
                </w:tcPr>
                <w:p w14:paraId="2EE3D271">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6</w:t>
                  </w:r>
                </w:p>
              </w:tc>
              <w:tc>
                <w:tcPr>
                  <w:tcW w:w="670" w:type="pct"/>
                  <w:vMerge w:val="restart"/>
                  <w:shd w:val="clear" w:color="auto" w:fill="auto"/>
                  <w:noWrap w:val="0"/>
                  <w:vAlign w:val="center"/>
                </w:tcPr>
                <w:p w14:paraId="50C135E5">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空压机</w:t>
                  </w:r>
                </w:p>
              </w:tc>
              <w:tc>
                <w:tcPr>
                  <w:tcW w:w="983" w:type="pct"/>
                  <w:shd w:val="clear" w:color="auto" w:fill="auto"/>
                  <w:noWrap w:val="0"/>
                  <w:vAlign w:val="center"/>
                </w:tcPr>
                <w:p w14:paraId="5F32AC4A">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HW10007</w:t>
                  </w:r>
                </w:p>
              </w:tc>
              <w:tc>
                <w:tcPr>
                  <w:tcW w:w="425" w:type="pct"/>
                  <w:shd w:val="clear" w:color="auto" w:fill="auto"/>
                  <w:noWrap w:val="0"/>
                  <w:vAlign w:val="center"/>
                </w:tcPr>
                <w:p w14:paraId="3642559B">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1</w:t>
                  </w:r>
                </w:p>
              </w:tc>
              <w:tc>
                <w:tcPr>
                  <w:tcW w:w="966" w:type="pct"/>
                  <w:shd w:val="clear" w:color="auto" w:fill="auto"/>
                  <w:noWrap w:val="0"/>
                  <w:vAlign w:val="center"/>
                </w:tcPr>
                <w:p w14:paraId="4C380905">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w:t>
                  </w:r>
                </w:p>
              </w:tc>
              <w:tc>
                <w:tcPr>
                  <w:tcW w:w="434" w:type="pct"/>
                  <w:shd w:val="clear" w:color="auto" w:fill="auto"/>
                  <w:noWrap w:val="0"/>
                  <w:vAlign w:val="center"/>
                </w:tcPr>
                <w:p w14:paraId="659BA8C6">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1</w:t>
                  </w:r>
                </w:p>
              </w:tc>
              <w:tc>
                <w:tcPr>
                  <w:tcW w:w="754" w:type="pct"/>
                  <w:vMerge w:val="restart"/>
                  <w:shd w:val="clear" w:color="auto" w:fill="auto"/>
                  <w:noWrap w:val="0"/>
                  <w:vAlign w:val="center"/>
                </w:tcPr>
                <w:p w14:paraId="552541D5">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压缩空气</w:t>
                  </w:r>
                </w:p>
              </w:tc>
              <w:tc>
                <w:tcPr>
                  <w:tcW w:w="470" w:type="pct"/>
                  <w:shd w:val="clear" w:color="auto" w:fill="auto"/>
                  <w:noWrap w:val="0"/>
                  <w:vAlign w:val="center"/>
                </w:tcPr>
                <w:p w14:paraId="7B377699">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利旧</w:t>
                  </w:r>
                </w:p>
              </w:tc>
            </w:tr>
            <w:tr w14:paraId="4BB02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4" w:type="pct"/>
                  <w:vMerge w:val="continue"/>
                  <w:shd w:val="clear" w:color="auto" w:fill="auto"/>
                  <w:noWrap w:val="0"/>
                  <w:vAlign w:val="center"/>
                </w:tcPr>
                <w:p w14:paraId="71BE9B62">
                  <w:pPr>
                    <w:pStyle w:val="20"/>
                    <w:bidi w:val="0"/>
                    <w:jc w:val="center"/>
                    <w:rPr>
                      <w:rFonts w:hint="eastAsia"/>
                      <w:color w:val="auto"/>
                      <w:highlight w:val="none"/>
                      <w:lang w:val="en-US" w:eastAsia="zh-CN"/>
                    </w:rPr>
                  </w:pPr>
                </w:p>
              </w:tc>
              <w:tc>
                <w:tcPr>
                  <w:tcW w:w="670" w:type="pct"/>
                  <w:vMerge w:val="continue"/>
                  <w:shd w:val="clear" w:color="auto" w:fill="auto"/>
                  <w:noWrap w:val="0"/>
                  <w:vAlign w:val="center"/>
                </w:tcPr>
                <w:p w14:paraId="3A3238BA">
                  <w:pPr>
                    <w:pStyle w:val="20"/>
                    <w:bidi w:val="0"/>
                    <w:jc w:val="center"/>
                    <w:rPr>
                      <w:rFonts w:hint="default"/>
                      <w:color w:val="auto"/>
                      <w:highlight w:val="none"/>
                      <w:lang w:val="en-US" w:eastAsia="zh-CN"/>
                    </w:rPr>
                  </w:pPr>
                </w:p>
              </w:tc>
              <w:tc>
                <w:tcPr>
                  <w:tcW w:w="983" w:type="pct"/>
                  <w:shd w:val="clear" w:color="auto" w:fill="auto"/>
                  <w:noWrap w:val="0"/>
                  <w:vAlign w:val="center"/>
                </w:tcPr>
                <w:p w14:paraId="47EBB280">
                  <w:pPr>
                    <w:pStyle w:val="20"/>
                    <w:bidi w:val="0"/>
                    <w:jc w:val="center"/>
                    <w:rPr>
                      <w:rFonts w:hint="default"/>
                      <w:color w:val="auto"/>
                      <w:highlight w:val="none"/>
                      <w:lang w:val="en-US" w:eastAsia="zh-CN"/>
                    </w:rPr>
                  </w:pPr>
                  <w:r>
                    <w:rPr>
                      <w:rFonts w:hint="eastAsia"/>
                      <w:color w:val="auto"/>
                      <w:highlight w:val="none"/>
                      <w:lang w:val="en-US" w:eastAsia="zh-CN"/>
                    </w:rPr>
                    <w:t>/</w:t>
                  </w:r>
                </w:p>
              </w:tc>
              <w:tc>
                <w:tcPr>
                  <w:tcW w:w="425" w:type="pct"/>
                  <w:shd w:val="clear" w:color="auto" w:fill="auto"/>
                  <w:noWrap w:val="0"/>
                  <w:vAlign w:val="center"/>
                </w:tcPr>
                <w:p w14:paraId="2D69808A">
                  <w:pPr>
                    <w:pStyle w:val="20"/>
                    <w:bidi w:val="0"/>
                    <w:jc w:val="center"/>
                    <w:rPr>
                      <w:rFonts w:hint="default"/>
                      <w:color w:val="auto"/>
                      <w:highlight w:val="none"/>
                      <w:lang w:val="en-US" w:eastAsia="zh-CN"/>
                    </w:rPr>
                  </w:pPr>
                  <w:r>
                    <w:rPr>
                      <w:rFonts w:hint="eastAsia"/>
                      <w:color w:val="auto"/>
                      <w:highlight w:val="none"/>
                      <w:lang w:val="en-US" w:eastAsia="zh-CN"/>
                    </w:rPr>
                    <w:t>0</w:t>
                  </w:r>
                </w:p>
              </w:tc>
              <w:tc>
                <w:tcPr>
                  <w:tcW w:w="966" w:type="pct"/>
                  <w:shd w:val="clear" w:color="auto" w:fill="auto"/>
                  <w:noWrap w:val="0"/>
                  <w:vAlign w:val="center"/>
                </w:tcPr>
                <w:p w14:paraId="574CD168">
                  <w:pPr>
                    <w:pStyle w:val="20"/>
                    <w:bidi w:val="0"/>
                    <w:jc w:val="center"/>
                    <w:rPr>
                      <w:rFonts w:hint="default"/>
                      <w:color w:val="auto"/>
                      <w:highlight w:val="none"/>
                      <w:lang w:val="en-US" w:eastAsia="zh-CN"/>
                    </w:rPr>
                  </w:pPr>
                  <w:r>
                    <w:rPr>
                      <w:rFonts w:hint="eastAsia" w:cs="宋体"/>
                      <w:color w:val="auto"/>
                      <w:highlight w:val="none"/>
                      <w:lang w:val="en-US" w:eastAsia="zh-CN"/>
                    </w:rPr>
                    <w:t>康普洛螺杆式</w:t>
                  </w:r>
                </w:p>
              </w:tc>
              <w:tc>
                <w:tcPr>
                  <w:tcW w:w="434" w:type="pct"/>
                  <w:shd w:val="clear" w:color="auto" w:fill="auto"/>
                  <w:noWrap w:val="0"/>
                  <w:vAlign w:val="center"/>
                </w:tcPr>
                <w:p w14:paraId="3EDD97F0">
                  <w:pPr>
                    <w:pStyle w:val="20"/>
                    <w:bidi w:val="0"/>
                    <w:jc w:val="center"/>
                    <w:rPr>
                      <w:rFonts w:hint="default"/>
                      <w:color w:val="auto"/>
                      <w:highlight w:val="none"/>
                      <w:lang w:val="en-US" w:eastAsia="zh-CN"/>
                    </w:rPr>
                  </w:pPr>
                  <w:r>
                    <w:rPr>
                      <w:rFonts w:hint="eastAsia"/>
                      <w:color w:val="auto"/>
                      <w:highlight w:val="none"/>
                      <w:lang w:val="en-US" w:eastAsia="zh-CN"/>
                    </w:rPr>
                    <w:t>1</w:t>
                  </w:r>
                </w:p>
              </w:tc>
              <w:tc>
                <w:tcPr>
                  <w:tcW w:w="754" w:type="pct"/>
                  <w:vMerge w:val="continue"/>
                  <w:shd w:val="clear" w:color="auto" w:fill="auto"/>
                  <w:noWrap w:val="0"/>
                  <w:vAlign w:val="center"/>
                </w:tcPr>
                <w:p w14:paraId="14568863">
                  <w:pPr>
                    <w:pStyle w:val="20"/>
                    <w:bidi w:val="0"/>
                    <w:jc w:val="center"/>
                    <w:rPr>
                      <w:rFonts w:hint="default"/>
                      <w:color w:val="auto"/>
                      <w:highlight w:val="none"/>
                      <w:lang w:val="en-US" w:eastAsia="zh-CN"/>
                    </w:rPr>
                  </w:pPr>
                </w:p>
              </w:tc>
              <w:tc>
                <w:tcPr>
                  <w:tcW w:w="470" w:type="pct"/>
                  <w:shd w:val="clear" w:color="auto" w:fill="auto"/>
                  <w:noWrap w:val="0"/>
                  <w:vAlign w:val="center"/>
                </w:tcPr>
                <w:p w14:paraId="11C9CDE7">
                  <w:pPr>
                    <w:pStyle w:val="20"/>
                    <w:bidi w:val="0"/>
                    <w:jc w:val="center"/>
                    <w:rPr>
                      <w:rFonts w:hint="default"/>
                      <w:color w:val="auto"/>
                      <w:highlight w:val="none"/>
                      <w:lang w:val="en-US" w:eastAsia="zh-CN"/>
                    </w:rPr>
                  </w:pPr>
                  <w:r>
                    <w:rPr>
                      <w:rFonts w:hint="eastAsia"/>
                      <w:color w:val="auto"/>
                      <w:highlight w:val="none"/>
                      <w:lang w:val="en-US" w:eastAsia="zh-CN"/>
                    </w:rPr>
                    <w:t>新增</w:t>
                  </w:r>
                </w:p>
              </w:tc>
            </w:tr>
            <w:tr w14:paraId="4B367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4" w:type="pct"/>
                  <w:shd w:val="clear" w:color="auto" w:fill="auto"/>
                  <w:noWrap w:val="0"/>
                  <w:vAlign w:val="center"/>
                </w:tcPr>
                <w:p w14:paraId="0E8182BC">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7</w:t>
                  </w:r>
                </w:p>
              </w:tc>
              <w:tc>
                <w:tcPr>
                  <w:tcW w:w="670" w:type="pct"/>
                  <w:noWrap w:val="0"/>
                  <w:vAlign w:val="center"/>
                </w:tcPr>
                <w:p w14:paraId="0A14BAEE">
                  <w:pPr>
                    <w:pStyle w:val="20"/>
                    <w:bidi w:val="0"/>
                    <w:jc w:val="center"/>
                    <w:rPr>
                      <w:rFonts w:hint="default"/>
                      <w:color w:val="auto"/>
                      <w:highlight w:val="none"/>
                      <w:lang w:val="en-US"/>
                    </w:rPr>
                  </w:pPr>
                  <w:r>
                    <w:rPr>
                      <w:rFonts w:hint="default"/>
                      <w:color w:val="auto"/>
                      <w:highlight w:val="none"/>
                      <w:lang w:val="en-US"/>
                    </w:rPr>
                    <w:t>伺服热板焊接机</w:t>
                  </w:r>
                </w:p>
              </w:tc>
              <w:tc>
                <w:tcPr>
                  <w:tcW w:w="983" w:type="pct"/>
                  <w:noWrap w:val="0"/>
                  <w:vAlign w:val="center"/>
                </w:tcPr>
                <w:p w14:paraId="715C996E">
                  <w:pPr>
                    <w:pStyle w:val="20"/>
                    <w:bidi w:val="0"/>
                    <w:jc w:val="center"/>
                    <w:rPr>
                      <w:rFonts w:hint="default"/>
                      <w:color w:val="auto"/>
                      <w:highlight w:val="none"/>
                      <w:lang w:val="en-US" w:eastAsia="zh-CN"/>
                    </w:rPr>
                  </w:pPr>
                  <w:r>
                    <w:rPr>
                      <w:rFonts w:hint="eastAsia"/>
                      <w:color w:val="auto"/>
                      <w:highlight w:val="none"/>
                      <w:lang w:val="en-US" w:eastAsia="zh-CN"/>
                    </w:rPr>
                    <w:t>/</w:t>
                  </w:r>
                </w:p>
              </w:tc>
              <w:tc>
                <w:tcPr>
                  <w:tcW w:w="425" w:type="pct"/>
                  <w:noWrap w:val="0"/>
                  <w:vAlign w:val="center"/>
                </w:tcPr>
                <w:p w14:paraId="3793535F">
                  <w:pPr>
                    <w:pStyle w:val="20"/>
                    <w:bidi w:val="0"/>
                    <w:jc w:val="center"/>
                    <w:rPr>
                      <w:rFonts w:hint="default"/>
                      <w:color w:val="auto"/>
                      <w:highlight w:val="none"/>
                      <w:lang w:val="en-US" w:eastAsia="zh-CN"/>
                    </w:rPr>
                  </w:pPr>
                  <w:r>
                    <w:rPr>
                      <w:rFonts w:hint="eastAsia"/>
                      <w:color w:val="auto"/>
                      <w:highlight w:val="none"/>
                      <w:lang w:val="en-US" w:eastAsia="zh-CN"/>
                    </w:rPr>
                    <w:t>0</w:t>
                  </w:r>
                </w:p>
              </w:tc>
              <w:tc>
                <w:tcPr>
                  <w:tcW w:w="966" w:type="pct"/>
                  <w:shd w:val="clear" w:color="auto" w:fill="auto"/>
                  <w:noWrap w:val="0"/>
                  <w:vAlign w:val="center"/>
                </w:tcPr>
                <w:p w14:paraId="2BBE02DB">
                  <w:pPr>
                    <w:pStyle w:val="20"/>
                    <w:bidi w:val="0"/>
                    <w:jc w:val="center"/>
                    <w:rPr>
                      <w:rFonts w:hint="default"/>
                      <w:color w:val="auto"/>
                      <w:highlight w:val="none"/>
                      <w:lang w:val="en-US" w:eastAsia="zh-CN"/>
                    </w:rPr>
                  </w:pPr>
                  <w:r>
                    <w:rPr>
                      <w:rFonts w:hint="eastAsia"/>
                      <w:color w:val="auto"/>
                      <w:highlight w:val="none"/>
                      <w:lang w:val="en-US" w:eastAsia="zh-CN"/>
                    </w:rPr>
                    <w:t>480B</w:t>
                  </w:r>
                </w:p>
              </w:tc>
              <w:tc>
                <w:tcPr>
                  <w:tcW w:w="434" w:type="pct"/>
                  <w:shd w:val="clear" w:color="auto" w:fill="auto"/>
                  <w:noWrap w:val="0"/>
                  <w:vAlign w:val="center"/>
                </w:tcPr>
                <w:p w14:paraId="50A5219F">
                  <w:pPr>
                    <w:pStyle w:val="20"/>
                    <w:bidi w:val="0"/>
                    <w:jc w:val="center"/>
                    <w:rPr>
                      <w:rFonts w:hint="default"/>
                      <w:color w:val="auto"/>
                      <w:highlight w:val="none"/>
                      <w:lang w:val="en-US" w:eastAsia="zh-CN"/>
                    </w:rPr>
                  </w:pPr>
                  <w:r>
                    <w:rPr>
                      <w:rFonts w:hint="eastAsia"/>
                      <w:color w:val="auto"/>
                      <w:highlight w:val="none"/>
                      <w:lang w:val="en-US" w:eastAsia="zh-CN"/>
                    </w:rPr>
                    <w:t>1</w:t>
                  </w:r>
                </w:p>
              </w:tc>
              <w:tc>
                <w:tcPr>
                  <w:tcW w:w="754" w:type="pct"/>
                  <w:noWrap w:val="0"/>
                  <w:vAlign w:val="center"/>
                </w:tcPr>
                <w:p w14:paraId="75FD0CFB">
                  <w:pPr>
                    <w:pStyle w:val="20"/>
                    <w:bidi w:val="0"/>
                    <w:jc w:val="center"/>
                    <w:rPr>
                      <w:rFonts w:hint="default"/>
                      <w:color w:val="auto"/>
                      <w:highlight w:val="none"/>
                      <w:lang w:val="en-US" w:eastAsia="zh-CN"/>
                    </w:rPr>
                  </w:pPr>
                  <w:r>
                    <w:rPr>
                      <w:rFonts w:hint="eastAsia"/>
                      <w:color w:val="auto"/>
                      <w:highlight w:val="none"/>
                      <w:lang w:val="en-US" w:eastAsia="zh-CN"/>
                    </w:rPr>
                    <w:t>谐振器组织焊接</w:t>
                  </w:r>
                </w:p>
              </w:tc>
              <w:tc>
                <w:tcPr>
                  <w:tcW w:w="470" w:type="pct"/>
                  <w:noWrap w:val="0"/>
                  <w:vAlign w:val="center"/>
                </w:tcPr>
                <w:p w14:paraId="032DC2C2">
                  <w:pPr>
                    <w:pStyle w:val="20"/>
                    <w:bidi w:val="0"/>
                    <w:jc w:val="center"/>
                    <w:rPr>
                      <w:rFonts w:hint="eastAsia"/>
                      <w:color w:val="auto"/>
                      <w:highlight w:val="none"/>
                      <w:lang w:val="en-US" w:eastAsia="zh-CN"/>
                    </w:rPr>
                  </w:pPr>
                  <w:r>
                    <w:rPr>
                      <w:rFonts w:hint="eastAsia"/>
                      <w:color w:val="auto"/>
                      <w:highlight w:val="none"/>
                      <w:lang w:val="en-US" w:eastAsia="zh-CN"/>
                    </w:rPr>
                    <w:t>新增</w:t>
                  </w:r>
                </w:p>
              </w:tc>
            </w:tr>
            <w:tr w14:paraId="2A117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4" w:type="pct"/>
                  <w:shd w:val="clear" w:color="auto" w:fill="auto"/>
                  <w:noWrap w:val="0"/>
                  <w:vAlign w:val="center"/>
                </w:tcPr>
                <w:p w14:paraId="2FD91055">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8</w:t>
                  </w:r>
                </w:p>
              </w:tc>
              <w:tc>
                <w:tcPr>
                  <w:tcW w:w="670" w:type="pct"/>
                  <w:shd w:val="clear" w:color="auto" w:fill="auto"/>
                  <w:noWrap w:val="0"/>
                  <w:vAlign w:val="center"/>
                </w:tcPr>
                <w:p w14:paraId="38A3D649">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行车</w:t>
                  </w:r>
                </w:p>
              </w:tc>
              <w:tc>
                <w:tcPr>
                  <w:tcW w:w="983" w:type="pct"/>
                  <w:shd w:val="clear" w:color="auto" w:fill="auto"/>
                  <w:noWrap w:val="0"/>
                  <w:vAlign w:val="center"/>
                </w:tcPr>
                <w:p w14:paraId="38822D8F">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LD5t-13.5m-6m</w:t>
                  </w:r>
                </w:p>
              </w:tc>
              <w:tc>
                <w:tcPr>
                  <w:tcW w:w="425" w:type="pct"/>
                  <w:shd w:val="clear" w:color="auto" w:fill="auto"/>
                  <w:noWrap w:val="0"/>
                  <w:vAlign w:val="center"/>
                </w:tcPr>
                <w:p w14:paraId="6A303706">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1</w:t>
                  </w:r>
                </w:p>
              </w:tc>
              <w:tc>
                <w:tcPr>
                  <w:tcW w:w="966" w:type="pct"/>
                  <w:shd w:val="clear" w:color="auto" w:fill="auto"/>
                  <w:noWrap w:val="0"/>
                  <w:vAlign w:val="center"/>
                </w:tcPr>
                <w:p w14:paraId="2D9C9C23">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LD5t-13.5m-6m</w:t>
                  </w:r>
                </w:p>
              </w:tc>
              <w:tc>
                <w:tcPr>
                  <w:tcW w:w="434" w:type="pct"/>
                  <w:shd w:val="clear" w:color="auto" w:fill="auto"/>
                  <w:noWrap w:val="0"/>
                  <w:vAlign w:val="center"/>
                </w:tcPr>
                <w:p w14:paraId="288F46BD">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1</w:t>
                  </w:r>
                </w:p>
              </w:tc>
              <w:tc>
                <w:tcPr>
                  <w:tcW w:w="754" w:type="pct"/>
                  <w:shd w:val="clear" w:color="auto" w:fill="auto"/>
                  <w:noWrap w:val="0"/>
                  <w:vAlign w:val="center"/>
                </w:tcPr>
                <w:p w14:paraId="15457224">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物料运输</w:t>
                  </w:r>
                </w:p>
              </w:tc>
              <w:tc>
                <w:tcPr>
                  <w:tcW w:w="470" w:type="pct"/>
                  <w:shd w:val="clear" w:color="auto" w:fill="auto"/>
                  <w:noWrap w:val="0"/>
                  <w:vAlign w:val="center"/>
                </w:tcPr>
                <w:p w14:paraId="0481C3CC">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利旧</w:t>
                  </w:r>
                </w:p>
              </w:tc>
            </w:tr>
            <w:tr w14:paraId="3D17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4" w:type="pct"/>
                  <w:shd w:val="clear" w:color="auto" w:fill="auto"/>
                  <w:noWrap w:val="0"/>
                  <w:vAlign w:val="center"/>
                </w:tcPr>
                <w:p w14:paraId="3B5F7C4A">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9</w:t>
                  </w:r>
                </w:p>
              </w:tc>
              <w:tc>
                <w:tcPr>
                  <w:tcW w:w="670" w:type="pct"/>
                  <w:shd w:val="clear" w:color="auto" w:fill="auto"/>
                  <w:noWrap w:val="0"/>
                  <w:vAlign w:val="center"/>
                </w:tcPr>
                <w:p w14:paraId="31B41C42">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电动叉车</w:t>
                  </w:r>
                </w:p>
              </w:tc>
              <w:tc>
                <w:tcPr>
                  <w:tcW w:w="983" w:type="pct"/>
                  <w:shd w:val="clear" w:color="auto" w:fill="auto"/>
                  <w:noWrap w:val="0"/>
                  <w:vAlign w:val="center"/>
                </w:tcPr>
                <w:p w14:paraId="24A9413A">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w:t>
                  </w:r>
                </w:p>
              </w:tc>
              <w:tc>
                <w:tcPr>
                  <w:tcW w:w="425" w:type="pct"/>
                  <w:shd w:val="clear" w:color="auto" w:fill="auto"/>
                  <w:noWrap w:val="0"/>
                  <w:vAlign w:val="center"/>
                </w:tcPr>
                <w:p w14:paraId="3CEC3AF0">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2</w:t>
                  </w:r>
                </w:p>
              </w:tc>
              <w:tc>
                <w:tcPr>
                  <w:tcW w:w="966" w:type="pct"/>
                  <w:shd w:val="clear" w:color="auto" w:fill="auto"/>
                  <w:noWrap w:val="0"/>
                  <w:vAlign w:val="center"/>
                </w:tcPr>
                <w:p w14:paraId="2D349ADB">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w:t>
                  </w:r>
                </w:p>
              </w:tc>
              <w:tc>
                <w:tcPr>
                  <w:tcW w:w="434" w:type="pct"/>
                  <w:shd w:val="clear" w:color="auto" w:fill="auto"/>
                  <w:noWrap w:val="0"/>
                  <w:vAlign w:val="center"/>
                </w:tcPr>
                <w:p w14:paraId="2AA60667">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2</w:t>
                  </w:r>
                </w:p>
              </w:tc>
              <w:tc>
                <w:tcPr>
                  <w:tcW w:w="754" w:type="pct"/>
                  <w:shd w:val="clear" w:color="auto" w:fill="auto"/>
                  <w:noWrap w:val="0"/>
                  <w:vAlign w:val="center"/>
                </w:tcPr>
                <w:p w14:paraId="364B6170">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物料运输</w:t>
                  </w:r>
                </w:p>
              </w:tc>
              <w:tc>
                <w:tcPr>
                  <w:tcW w:w="470" w:type="pct"/>
                  <w:shd w:val="clear" w:color="auto" w:fill="auto"/>
                  <w:noWrap w:val="0"/>
                  <w:vAlign w:val="center"/>
                </w:tcPr>
                <w:p w14:paraId="48A80187">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利旧</w:t>
                  </w:r>
                </w:p>
              </w:tc>
            </w:tr>
          </w:tbl>
          <w:p w14:paraId="0052BBD4">
            <w:pPr>
              <w:pStyle w:val="18"/>
              <w:rPr>
                <w:color w:val="auto"/>
                <w:highlight w:val="none"/>
              </w:rPr>
            </w:pPr>
            <w:r>
              <w:rPr>
                <w:rFonts w:hint="eastAsia"/>
                <w:color w:val="auto"/>
                <w:highlight w:val="none"/>
                <w:lang w:eastAsia="zh-CN"/>
              </w:rPr>
              <w:t>本项目</w:t>
            </w:r>
            <w:r>
              <w:rPr>
                <w:color w:val="auto"/>
                <w:highlight w:val="none"/>
              </w:rPr>
              <w:t>采用国内</w:t>
            </w:r>
            <w:r>
              <w:rPr>
                <w:rFonts w:hint="eastAsia"/>
                <w:color w:val="auto"/>
                <w:highlight w:val="none"/>
                <w:lang w:val="en-US" w:eastAsia="zh-CN"/>
              </w:rPr>
              <w:t>常见、</w:t>
            </w:r>
            <w:r>
              <w:rPr>
                <w:color w:val="auto"/>
                <w:highlight w:val="none"/>
              </w:rPr>
              <w:t>成熟可靠的</w:t>
            </w:r>
            <w:r>
              <w:rPr>
                <w:rFonts w:hint="eastAsia"/>
                <w:color w:val="auto"/>
                <w:highlight w:val="none"/>
                <w:lang w:val="en-US" w:eastAsia="zh-CN"/>
              </w:rPr>
              <w:t>注塑</w:t>
            </w:r>
            <w:r>
              <w:rPr>
                <w:color w:val="auto"/>
                <w:highlight w:val="none"/>
              </w:rPr>
              <w:t>生产工艺，</w:t>
            </w:r>
            <w:r>
              <w:rPr>
                <w:rFonts w:hint="eastAsia"/>
                <w:color w:val="auto"/>
                <w:highlight w:val="none"/>
              </w:rPr>
              <w:t>对照工业和信息化部《高耗能落后机电设备（产品）淘汰目录》第一批、第二批、第三批、第四批，本项目所用设备不属于淘汰落后设备，对照《产业结构调整指导目录》，</w:t>
            </w:r>
            <w:r>
              <w:rPr>
                <w:rFonts w:hint="eastAsia"/>
                <w:color w:val="auto"/>
                <w:highlight w:val="none"/>
                <w:lang w:eastAsia="zh-CN"/>
              </w:rPr>
              <w:t>扩建项目</w:t>
            </w:r>
            <w:r>
              <w:rPr>
                <w:rFonts w:hint="eastAsia"/>
                <w:color w:val="auto"/>
                <w:highlight w:val="none"/>
              </w:rPr>
              <w:t>生产设备均未列入《产业结构调整指导目录（20</w:t>
            </w:r>
            <w:r>
              <w:rPr>
                <w:rFonts w:hint="eastAsia"/>
                <w:color w:val="auto"/>
                <w:highlight w:val="none"/>
                <w:lang w:val="en-US" w:eastAsia="zh-CN"/>
              </w:rPr>
              <w:t>24</w:t>
            </w:r>
            <w:r>
              <w:rPr>
                <w:rFonts w:hint="eastAsia"/>
                <w:color w:val="auto"/>
                <w:highlight w:val="none"/>
              </w:rPr>
              <w:t>年本）》限制、淘汰类设备。</w:t>
            </w:r>
          </w:p>
        </w:tc>
      </w:tr>
    </w:tbl>
    <w:p w14:paraId="5630D27F">
      <w:pPr>
        <w:keepNext w:val="0"/>
        <w:keepLines w:val="0"/>
        <w:pageBreakBefore w:val="0"/>
        <w:widowControl w:val="0"/>
        <w:kinsoku/>
        <w:wordWrap/>
        <w:overflowPunct/>
        <w:topLinePunct w:val="0"/>
        <w:autoSpaceDE/>
        <w:autoSpaceDN/>
        <w:bidi w:val="0"/>
        <w:adjustRightInd/>
        <w:snapToGrid/>
        <w:spacing w:line="14" w:lineRule="exact"/>
        <w:textAlignment w:val="auto"/>
        <w:outlineLvl w:val="0"/>
        <w:rPr>
          <w:rFonts w:hint="default" w:ascii="Times New Roman" w:hAnsi="Times New Roman" w:eastAsia="宋体"/>
          <w:color w:val="auto"/>
          <w:sz w:val="10"/>
          <w:szCs w:val="10"/>
          <w:highlight w:val="none"/>
          <w:lang w:val="en-US" w:eastAsia="zh-CN"/>
        </w:rPr>
      </w:pPr>
      <w:r>
        <w:rPr>
          <w:rFonts w:hint="eastAsia" w:ascii="Times New Roman" w:hAnsi="Times New Roman" w:eastAsia="宋体"/>
          <w:color w:val="auto"/>
          <w:sz w:val="10"/>
          <w:szCs w:val="10"/>
          <w:highlight w:val="none"/>
          <w:lang w:val="en-US" w:eastAsia="zh-CN"/>
        </w:rPr>
        <w:t>产能</w:t>
      </w:r>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35"/>
        <w:gridCol w:w="8457"/>
      </w:tblGrid>
      <w:tr w14:paraId="4380B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49" w:type="pct"/>
          </w:tcPr>
          <w:p w14:paraId="386E42FC">
            <w:pPr>
              <w:rPr>
                <w:color w:val="auto"/>
                <w:highlight w:val="none"/>
              </w:rPr>
            </w:pPr>
          </w:p>
        </w:tc>
        <w:tc>
          <w:tcPr>
            <w:tcW w:w="4650" w:type="pct"/>
            <w:vAlign w:val="top"/>
          </w:tcPr>
          <w:p w14:paraId="490B0926">
            <w:pPr>
              <w:pStyle w:val="2"/>
              <w:keepNext w:val="0"/>
              <w:keepLines w:val="0"/>
              <w:numPr>
                <w:ilvl w:val="0"/>
                <w:numId w:val="3"/>
              </w:numPr>
              <w:suppressLineNumbers w:val="0"/>
              <w:spacing w:beforeAutospacing="0" w:after="0" w:afterAutospacing="0"/>
              <w:ind w:left="0" w:right="0" w:firstLine="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项目设备产能匹配性分析</w:t>
            </w:r>
          </w:p>
          <w:p w14:paraId="2BD53A7F">
            <w:pPr>
              <w:pStyle w:val="18"/>
              <w:ind w:firstLine="482"/>
              <w:rPr>
                <w:rFonts w:hint="eastAsia"/>
                <w:color w:val="auto"/>
                <w:highlight w:val="none"/>
                <w:lang w:val="en-US" w:eastAsia="zh-CN"/>
              </w:rPr>
            </w:pPr>
            <w:r>
              <w:rPr>
                <w:rFonts w:hint="eastAsia"/>
                <w:color w:val="auto"/>
                <w:highlight w:val="none"/>
                <w:lang w:val="en-US" w:eastAsia="zh-CN"/>
              </w:rPr>
              <w:t>按照产品规格大小，划分为2类产品，分别使用不同型号注塑机生产。同类别注塑机通过不同模具，均可生产该类别规格产品，核算扩建后产品产能匹配性如下：</w:t>
            </w:r>
          </w:p>
          <w:p w14:paraId="662A2768">
            <w:pPr>
              <w:pStyle w:val="19"/>
              <w:bidi w:val="0"/>
              <w:rPr>
                <w:rFonts w:hint="eastAsia"/>
                <w:color w:val="auto"/>
                <w:highlight w:val="none"/>
              </w:rPr>
            </w:pPr>
            <w:r>
              <w:rPr>
                <w:color w:val="auto"/>
                <w:highlight w:val="none"/>
              </w:rPr>
              <w:t>表2-</w:t>
            </w:r>
            <w:r>
              <w:rPr>
                <w:color w:val="auto"/>
                <w:highlight w:val="none"/>
              </w:rPr>
              <w:fldChar w:fldCharType="begin"/>
            </w:r>
            <w:r>
              <w:rPr>
                <w:color w:val="auto"/>
                <w:highlight w:val="none"/>
              </w:rPr>
              <w:instrText xml:space="preserve"> SEQ 表2- \* ARABIC </w:instrText>
            </w:r>
            <w:r>
              <w:rPr>
                <w:color w:val="auto"/>
                <w:highlight w:val="none"/>
              </w:rPr>
              <w:fldChar w:fldCharType="separate"/>
            </w:r>
            <w:r>
              <w:rPr>
                <w:color w:val="auto"/>
                <w:highlight w:val="none"/>
              </w:rPr>
              <w:t>4</w:t>
            </w:r>
            <w:r>
              <w:rPr>
                <w:color w:val="auto"/>
                <w:highlight w:val="none"/>
              </w:rPr>
              <w:fldChar w:fldCharType="end"/>
            </w:r>
            <w:r>
              <w:rPr>
                <w:rFonts w:hint="eastAsia"/>
                <w:color w:val="auto"/>
                <w:highlight w:val="none"/>
              </w:rPr>
              <w:t xml:space="preserve">  项目主要设备一览表</w:t>
            </w:r>
          </w:p>
          <w:tbl>
            <w:tblPr>
              <w:tblStyle w:val="1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57" w:type="dxa"/>
                <w:bottom w:w="0" w:type="dxa"/>
                <w:right w:w="57" w:type="dxa"/>
              </w:tblCellMar>
            </w:tblPr>
            <w:tblGrid>
              <w:gridCol w:w="1395"/>
              <w:gridCol w:w="643"/>
              <w:gridCol w:w="1031"/>
              <w:gridCol w:w="891"/>
              <w:gridCol w:w="1004"/>
              <w:gridCol w:w="1029"/>
              <w:gridCol w:w="830"/>
              <w:gridCol w:w="928"/>
              <w:gridCol w:w="575"/>
            </w:tblGrid>
            <w:tr w14:paraId="4F744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397" w:hRule="atLeast"/>
                <w:jc w:val="center"/>
              </w:trPr>
              <w:tc>
                <w:tcPr>
                  <w:tcW w:w="1223" w:type="pct"/>
                  <w:gridSpan w:val="2"/>
                  <w:shd w:val="clear" w:color="auto" w:fill="auto"/>
                  <w:vAlign w:val="center"/>
                </w:tcPr>
                <w:p w14:paraId="3882EE9C">
                  <w:pPr>
                    <w:pStyle w:val="20"/>
                    <w:bidi w:val="0"/>
                    <w:rPr>
                      <w:rFonts w:hint="eastAsia"/>
                      <w:b/>
                      <w:bCs/>
                      <w:color w:val="auto"/>
                      <w:highlight w:val="none"/>
                      <w:lang w:val="en-US" w:eastAsia="zh-CN"/>
                    </w:rPr>
                  </w:pPr>
                  <w:r>
                    <w:rPr>
                      <w:rFonts w:hint="eastAsia"/>
                      <w:b/>
                      <w:bCs/>
                      <w:color w:val="auto"/>
                      <w:highlight w:val="none"/>
                      <w:lang w:val="en-US" w:eastAsia="zh-CN"/>
                    </w:rPr>
                    <w:t>注塑机</w:t>
                  </w:r>
                </w:p>
              </w:tc>
              <w:tc>
                <w:tcPr>
                  <w:tcW w:w="619" w:type="pct"/>
                  <w:vMerge w:val="restart"/>
                  <w:shd w:val="clear" w:color="auto" w:fill="auto"/>
                  <w:vAlign w:val="center"/>
                </w:tcPr>
                <w:p w14:paraId="3AC53B3B">
                  <w:pPr>
                    <w:pStyle w:val="20"/>
                    <w:bidi w:val="0"/>
                    <w:rPr>
                      <w:rFonts w:hint="eastAsia"/>
                      <w:b/>
                      <w:bCs/>
                      <w:color w:val="auto"/>
                      <w:highlight w:val="none"/>
                    </w:rPr>
                  </w:pPr>
                  <w:r>
                    <w:rPr>
                      <w:rFonts w:hint="eastAsia"/>
                      <w:b/>
                      <w:bCs/>
                      <w:color w:val="auto"/>
                      <w:highlight w:val="none"/>
                      <w:lang w:val="en-US" w:eastAsia="zh-CN"/>
                    </w:rPr>
                    <w:t>产品名称</w:t>
                  </w:r>
                </w:p>
              </w:tc>
              <w:tc>
                <w:tcPr>
                  <w:tcW w:w="535" w:type="pct"/>
                  <w:vMerge w:val="restart"/>
                  <w:shd w:val="clear" w:color="auto" w:fill="auto"/>
                  <w:vAlign w:val="center"/>
                </w:tcPr>
                <w:p w14:paraId="4654AC4E">
                  <w:pPr>
                    <w:pStyle w:val="20"/>
                    <w:bidi w:val="0"/>
                    <w:rPr>
                      <w:rFonts w:hint="eastAsia"/>
                      <w:b/>
                      <w:bCs/>
                      <w:color w:val="auto"/>
                      <w:highlight w:val="none"/>
                    </w:rPr>
                  </w:pPr>
                  <w:r>
                    <w:rPr>
                      <w:rFonts w:hint="eastAsia"/>
                      <w:b/>
                      <w:bCs/>
                      <w:color w:val="auto"/>
                      <w:highlight w:val="none"/>
                      <w:lang w:val="en-US" w:eastAsia="zh-CN"/>
                    </w:rPr>
                    <w:t>单件生产时间</w:t>
                  </w:r>
                  <w:r>
                    <w:rPr>
                      <w:b/>
                      <w:bCs/>
                      <w:color w:val="auto"/>
                      <w:highlight w:val="none"/>
                      <w:lang w:val="en-US" w:eastAsia="zh-CN"/>
                    </w:rPr>
                    <w:t>s</w:t>
                  </w:r>
                </w:p>
              </w:tc>
              <w:tc>
                <w:tcPr>
                  <w:tcW w:w="602" w:type="pct"/>
                  <w:vMerge w:val="restart"/>
                  <w:shd w:val="clear" w:color="auto" w:fill="auto"/>
                  <w:vAlign w:val="center"/>
                </w:tcPr>
                <w:p w14:paraId="7B218140">
                  <w:pPr>
                    <w:pStyle w:val="20"/>
                    <w:bidi w:val="0"/>
                    <w:rPr>
                      <w:rFonts w:hint="eastAsia"/>
                      <w:b/>
                      <w:bCs/>
                      <w:color w:val="auto"/>
                      <w:highlight w:val="none"/>
                    </w:rPr>
                  </w:pPr>
                  <w:r>
                    <w:rPr>
                      <w:rFonts w:hint="eastAsia"/>
                      <w:b/>
                      <w:bCs/>
                      <w:color w:val="auto"/>
                      <w:highlight w:val="none"/>
                      <w:lang w:val="en-US" w:eastAsia="zh-CN"/>
                    </w:rPr>
                    <w:t>设计产能</w:t>
                  </w:r>
                  <w:r>
                    <w:rPr>
                      <w:rFonts w:hint="eastAsia"/>
                      <w:b/>
                      <w:bCs/>
                      <w:color w:val="auto"/>
                      <w:highlight w:val="none"/>
                      <w:lang w:val="en-US" w:eastAsia="zh-CN"/>
                    </w:rPr>
                    <w:br w:type="textWrapping"/>
                  </w:r>
                  <w:r>
                    <w:rPr>
                      <w:rFonts w:hint="eastAsia"/>
                      <w:b/>
                      <w:bCs/>
                      <w:color w:val="auto"/>
                      <w:highlight w:val="none"/>
                      <w:lang w:val="en-US" w:eastAsia="zh-CN"/>
                    </w:rPr>
                    <w:t>万件/a</w:t>
                  </w:r>
                </w:p>
              </w:tc>
              <w:tc>
                <w:tcPr>
                  <w:tcW w:w="617" w:type="pct"/>
                  <w:vMerge w:val="restart"/>
                  <w:shd w:val="clear" w:color="auto" w:fill="auto"/>
                  <w:vAlign w:val="center"/>
                </w:tcPr>
                <w:p w14:paraId="3608085B">
                  <w:pPr>
                    <w:pStyle w:val="20"/>
                    <w:bidi w:val="0"/>
                    <w:rPr>
                      <w:rFonts w:hint="default"/>
                      <w:b/>
                      <w:bCs/>
                      <w:color w:val="auto"/>
                      <w:highlight w:val="none"/>
                      <w:lang w:val="en-US"/>
                    </w:rPr>
                  </w:pPr>
                  <w:r>
                    <w:rPr>
                      <w:rFonts w:hint="eastAsia"/>
                      <w:b/>
                      <w:bCs/>
                      <w:color w:val="auto"/>
                      <w:highlight w:val="none"/>
                      <w:lang w:val="en-US" w:eastAsia="zh-CN"/>
                    </w:rPr>
                    <w:t>设计生产用时h/a</w:t>
                  </w:r>
                </w:p>
              </w:tc>
              <w:tc>
                <w:tcPr>
                  <w:tcW w:w="498" w:type="pct"/>
                  <w:vMerge w:val="restart"/>
                  <w:shd w:val="clear" w:color="auto" w:fill="auto"/>
                  <w:vAlign w:val="center"/>
                </w:tcPr>
                <w:p w14:paraId="773D1C65">
                  <w:pPr>
                    <w:pStyle w:val="20"/>
                    <w:bidi w:val="0"/>
                    <w:rPr>
                      <w:rFonts w:hint="default"/>
                      <w:b/>
                      <w:bCs/>
                      <w:color w:val="auto"/>
                      <w:highlight w:val="none"/>
                      <w:lang w:val="en-US"/>
                    </w:rPr>
                  </w:pPr>
                  <w:r>
                    <w:rPr>
                      <w:rFonts w:hint="eastAsia"/>
                      <w:b/>
                      <w:bCs/>
                      <w:color w:val="auto"/>
                      <w:highlight w:val="none"/>
                      <w:lang w:val="en-US" w:eastAsia="zh-CN"/>
                    </w:rPr>
                    <w:t>分配用时h/a</w:t>
                  </w:r>
                </w:p>
              </w:tc>
              <w:tc>
                <w:tcPr>
                  <w:tcW w:w="557" w:type="pct"/>
                  <w:vMerge w:val="restart"/>
                  <w:shd w:val="clear" w:color="auto" w:fill="auto"/>
                  <w:vAlign w:val="center"/>
                </w:tcPr>
                <w:p w14:paraId="5075D835">
                  <w:pPr>
                    <w:pStyle w:val="20"/>
                    <w:bidi w:val="0"/>
                    <w:rPr>
                      <w:rFonts w:hint="eastAsia"/>
                      <w:b/>
                      <w:bCs/>
                      <w:color w:val="auto"/>
                      <w:highlight w:val="none"/>
                    </w:rPr>
                  </w:pPr>
                  <w:r>
                    <w:rPr>
                      <w:rFonts w:hint="eastAsia"/>
                      <w:b/>
                      <w:bCs/>
                      <w:color w:val="auto"/>
                      <w:highlight w:val="none"/>
                      <w:lang w:val="en-US" w:eastAsia="zh-CN"/>
                    </w:rPr>
                    <w:t>最大产能万件/a</w:t>
                  </w:r>
                </w:p>
              </w:tc>
              <w:tc>
                <w:tcPr>
                  <w:tcW w:w="345" w:type="pct"/>
                  <w:vMerge w:val="restart"/>
                  <w:shd w:val="clear" w:color="auto" w:fill="auto"/>
                  <w:vAlign w:val="center"/>
                </w:tcPr>
                <w:p w14:paraId="746DF084">
                  <w:pPr>
                    <w:pStyle w:val="20"/>
                    <w:bidi w:val="0"/>
                    <w:rPr>
                      <w:rFonts w:hint="default"/>
                      <w:b/>
                      <w:bCs/>
                      <w:color w:val="auto"/>
                      <w:highlight w:val="none"/>
                      <w:lang w:val="en-US" w:eastAsia="zh-CN"/>
                    </w:rPr>
                  </w:pPr>
                  <w:r>
                    <w:rPr>
                      <w:rFonts w:hint="eastAsia"/>
                      <w:b/>
                      <w:bCs/>
                      <w:color w:val="auto"/>
                      <w:highlight w:val="none"/>
                      <w:lang w:val="en-US" w:eastAsia="zh-CN"/>
                    </w:rPr>
                    <w:t>匹配性</w:t>
                  </w:r>
                </w:p>
              </w:tc>
            </w:tr>
            <w:tr w14:paraId="66C87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397" w:hRule="atLeast"/>
                <w:jc w:val="center"/>
              </w:trPr>
              <w:tc>
                <w:tcPr>
                  <w:tcW w:w="837" w:type="pct"/>
                  <w:shd w:val="clear" w:color="auto" w:fill="auto"/>
                  <w:vAlign w:val="center"/>
                </w:tcPr>
                <w:p w14:paraId="17FC92EA">
                  <w:pPr>
                    <w:pStyle w:val="20"/>
                    <w:bidi w:val="0"/>
                    <w:rPr>
                      <w:rFonts w:hint="eastAsia"/>
                      <w:b/>
                      <w:bCs/>
                      <w:color w:val="auto"/>
                      <w:highlight w:val="none"/>
                      <w:lang w:val="en-US" w:eastAsia="zh-CN"/>
                    </w:rPr>
                  </w:pPr>
                  <w:r>
                    <w:rPr>
                      <w:rFonts w:hint="eastAsia"/>
                      <w:b/>
                      <w:bCs/>
                      <w:color w:val="auto"/>
                      <w:highlight w:val="none"/>
                      <w:lang w:val="en-US" w:eastAsia="zh-CN"/>
                    </w:rPr>
                    <w:t>型号</w:t>
                  </w:r>
                </w:p>
              </w:tc>
              <w:tc>
                <w:tcPr>
                  <w:tcW w:w="386" w:type="pct"/>
                  <w:shd w:val="clear" w:color="auto" w:fill="auto"/>
                  <w:vAlign w:val="center"/>
                </w:tcPr>
                <w:p w14:paraId="5D17DB18">
                  <w:pPr>
                    <w:pStyle w:val="20"/>
                    <w:bidi w:val="0"/>
                    <w:rPr>
                      <w:rFonts w:hint="default"/>
                      <w:b/>
                      <w:bCs/>
                      <w:color w:val="auto"/>
                      <w:highlight w:val="none"/>
                      <w:lang w:val="en-US" w:eastAsia="zh-CN"/>
                    </w:rPr>
                  </w:pPr>
                  <w:r>
                    <w:rPr>
                      <w:rFonts w:hint="eastAsia"/>
                      <w:b/>
                      <w:bCs/>
                      <w:color w:val="auto"/>
                      <w:highlight w:val="none"/>
                      <w:lang w:val="en-US" w:eastAsia="zh-CN"/>
                    </w:rPr>
                    <w:t>数量</w:t>
                  </w:r>
                </w:p>
              </w:tc>
              <w:tc>
                <w:tcPr>
                  <w:tcW w:w="619" w:type="pct"/>
                  <w:vMerge w:val="continue"/>
                  <w:shd w:val="clear" w:color="auto" w:fill="auto"/>
                  <w:vAlign w:val="center"/>
                </w:tcPr>
                <w:p w14:paraId="5A3733BD">
                  <w:pPr>
                    <w:pStyle w:val="20"/>
                    <w:bidi w:val="0"/>
                    <w:rPr>
                      <w:rFonts w:hint="eastAsia"/>
                      <w:b/>
                      <w:bCs/>
                      <w:color w:val="auto"/>
                      <w:highlight w:val="none"/>
                      <w:lang w:val="en-US" w:eastAsia="zh-CN"/>
                    </w:rPr>
                  </w:pPr>
                </w:p>
              </w:tc>
              <w:tc>
                <w:tcPr>
                  <w:tcW w:w="535" w:type="pct"/>
                  <w:vMerge w:val="continue"/>
                  <w:shd w:val="clear" w:color="auto" w:fill="auto"/>
                  <w:vAlign w:val="center"/>
                </w:tcPr>
                <w:p w14:paraId="31A9DA94">
                  <w:pPr>
                    <w:pStyle w:val="20"/>
                    <w:bidi w:val="0"/>
                    <w:rPr>
                      <w:rFonts w:hint="eastAsia"/>
                      <w:b/>
                      <w:bCs/>
                      <w:color w:val="auto"/>
                      <w:highlight w:val="none"/>
                      <w:lang w:val="en-US" w:eastAsia="zh-CN"/>
                    </w:rPr>
                  </w:pPr>
                </w:p>
              </w:tc>
              <w:tc>
                <w:tcPr>
                  <w:tcW w:w="602" w:type="pct"/>
                  <w:vMerge w:val="continue"/>
                  <w:shd w:val="clear" w:color="auto" w:fill="auto"/>
                  <w:vAlign w:val="center"/>
                </w:tcPr>
                <w:p w14:paraId="3F8DA007">
                  <w:pPr>
                    <w:pStyle w:val="20"/>
                    <w:bidi w:val="0"/>
                    <w:rPr>
                      <w:rFonts w:hint="eastAsia"/>
                      <w:b/>
                      <w:bCs/>
                      <w:color w:val="auto"/>
                      <w:highlight w:val="none"/>
                      <w:lang w:val="en-US" w:eastAsia="zh-CN"/>
                    </w:rPr>
                  </w:pPr>
                </w:p>
              </w:tc>
              <w:tc>
                <w:tcPr>
                  <w:tcW w:w="617" w:type="pct"/>
                  <w:vMerge w:val="continue"/>
                  <w:shd w:val="clear" w:color="auto" w:fill="auto"/>
                  <w:vAlign w:val="center"/>
                </w:tcPr>
                <w:p w14:paraId="70352EE5">
                  <w:pPr>
                    <w:pStyle w:val="20"/>
                    <w:bidi w:val="0"/>
                    <w:rPr>
                      <w:rFonts w:hint="eastAsia"/>
                      <w:b/>
                      <w:bCs/>
                      <w:color w:val="auto"/>
                      <w:highlight w:val="none"/>
                      <w:lang w:val="en-US" w:eastAsia="zh-CN"/>
                    </w:rPr>
                  </w:pPr>
                </w:p>
              </w:tc>
              <w:tc>
                <w:tcPr>
                  <w:tcW w:w="498" w:type="pct"/>
                  <w:vMerge w:val="continue"/>
                  <w:shd w:val="clear" w:color="auto" w:fill="auto"/>
                  <w:vAlign w:val="center"/>
                </w:tcPr>
                <w:p w14:paraId="1138E297">
                  <w:pPr>
                    <w:pStyle w:val="20"/>
                    <w:bidi w:val="0"/>
                    <w:rPr>
                      <w:rFonts w:hint="eastAsia"/>
                      <w:b/>
                      <w:bCs/>
                      <w:color w:val="auto"/>
                      <w:highlight w:val="none"/>
                      <w:lang w:val="en-US" w:eastAsia="zh-CN"/>
                    </w:rPr>
                  </w:pPr>
                </w:p>
              </w:tc>
              <w:tc>
                <w:tcPr>
                  <w:tcW w:w="557" w:type="pct"/>
                  <w:vMerge w:val="continue"/>
                  <w:shd w:val="clear" w:color="auto" w:fill="auto"/>
                  <w:vAlign w:val="center"/>
                </w:tcPr>
                <w:p w14:paraId="68786288">
                  <w:pPr>
                    <w:pStyle w:val="20"/>
                    <w:bidi w:val="0"/>
                    <w:rPr>
                      <w:rFonts w:hint="eastAsia"/>
                      <w:b/>
                      <w:bCs/>
                      <w:color w:val="auto"/>
                      <w:highlight w:val="none"/>
                      <w:lang w:val="en-US" w:eastAsia="zh-CN"/>
                    </w:rPr>
                  </w:pPr>
                </w:p>
              </w:tc>
              <w:tc>
                <w:tcPr>
                  <w:tcW w:w="345" w:type="pct"/>
                  <w:vMerge w:val="continue"/>
                  <w:shd w:val="clear" w:color="auto" w:fill="auto"/>
                  <w:vAlign w:val="center"/>
                </w:tcPr>
                <w:p w14:paraId="2BE9673D">
                  <w:pPr>
                    <w:pStyle w:val="20"/>
                    <w:bidi w:val="0"/>
                    <w:rPr>
                      <w:rFonts w:hint="eastAsia"/>
                      <w:b/>
                      <w:bCs/>
                      <w:color w:val="auto"/>
                      <w:highlight w:val="none"/>
                      <w:lang w:val="en-US" w:eastAsia="zh-CN"/>
                    </w:rPr>
                  </w:pPr>
                </w:p>
              </w:tc>
            </w:tr>
            <w:tr w14:paraId="19168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837" w:type="pct"/>
                  <w:vMerge w:val="restart"/>
                  <w:shd w:val="clear" w:color="auto" w:fill="auto"/>
                  <w:vAlign w:val="center"/>
                </w:tcPr>
                <w:p w14:paraId="0533E657">
                  <w:pPr>
                    <w:pStyle w:val="20"/>
                    <w:bidi w:val="0"/>
                    <w:rPr>
                      <w:rFonts w:hint="default"/>
                      <w:color w:val="auto"/>
                      <w:highlight w:val="none"/>
                      <w:lang w:val="en-US" w:eastAsia="zh-CN"/>
                    </w:rPr>
                  </w:pPr>
                  <w:r>
                    <w:rPr>
                      <w:rFonts w:hint="default"/>
                      <w:color w:val="auto"/>
                      <w:highlight w:val="none"/>
                      <w:lang w:val="en-US" w:eastAsia="zh-CN"/>
                    </w:rPr>
                    <w:t>EM220-SVP/2</w:t>
                  </w:r>
                </w:p>
                <w:p w14:paraId="0A8DEF48">
                  <w:pPr>
                    <w:pStyle w:val="20"/>
                    <w:bidi w:val="0"/>
                    <w:rPr>
                      <w:rFonts w:hint="eastAsia"/>
                      <w:color w:val="auto"/>
                      <w:highlight w:val="none"/>
                      <w:lang w:val="en-US" w:eastAsia="zh-CN"/>
                    </w:rPr>
                  </w:pPr>
                  <w:r>
                    <w:rPr>
                      <w:rFonts w:hint="default"/>
                      <w:color w:val="auto"/>
                      <w:highlight w:val="none"/>
                      <w:lang w:val="en-US" w:eastAsia="zh-CN"/>
                    </w:rPr>
                    <w:t>EM320-SVP/2</w:t>
                  </w:r>
                </w:p>
                <w:p w14:paraId="6125643A">
                  <w:pPr>
                    <w:pStyle w:val="20"/>
                    <w:bidi w:val="0"/>
                    <w:rPr>
                      <w:rFonts w:hint="eastAsia"/>
                      <w:color w:val="auto"/>
                      <w:highlight w:val="none"/>
                      <w:lang w:val="en-US" w:eastAsia="zh-CN"/>
                    </w:rPr>
                  </w:pPr>
                  <w:r>
                    <w:rPr>
                      <w:rFonts w:hint="default"/>
                      <w:color w:val="auto"/>
                      <w:highlight w:val="none"/>
                      <w:lang w:val="en-US" w:eastAsia="zh-CN"/>
                    </w:rPr>
                    <w:t>HT250</w:t>
                  </w:r>
                </w:p>
                <w:p w14:paraId="62A2C4C9">
                  <w:pPr>
                    <w:pStyle w:val="20"/>
                    <w:bidi w:val="0"/>
                    <w:rPr>
                      <w:rFonts w:hint="eastAsia"/>
                      <w:color w:val="auto"/>
                      <w:highlight w:val="none"/>
                      <w:lang w:val="en-US" w:eastAsia="zh-CN"/>
                    </w:rPr>
                  </w:pPr>
                  <w:r>
                    <w:rPr>
                      <w:rFonts w:hint="default"/>
                      <w:color w:val="auto"/>
                      <w:highlight w:val="none"/>
                      <w:lang w:val="en-US" w:eastAsia="zh-CN"/>
                    </w:rPr>
                    <w:t>SS228G</w:t>
                  </w:r>
                </w:p>
                <w:p w14:paraId="3414E63F">
                  <w:pPr>
                    <w:pStyle w:val="20"/>
                    <w:bidi w:val="0"/>
                    <w:rPr>
                      <w:rFonts w:hint="eastAsia"/>
                      <w:color w:val="auto"/>
                      <w:highlight w:val="none"/>
                      <w:lang w:val="en-US" w:eastAsia="zh-CN"/>
                    </w:rPr>
                  </w:pPr>
                  <w:r>
                    <w:rPr>
                      <w:rFonts w:hint="default"/>
                      <w:color w:val="auto"/>
                      <w:highlight w:val="none"/>
                      <w:lang w:val="en-US" w:eastAsia="zh-CN"/>
                    </w:rPr>
                    <w:t>SS250G</w:t>
                  </w:r>
                </w:p>
              </w:tc>
              <w:tc>
                <w:tcPr>
                  <w:tcW w:w="386" w:type="pct"/>
                  <w:vMerge w:val="restart"/>
                  <w:shd w:val="clear" w:color="auto" w:fill="auto"/>
                  <w:vAlign w:val="center"/>
                </w:tcPr>
                <w:p w14:paraId="09EED10B">
                  <w:pPr>
                    <w:pStyle w:val="20"/>
                    <w:bidi w:val="0"/>
                    <w:rPr>
                      <w:rFonts w:hint="eastAsia"/>
                      <w:color w:val="auto"/>
                      <w:highlight w:val="none"/>
                      <w:lang w:val="en-US" w:eastAsia="zh-CN"/>
                    </w:rPr>
                  </w:pPr>
                  <w:r>
                    <w:rPr>
                      <w:rFonts w:hint="eastAsia"/>
                      <w:color w:val="auto"/>
                      <w:highlight w:val="none"/>
                      <w:lang w:val="en-US" w:eastAsia="zh-CN"/>
                    </w:rPr>
                    <w:t>2</w:t>
                  </w:r>
                </w:p>
                <w:p w14:paraId="161FC72A">
                  <w:pPr>
                    <w:pStyle w:val="20"/>
                    <w:bidi w:val="0"/>
                    <w:rPr>
                      <w:rFonts w:hint="eastAsia"/>
                      <w:color w:val="auto"/>
                      <w:highlight w:val="none"/>
                      <w:lang w:val="en-US" w:eastAsia="zh-CN"/>
                    </w:rPr>
                  </w:pPr>
                  <w:r>
                    <w:rPr>
                      <w:rFonts w:hint="eastAsia"/>
                      <w:color w:val="auto"/>
                      <w:highlight w:val="none"/>
                      <w:lang w:val="en-US" w:eastAsia="zh-CN"/>
                    </w:rPr>
                    <w:t>4</w:t>
                  </w:r>
                </w:p>
                <w:p w14:paraId="540F7FF6">
                  <w:pPr>
                    <w:pStyle w:val="20"/>
                    <w:bidi w:val="0"/>
                    <w:rPr>
                      <w:rFonts w:hint="eastAsia"/>
                      <w:color w:val="auto"/>
                      <w:highlight w:val="none"/>
                      <w:lang w:val="en-US" w:eastAsia="zh-CN"/>
                    </w:rPr>
                  </w:pPr>
                  <w:r>
                    <w:rPr>
                      <w:rFonts w:hint="eastAsia"/>
                      <w:color w:val="auto"/>
                      <w:highlight w:val="none"/>
                      <w:lang w:val="en-US" w:eastAsia="zh-CN"/>
                    </w:rPr>
                    <w:t>1</w:t>
                  </w:r>
                </w:p>
                <w:p w14:paraId="2720BD59">
                  <w:pPr>
                    <w:pStyle w:val="20"/>
                    <w:bidi w:val="0"/>
                    <w:rPr>
                      <w:rFonts w:hint="eastAsia"/>
                      <w:color w:val="auto"/>
                      <w:highlight w:val="none"/>
                      <w:lang w:val="en-US" w:eastAsia="zh-CN"/>
                    </w:rPr>
                  </w:pPr>
                  <w:r>
                    <w:rPr>
                      <w:rFonts w:hint="eastAsia"/>
                      <w:color w:val="auto"/>
                      <w:highlight w:val="none"/>
                      <w:lang w:val="en-US" w:eastAsia="zh-CN"/>
                    </w:rPr>
                    <w:t>1</w:t>
                  </w:r>
                </w:p>
                <w:p w14:paraId="300A50BA">
                  <w:pPr>
                    <w:pStyle w:val="20"/>
                    <w:bidi w:val="0"/>
                    <w:rPr>
                      <w:rFonts w:hint="eastAsia"/>
                      <w:color w:val="auto"/>
                      <w:highlight w:val="none"/>
                      <w:lang w:val="en-US" w:eastAsia="zh-CN"/>
                    </w:rPr>
                  </w:pPr>
                  <w:r>
                    <w:rPr>
                      <w:rFonts w:hint="eastAsia"/>
                      <w:color w:val="auto"/>
                      <w:highlight w:val="none"/>
                      <w:lang w:val="en-US" w:eastAsia="zh-CN"/>
                    </w:rPr>
                    <w:t>1</w:t>
                  </w:r>
                </w:p>
              </w:tc>
              <w:tc>
                <w:tcPr>
                  <w:tcW w:w="619" w:type="pct"/>
                  <w:shd w:val="clear" w:color="auto" w:fill="auto"/>
                  <w:vAlign w:val="center"/>
                </w:tcPr>
                <w:p w14:paraId="26012698">
                  <w:pPr>
                    <w:pStyle w:val="20"/>
                    <w:bidi w:val="0"/>
                    <w:rPr>
                      <w:rFonts w:hint="eastAsia"/>
                      <w:color w:val="auto"/>
                      <w:highlight w:val="none"/>
                    </w:rPr>
                  </w:pPr>
                  <w:r>
                    <w:rPr>
                      <w:rFonts w:hint="eastAsia"/>
                      <w:color w:val="auto"/>
                      <w:highlight w:val="none"/>
                      <w:lang w:val="en-US" w:eastAsia="zh-CN"/>
                    </w:rPr>
                    <w:t>镜面托板</w:t>
                  </w:r>
                </w:p>
              </w:tc>
              <w:tc>
                <w:tcPr>
                  <w:tcW w:w="535" w:type="pct"/>
                  <w:shd w:val="clear" w:color="auto" w:fill="auto"/>
                  <w:vAlign w:val="center"/>
                </w:tcPr>
                <w:p w14:paraId="50A88F14">
                  <w:pPr>
                    <w:pStyle w:val="20"/>
                    <w:bidi w:val="0"/>
                    <w:rPr>
                      <w:rFonts w:hint="default"/>
                      <w:color w:val="auto"/>
                      <w:highlight w:val="none"/>
                    </w:rPr>
                  </w:pPr>
                  <w:r>
                    <w:rPr>
                      <w:rFonts w:hint="default"/>
                      <w:color w:val="auto"/>
                      <w:highlight w:val="none"/>
                      <w:lang w:val="en-US" w:eastAsia="zh-CN"/>
                    </w:rPr>
                    <w:t>30</w:t>
                  </w:r>
                </w:p>
              </w:tc>
              <w:tc>
                <w:tcPr>
                  <w:tcW w:w="602" w:type="pct"/>
                  <w:shd w:val="clear" w:color="auto" w:fill="auto"/>
                  <w:vAlign w:val="center"/>
                </w:tcPr>
                <w:p w14:paraId="0B9E6401">
                  <w:pPr>
                    <w:pStyle w:val="20"/>
                    <w:bidi w:val="0"/>
                    <w:rPr>
                      <w:rFonts w:hint="default"/>
                      <w:color w:val="auto"/>
                      <w:highlight w:val="none"/>
                    </w:rPr>
                  </w:pPr>
                  <w:r>
                    <w:rPr>
                      <w:rFonts w:hint="default"/>
                      <w:color w:val="auto"/>
                      <w:highlight w:val="none"/>
                      <w:lang w:val="en-US" w:eastAsia="zh-CN"/>
                    </w:rPr>
                    <w:t>72</w:t>
                  </w:r>
                </w:p>
              </w:tc>
              <w:tc>
                <w:tcPr>
                  <w:tcW w:w="617" w:type="pct"/>
                  <w:shd w:val="clear" w:color="auto" w:fill="auto"/>
                  <w:vAlign w:val="center"/>
                </w:tcPr>
                <w:p w14:paraId="3E3FE223">
                  <w:pPr>
                    <w:pStyle w:val="20"/>
                    <w:bidi w:val="0"/>
                    <w:rPr>
                      <w:rFonts w:hint="default"/>
                      <w:color w:val="auto"/>
                      <w:highlight w:val="none"/>
                    </w:rPr>
                  </w:pPr>
                  <w:r>
                    <w:rPr>
                      <w:rFonts w:hint="default"/>
                      <w:color w:val="auto"/>
                      <w:highlight w:val="none"/>
                      <w:lang w:val="en-US" w:eastAsia="zh-CN"/>
                    </w:rPr>
                    <w:t>666.7</w:t>
                  </w:r>
                </w:p>
              </w:tc>
              <w:tc>
                <w:tcPr>
                  <w:tcW w:w="498" w:type="pct"/>
                  <w:shd w:val="clear" w:color="auto" w:fill="auto"/>
                  <w:vAlign w:val="center"/>
                </w:tcPr>
                <w:p w14:paraId="7070991A">
                  <w:pPr>
                    <w:pStyle w:val="20"/>
                    <w:bidi w:val="0"/>
                    <w:rPr>
                      <w:rFonts w:hint="default"/>
                      <w:color w:val="auto"/>
                      <w:highlight w:val="none"/>
                    </w:rPr>
                  </w:pPr>
                  <w:r>
                    <w:rPr>
                      <w:rFonts w:hint="default"/>
                      <w:color w:val="auto"/>
                      <w:highlight w:val="none"/>
                      <w:lang w:val="en-US" w:eastAsia="zh-CN"/>
                    </w:rPr>
                    <w:t>722.0</w:t>
                  </w:r>
                </w:p>
              </w:tc>
              <w:tc>
                <w:tcPr>
                  <w:tcW w:w="557" w:type="pct"/>
                  <w:shd w:val="clear" w:color="auto" w:fill="auto"/>
                  <w:vAlign w:val="center"/>
                </w:tcPr>
                <w:p w14:paraId="6D9F1B18">
                  <w:pPr>
                    <w:pStyle w:val="20"/>
                    <w:bidi w:val="0"/>
                    <w:rPr>
                      <w:rFonts w:hint="default"/>
                      <w:color w:val="auto"/>
                      <w:highlight w:val="none"/>
                    </w:rPr>
                  </w:pPr>
                  <w:r>
                    <w:rPr>
                      <w:rFonts w:hint="default"/>
                      <w:color w:val="auto"/>
                      <w:highlight w:val="none"/>
                      <w:lang w:val="en-US" w:eastAsia="zh-CN"/>
                    </w:rPr>
                    <w:t>77.98</w:t>
                  </w:r>
                </w:p>
              </w:tc>
              <w:tc>
                <w:tcPr>
                  <w:tcW w:w="345" w:type="pct"/>
                  <w:vMerge w:val="restart"/>
                  <w:shd w:val="clear" w:color="auto" w:fill="auto"/>
                  <w:vAlign w:val="center"/>
                </w:tcPr>
                <w:p w14:paraId="69504F05">
                  <w:pPr>
                    <w:pStyle w:val="20"/>
                    <w:bidi w:val="0"/>
                    <w:rPr>
                      <w:rFonts w:hint="default"/>
                      <w:color w:val="auto"/>
                      <w:highlight w:val="none"/>
                      <w:lang w:val="en-US" w:eastAsia="zh-CN"/>
                    </w:rPr>
                  </w:pPr>
                  <w:r>
                    <w:rPr>
                      <w:rFonts w:hint="eastAsia"/>
                      <w:color w:val="auto"/>
                      <w:highlight w:val="none"/>
                      <w:lang w:val="en-US" w:eastAsia="zh-CN"/>
                    </w:rPr>
                    <w:t>匹配</w:t>
                  </w:r>
                </w:p>
              </w:tc>
            </w:tr>
            <w:tr w14:paraId="70CB7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837" w:type="pct"/>
                  <w:vMerge w:val="continue"/>
                  <w:shd w:val="clear" w:color="auto" w:fill="auto"/>
                  <w:vAlign w:val="center"/>
                </w:tcPr>
                <w:p w14:paraId="16D575CA">
                  <w:pPr>
                    <w:pStyle w:val="20"/>
                    <w:bidi w:val="0"/>
                    <w:rPr>
                      <w:rFonts w:hint="eastAsia"/>
                      <w:color w:val="auto"/>
                      <w:highlight w:val="none"/>
                      <w:lang w:val="en-US" w:eastAsia="zh-CN"/>
                    </w:rPr>
                  </w:pPr>
                </w:p>
              </w:tc>
              <w:tc>
                <w:tcPr>
                  <w:tcW w:w="386" w:type="pct"/>
                  <w:vMerge w:val="continue"/>
                  <w:shd w:val="clear" w:color="auto" w:fill="auto"/>
                  <w:vAlign w:val="center"/>
                </w:tcPr>
                <w:p w14:paraId="0C9D9FAF">
                  <w:pPr>
                    <w:pStyle w:val="20"/>
                    <w:bidi w:val="0"/>
                    <w:rPr>
                      <w:rFonts w:hint="eastAsia"/>
                      <w:color w:val="auto"/>
                      <w:highlight w:val="none"/>
                      <w:lang w:val="en-US" w:eastAsia="zh-CN"/>
                    </w:rPr>
                  </w:pPr>
                </w:p>
              </w:tc>
              <w:tc>
                <w:tcPr>
                  <w:tcW w:w="619" w:type="pct"/>
                  <w:shd w:val="clear" w:color="auto" w:fill="auto"/>
                  <w:vAlign w:val="center"/>
                </w:tcPr>
                <w:p w14:paraId="1A19F06C">
                  <w:pPr>
                    <w:pStyle w:val="20"/>
                    <w:bidi w:val="0"/>
                    <w:rPr>
                      <w:rFonts w:hint="eastAsia"/>
                      <w:color w:val="auto"/>
                      <w:highlight w:val="none"/>
                    </w:rPr>
                  </w:pPr>
                  <w:r>
                    <w:rPr>
                      <w:rFonts w:hint="eastAsia"/>
                      <w:color w:val="auto"/>
                      <w:highlight w:val="none"/>
                      <w:lang w:val="en-US" w:eastAsia="zh-CN"/>
                    </w:rPr>
                    <w:t>护罩</w:t>
                  </w:r>
                </w:p>
              </w:tc>
              <w:tc>
                <w:tcPr>
                  <w:tcW w:w="535" w:type="pct"/>
                  <w:shd w:val="clear" w:color="auto" w:fill="auto"/>
                  <w:vAlign w:val="center"/>
                </w:tcPr>
                <w:p w14:paraId="3FF3051F">
                  <w:pPr>
                    <w:pStyle w:val="20"/>
                    <w:bidi w:val="0"/>
                    <w:rPr>
                      <w:rFonts w:hint="default"/>
                      <w:color w:val="auto"/>
                      <w:highlight w:val="none"/>
                    </w:rPr>
                  </w:pPr>
                  <w:r>
                    <w:rPr>
                      <w:rFonts w:hint="default"/>
                      <w:color w:val="auto"/>
                      <w:highlight w:val="none"/>
                      <w:lang w:val="en-US" w:eastAsia="zh-CN"/>
                    </w:rPr>
                    <w:t>45</w:t>
                  </w:r>
                </w:p>
              </w:tc>
              <w:tc>
                <w:tcPr>
                  <w:tcW w:w="602" w:type="pct"/>
                  <w:shd w:val="clear" w:color="auto" w:fill="auto"/>
                  <w:vAlign w:val="center"/>
                </w:tcPr>
                <w:p w14:paraId="7C88BB5A">
                  <w:pPr>
                    <w:pStyle w:val="20"/>
                    <w:bidi w:val="0"/>
                    <w:rPr>
                      <w:rFonts w:hint="default"/>
                      <w:color w:val="auto"/>
                      <w:highlight w:val="none"/>
                    </w:rPr>
                  </w:pPr>
                  <w:r>
                    <w:rPr>
                      <w:rFonts w:hint="default"/>
                      <w:color w:val="auto"/>
                      <w:highlight w:val="none"/>
                      <w:lang w:val="en-US" w:eastAsia="zh-CN"/>
                    </w:rPr>
                    <w:t>72</w:t>
                  </w:r>
                </w:p>
              </w:tc>
              <w:tc>
                <w:tcPr>
                  <w:tcW w:w="617" w:type="pct"/>
                  <w:shd w:val="clear" w:color="auto" w:fill="auto"/>
                  <w:vAlign w:val="center"/>
                </w:tcPr>
                <w:p w14:paraId="730420A0">
                  <w:pPr>
                    <w:pStyle w:val="20"/>
                    <w:bidi w:val="0"/>
                    <w:rPr>
                      <w:rFonts w:hint="default"/>
                      <w:color w:val="auto"/>
                      <w:highlight w:val="none"/>
                    </w:rPr>
                  </w:pPr>
                  <w:r>
                    <w:rPr>
                      <w:rFonts w:hint="default"/>
                      <w:color w:val="auto"/>
                      <w:highlight w:val="none"/>
                      <w:lang w:val="en-US" w:eastAsia="zh-CN"/>
                    </w:rPr>
                    <w:t>1000.0</w:t>
                  </w:r>
                </w:p>
              </w:tc>
              <w:tc>
                <w:tcPr>
                  <w:tcW w:w="498" w:type="pct"/>
                  <w:shd w:val="clear" w:color="auto" w:fill="auto"/>
                  <w:vAlign w:val="center"/>
                </w:tcPr>
                <w:p w14:paraId="0251B61E">
                  <w:pPr>
                    <w:pStyle w:val="20"/>
                    <w:bidi w:val="0"/>
                    <w:rPr>
                      <w:rFonts w:hint="default"/>
                      <w:color w:val="auto"/>
                      <w:highlight w:val="none"/>
                    </w:rPr>
                  </w:pPr>
                  <w:r>
                    <w:rPr>
                      <w:rFonts w:hint="default"/>
                      <w:color w:val="auto"/>
                      <w:highlight w:val="none"/>
                      <w:lang w:val="en-US" w:eastAsia="zh-CN"/>
                    </w:rPr>
                    <w:t>1083.0</w:t>
                  </w:r>
                </w:p>
              </w:tc>
              <w:tc>
                <w:tcPr>
                  <w:tcW w:w="557" w:type="pct"/>
                  <w:shd w:val="clear" w:color="auto" w:fill="auto"/>
                  <w:vAlign w:val="center"/>
                </w:tcPr>
                <w:p w14:paraId="2C367542">
                  <w:pPr>
                    <w:pStyle w:val="20"/>
                    <w:bidi w:val="0"/>
                    <w:rPr>
                      <w:rFonts w:hint="default"/>
                      <w:color w:val="auto"/>
                      <w:highlight w:val="none"/>
                    </w:rPr>
                  </w:pPr>
                  <w:r>
                    <w:rPr>
                      <w:rFonts w:hint="default"/>
                      <w:color w:val="auto"/>
                      <w:highlight w:val="none"/>
                      <w:lang w:val="en-US" w:eastAsia="zh-CN"/>
                    </w:rPr>
                    <w:t>77.98</w:t>
                  </w:r>
                </w:p>
              </w:tc>
              <w:tc>
                <w:tcPr>
                  <w:tcW w:w="345" w:type="pct"/>
                  <w:vMerge w:val="continue"/>
                  <w:shd w:val="clear" w:color="auto" w:fill="auto"/>
                  <w:vAlign w:val="center"/>
                </w:tcPr>
                <w:p w14:paraId="437F0940">
                  <w:pPr>
                    <w:pStyle w:val="20"/>
                    <w:bidi w:val="0"/>
                    <w:rPr>
                      <w:rFonts w:hint="default"/>
                      <w:color w:val="auto"/>
                      <w:highlight w:val="none"/>
                      <w:lang w:val="en-US" w:eastAsia="zh-CN"/>
                    </w:rPr>
                  </w:pPr>
                </w:p>
              </w:tc>
            </w:tr>
            <w:tr w14:paraId="0B3C6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837" w:type="pct"/>
                  <w:vMerge w:val="continue"/>
                  <w:shd w:val="clear" w:color="auto" w:fill="auto"/>
                  <w:vAlign w:val="center"/>
                </w:tcPr>
                <w:p w14:paraId="4ADC5837">
                  <w:pPr>
                    <w:pStyle w:val="20"/>
                    <w:bidi w:val="0"/>
                    <w:rPr>
                      <w:rFonts w:hint="eastAsia"/>
                      <w:color w:val="auto"/>
                      <w:highlight w:val="none"/>
                      <w:lang w:val="en-US" w:eastAsia="zh-CN"/>
                    </w:rPr>
                  </w:pPr>
                </w:p>
              </w:tc>
              <w:tc>
                <w:tcPr>
                  <w:tcW w:w="386" w:type="pct"/>
                  <w:vMerge w:val="continue"/>
                  <w:shd w:val="clear" w:color="auto" w:fill="auto"/>
                  <w:vAlign w:val="center"/>
                </w:tcPr>
                <w:p w14:paraId="057C979D">
                  <w:pPr>
                    <w:pStyle w:val="20"/>
                    <w:bidi w:val="0"/>
                    <w:rPr>
                      <w:rFonts w:hint="eastAsia"/>
                      <w:color w:val="auto"/>
                      <w:highlight w:val="none"/>
                      <w:lang w:val="en-US" w:eastAsia="zh-CN"/>
                    </w:rPr>
                  </w:pPr>
                </w:p>
              </w:tc>
              <w:tc>
                <w:tcPr>
                  <w:tcW w:w="619" w:type="pct"/>
                  <w:shd w:val="clear" w:color="auto" w:fill="auto"/>
                  <w:vAlign w:val="center"/>
                </w:tcPr>
                <w:p w14:paraId="65B2173B">
                  <w:pPr>
                    <w:pStyle w:val="20"/>
                    <w:bidi w:val="0"/>
                    <w:rPr>
                      <w:rFonts w:hint="eastAsia"/>
                      <w:color w:val="auto"/>
                      <w:highlight w:val="none"/>
                    </w:rPr>
                  </w:pPr>
                  <w:r>
                    <w:rPr>
                      <w:rFonts w:hint="eastAsia"/>
                      <w:color w:val="auto"/>
                      <w:highlight w:val="none"/>
                      <w:lang w:val="en-US" w:eastAsia="zh-CN"/>
                    </w:rPr>
                    <w:t>杯架</w:t>
                  </w:r>
                </w:p>
              </w:tc>
              <w:tc>
                <w:tcPr>
                  <w:tcW w:w="535" w:type="pct"/>
                  <w:shd w:val="clear" w:color="auto" w:fill="auto"/>
                  <w:vAlign w:val="center"/>
                </w:tcPr>
                <w:p w14:paraId="1E2AD288">
                  <w:pPr>
                    <w:pStyle w:val="20"/>
                    <w:bidi w:val="0"/>
                    <w:rPr>
                      <w:rFonts w:hint="default"/>
                      <w:color w:val="auto"/>
                      <w:highlight w:val="none"/>
                    </w:rPr>
                  </w:pPr>
                  <w:r>
                    <w:rPr>
                      <w:rFonts w:hint="default"/>
                      <w:color w:val="auto"/>
                      <w:highlight w:val="none"/>
                      <w:lang w:val="en-US" w:eastAsia="zh-CN"/>
                    </w:rPr>
                    <w:t>48</w:t>
                  </w:r>
                </w:p>
              </w:tc>
              <w:tc>
                <w:tcPr>
                  <w:tcW w:w="602" w:type="pct"/>
                  <w:shd w:val="clear" w:color="auto" w:fill="auto"/>
                  <w:vAlign w:val="center"/>
                </w:tcPr>
                <w:p w14:paraId="3D5A8071">
                  <w:pPr>
                    <w:pStyle w:val="20"/>
                    <w:bidi w:val="0"/>
                    <w:rPr>
                      <w:rFonts w:hint="default"/>
                      <w:color w:val="auto"/>
                      <w:highlight w:val="none"/>
                    </w:rPr>
                  </w:pPr>
                  <w:r>
                    <w:rPr>
                      <w:rFonts w:hint="default"/>
                      <w:color w:val="auto"/>
                      <w:highlight w:val="none"/>
                      <w:lang w:val="en-US" w:eastAsia="zh-CN"/>
                    </w:rPr>
                    <w:t>80</w:t>
                  </w:r>
                </w:p>
              </w:tc>
              <w:tc>
                <w:tcPr>
                  <w:tcW w:w="617" w:type="pct"/>
                  <w:shd w:val="clear" w:color="auto" w:fill="auto"/>
                  <w:vAlign w:val="center"/>
                </w:tcPr>
                <w:p w14:paraId="7E855AB6">
                  <w:pPr>
                    <w:pStyle w:val="20"/>
                    <w:bidi w:val="0"/>
                    <w:rPr>
                      <w:rFonts w:hint="default"/>
                      <w:color w:val="auto"/>
                      <w:highlight w:val="none"/>
                    </w:rPr>
                  </w:pPr>
                  <w:r>
                    <w:rPr>
                      <w:rFonts w:hint="default"/>
                      <w:color w:val="auto"/>
                      <w:highlight w:val="none"/>
                      <w:lang w:val="en-US" w:eastAsia="zh-CN"/>
                    </w:rPr>
                    <w:t>1185.2</w:t>
                  </w:r>
                </w:p>
              </w:tc>
              <w:tc>
                <w:tcPr>
                  <w:tcW w:w="498" w:type="pct"/>
                  <w:shd w:val="clear" w:color="auto" w:fill="auto"/>
                  <w:vAlign w:val="center"/>
                </w:tcPr>
                <w:p w14:paraId="2ABD9420">
                  <w:pPr>
                    <w:pStyle w:val="20"/>
                    <w:bidi w:val="0"/>
                    <w:rPr>
                      <w:rFonts w:hint="default"/>
                      <w:color w:val="auto"/>
                      <w:highlight w:val="none"/>
                    </w:rPr>
                  </w:pPr>
                  <w:r>
                    <w:rPr>
                      <w:rFonts w:hint="default"/>
                      <w:color w:val="auto"/>
                      <w:highlight w:val="none"/>
                      <w:lang w:val="en-US" w:eastAsia="zh-CN"/>
                    </w:rPr>
                    <w:t>1283.6</w:t>
                  </w:r>
                </w:p>
              </w:tc>
              <w:tc>
                <w:tcPr>
                  <w:tcW w:w="557" w:type="pct"/>
                  <w:shd w:val="clear" w:color="auto" w:fill="auto"/>
                  <w:vAlign w:val="center"/>
                </w:tcPr>
                <w:p w14:paraId="709607E4">
                  <w:pPr>
                    <w:pStyle w:val="20"/>
                    <w:bidi w:val="0"/>
                    <w:rPr>
                      <w:rFonts w:hint="default"/>
                      <w:color w:val="auto"/>
                      <w:highlight w:val="none"/>
                    </w:rPr>
                  </w:pPr>
                  <w:r>
                    <w:rPr>
                      <w:rFonts w:hint="default"/>
                      <w:color w:val="auto"/>
                      <w:highlight w:val="none"/>
                      <w:lang w:val="en-US" w:eastAsia="zh-CN"/>
                    </w:rPr>
                    <w:t>86.64</w:t>
                  </w:r>
                </w:p>
              </w:tc>
              <w:tc>
                <w:tcPr>
                  <w:tcW w:w="345" w:type="pct"/>
                  <w:vMerge w:val="continue"/>
                  <w:shd w:val="clear" w:color="auto" w:fill="auto"/>
                  <w:vAlign w:val="center"/>
                </w:tcPr>
                <w:p w14:paraId="39798A17">
                  <w:pPr>
                    <w:pStyle w:val="20"/>
                    <w:bidi w:val="0"/>
                    <w:rPr>
                      <w:rFonts w:hint="default"/>
                      <w:color w:val="auto"/>
                      <w:highlight w:val="none"/>
                      <w:lang w:val="en-US" w:eastAsia="zh-CN"/>
                    </w:rPr>
                  </w:pPr>
                </w:p>
              </w:tc>
            </w:tr>
            <w:tr w14:paraId="47700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837" w:type="pct"/>
                  <w:vMerge w:val="continue"/>
                  <w:shd w:val="clear" w:color="auto" w:fill="auto"/>
                  <w:vAlign w:val="center"/>
                </w:tcPr>
                <w:p w14:paraId="4F9A93E2">
                  <w:pPr>
                    <w:pStyle w:val="20"/>
                    <w:bidi w:val="0"/>
                    <w:rPr>
                      <w:rFonts w:hint="eastAsia"/>
                      <w:color w:val="auto"/>
                      <w:highlight w:val="none"/>
                      <w:lang w:val="en-US" w:eastAsia="zh-CN"/>
                    </w:rPr>
                  </w:pPr>
                </w:p>
              </w:tc>
              <w:tc>
                <w:tcPr>
                  <w:tcW w:w="386" w:type="pct"/>
                  <w:vMerge w:val="continue"/>
                  <w:shd w:val="clear" w:color="auto" w:fill="auto"/>
                  <w:vAlign w:val="center"/>
                </w:tcPr>
                <w:p w14:paraId="6A95A333">
                  <w:pPr>
                    <w:pStyle w:val="20"/>
                    <w:bidi w:val="0"/>
                    <w:rPr>
                      <w:rFonts w:hint="eastAsia"/>
                      <w:color w:val="auto"/>
                      <w:highlight w:val="none"/>
                      <w:lang w:val="en-US" w:eastAsia="zh-CN"/>
                    </w:rPr>
                  </w:pPr>
                </w:p>
              </w:tc>
              <w:tc>
                <w:tcPr>
                  <w:tcW w:w="619" w:type="pct"/>
                  <w:shd w:val="clear" w:color="auto" w:fill="auto"/>
                  <w:vAlign w:val="center"/>
                </w:tcPr>
                <w:p w14:paraId="38547470">
                  <w:pPr>
                    <w:pStyle w:val="20"/>
                    <w:bidi w:val="0"/>
                    <w:rPr>
                      <w:rFonts w:hint="eastAsia"/>
                      <w:color w:val="auto"/>
                      <w:highlight w:val="none"/>
                    </w:rPr>
                  </w:pPr>
                  <w:r>
                    <w:rPr>
                      <w:rFonts w:hint="eastAsia"/>
                      <w:color w:val="auto"/>
                      <w:highlight w:val="none"/>
                      <w:lang w:val="en-US" w:eastAsia="zh-CN"/>
                    </w:rPr>
                    <w:t>镜壳</w:t>
                  </w:r>
                </w:p>
              </w:tc>
              <w:tc>
                <w:tcPr>
                  <w:tcW w:w="535" w:type="pct"/>
                  <w:shd w:val="clear" w:color="auto" w:fill="auto"/>
                  <w:vAlign w:val="center"/>
                </w:tcPr>
                <w:p w14:paraId="070479FB">
                  <w:pPr>
                    <w:pStyle w:val="20"/>
                    <w:bidi w:val="0"/>
                    <w:rPr>
                      <w:rFonts w:hint="default"/>
                      <w:color w:val="auto"/>
                      <w:highlight w:val="none"/>
                    </w:rPr>
                  </w:pPr>
                  <w:r>
                    <w:rPr>
                      <w:rFonts w:hint="default"/>
                      <w:color w:val="auto"/>
                      <w:highlight w:val="none"/>
                      <w:lang w:val="en-US" w:eastAsia="zh-CN"/>
                    </w:rPr>
                    <w:t>65</w:t>
                  </w:r>
                </w:p>
              </w:tc>
              <w:tc>
                <w:tcPr>
                  <w:tcW w:w="602" w:type="pct"/>
                  <w:shd w:val="clear" w:color="auto" w:fill="auto"/>
                  <w:vAlign w:val="center"/>
                </w:tcPr>
                <w:p w14:paraId="6AB466F5">
                  <w:pPr>
                    <w:pStyle w:val="20"/>
                    <w:bidi w:val="0"/>
                    <w:rPr>
                      <w:rFonts w:hint="default"/>
                      <w:color w:val="auto"/>
                      <w:highlight w:val="none"/>
                    </w:rPr>
                  </w:pPr>
                  <w:r>
                    <w:rPr>
                      <w:rFonts w:hint="default"/>
                      <w:color w:val="auto"/>
                      <w:highlight w:val="none"/>
                      <w:lang w:val="en-US" w:eastAsia="zh-CN"/>
                    </w:rPr>
                    <w:t>72</w:t>
                  </w:r>
                </w:p>
              </w:tc>
              <w:tc>
                <w:tcPr>
                  <w:tcW w:w="617" w:type="pct"/>
                  <w:shd w:val="clear" w:color="auto" w:fill="auto"/>
                  <w:vAlign w:val="center"/>
                </w:tcPr>
                <w:p w14:paraId="5B3CED20">
                  <w:pPr>
                    <w:pStyle w:val="20"/>
                    <w:bidi w:val="0"/>
                    <w:rPr>
                      <w:rFonts w:hint="default"/>
                      <w:color w:val="auto"/>
                      <w:highlight w:val="none"/>
                    </w:rPr>
                  </w:pPr>
                  <w:r>
                    <w:rPr>
                      <w:rFonts w:hint="default"/>
                      <w:color w:val="auto"/>
                      <w:highlight w:val="none"/>
                      <w:lang w:val="en-US" w:eastAsia="zh-CN"/>
                    </w:rPr>
                    <w:t>1444.4</w:t>
                  </w:r>
                </w:p>
              </w:tc>
              <w:tc>
                <w:tcPr>
                  <w:tcW w:w="498" w:type="pct"/>
                  <w:shd w:val="clear" w:color="auto" w:fill="auto"/>
                  <w:vAlign w:val="center"/>
                </w:tcPr>
                <w:p w14:paraId="1DEFBAE5">
                  <w:pPr>
                    <w:pStyle w:val="20"/>
                    <w:bidi w:val="0"/>
                    <w:rPr>
                      <w:rFonts w:hint="default"/>
                      <w:color w:val="auto"/>
                      <w:highlight w:val="none"/>
                    </w:rPr>
                  </w:pPr>
                  <w:r>
                    <w:rPr>
                      <w:rFonts w:hint="default"/>
                      <w:color w:val="auto"/>
                      <w:highlight w:val="none"/>
                      <w:lang w:val="en-US" w:eastAsia="zh-CN"/>
                    </w:rPr>
                    <w:t>1564.3</w:t>
                  </w:r>
                </w:p>
              </w:tc>
              <w:tc>
                <w:tcPr>
                  <w:tcW w:w="557" w:type="pct"/>
                  <w:shd w:val="clear" w:color="auto" w:fill="auto"/>
                  <w:vAlign w:val="center"/>
                </w:tcPr>
                <w:p w14:paraId="7E8FF04B">
                  <w:pPr>
                    <w:pStyle w:val="20"/>
                    <w:bidi w:val="0"/>
                    <w:rPr>
                      <w:rFonts w:hint="default"/>
                      <w:color w:val="auto"/>
                      <w:highlight w:val="none"/>
                    </w:rPr>
                  </w:pPr>
                  <w:r>
                    <w:rPr>
                      <w:rFonts w:hint="default"/>
                      <w:color w:val="auto"/>
                      <w:highlight w:val="none"/>
                      <w:lang w:val="en-US" w:eastAsia="zh-CN"/>
                    </w:rPr>
                    <w:t>77.98</w:t>
                  </w:r>
                </w:p>
              </w:tc>
              <w:tc>
                <w:tcPr>
                  <w:tcW w:w="345" w:type="pct"/>
                  <w:vMerge w:val="continue"/>
                  <w:shd w:val="clear" w:color="auto" w:fill="auto"/>
                  <w:vAlign w:val="center"/>
                </w:tcPr>
                <w:p w14:paraId="21D75CB7">
                  <w:pPr>
                    <w:pStyle w:val="20"/>
                    <w:bidi w:val="0"/>
                    <w:rPr>
                      <w:rFonts w:hint="default"/>
                      <w:color w:val="auto"/>
                      <w:highlight w:val="none"/>
                      <w:lang w:val="en-US" w:eastAsia="zh-CN"/>
                    </w:rPr>
                  </w:pPr>
                </w:p>
              </w:tc>
            </w:tr>
            <w:tr w14:paraId="482E5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37" w:type="pct"/>
                  <w:vMerge w:val="continue"/>
                  <w:shd w:val="clear" w:color="auto" w:fill="auto"/>
                  <w:vAlign w:val="center"/>
                </w:tcPr>
                <w:p w14:paraId="26ADAED4">
                  <w:pPr>
                    <w:pStyle w:val="20"/>
                    <w:bidi w:val="0"/>
                    <w:rPr>
                      <w:rFonts w:hint="eastAsia"/>
                      <w:color w:val="auto"/>
                      <w:highlight w:val="none"/>
                      <w:lang w:val="en-US" w:eastAsia="zh-CN"/>
                    </w:rPr>
                  </w:pPr>
                </w:p>
              </w:tc>
              <w:tc>
                <w:tcPr>
                  <w:tcW w:w="386" w:type="pct"/>
                  <w:vMerge w:val="continue"/>
                  <w:shd w:val="clear" w:color="auto" w:fill="auto"/>
                  <w:vAlign w:val="center"/>
                </w:tcPr>
                <w:p w14:paraId="37E95F6C">
                  <w:pPr>
                    <w:pStyle w:val="20"/>
                    <w:bidi w:val="0"/>
                    <w:rPr>
                      <w:rFonts w:hint="eastAsia"/>
                      <w:color w:val="auto"/>
                      <w:highlight w:val="none"/>
                      <w:lang w:val="en-US" w:eastAsia="zh-CN"/>
                    </w:rPr>
                  </w:pPr>
                </w:p>
              </w:tc>
              <w:tc>
                <w:tcPr>
                  <w:tcW w:w="619" w:type="pct"/>
                  <w:shd w:val="clear" w:color="auto" w:fill="auto"/>
                  <w:vAlign w:val="center"/>
                </w:tcPr>
                <w:p w14:paraId="7239B369">
                  <w:pPr>
                    <w:pStyle w:val="20"/>
                    <w:bidi w:val="0"/>
                    <w:rPr>
                      <w:rFonts w:hint="eastAsia"/>
                      <w:color w:val="auto"/>
                      <w:highlight w:val="none"/>
                    </w:rPr>
                  </w:pPr>
                  <w:r>
                    <w:rPr>
                      <w:rFonts w:hint="eastAsia"/>
                      <w:color w:val="auto"/>
                      <w:highlight w:val="none"/>
                      <w:lang w:val="en-US" w:eastAsia="zh-CN"/>
                    </w:rPr>
                    <w:t>镜圈</w:t>
                  </w:r>
                </w:p>
              </w:tc>
              <w:tc>
                <w:tcPr>
                  <w:tcW w:w="535" w:type="pct"/>
                  <w:shd w:val="clear" w:color="auto" w:fill="auto"/>
                  <w:vAlign w:val="center"/>
                </w:tcPr>
                <w:p w14:paraId="23D8E575">
                  <w:pPr>
                    <w:pStyle w:val="20"/>
                    <w:bidi w:val="0"/>
                    <w:rPr>
                      <w:rFonts w:hint="default"/>
                      <w:color w:val="auto"/>
                      <w:highlight w:val="none"/>
                    </w:rPr>
                  </w:pPr>
                  <w:r>
                    <w:rPr>
                      <w:rFonts w:hint="default"/>
                      <w:color w:val="auto"/>
                      <w:highlight w:val="none"/>
                      <w:lang w:val="en-US" w:eastAsia="zh-CN"/>
                    </w:rPr>
                    <w:t>60</w:t>
                  </w:r>
                </w:p>
              </w:tc>
              <w:tc>
                <w:tcPr>
                  <w:tcW w:w="602" w:type="pct"/>
                  <w:shd w:val="clear" w:color="auto" w:fill="auto"/>
                  <w:vAlign w:val="center"/>
                </w:tcPr>
                <w:p w14:paraId="117375EC">
                  <w:pPr>
                    <w:pStyle w:val="20"/>
                    <w:bidi w:val="0"/>
                    <w:rPr>
                      <w:rFonts w:hint="default"/>
                      <w:color w:val="auto"/>
                      <w:highlight w:val="none"/>
                    </w:rPr>
                  </w:pPr>
                  <w:r>
                    <w:rPr>
                      <w:rFonts w:hint="default"/>
                      <w:color w:val="auto"/>
                      <w:highlight w:val="none"/>
                      <w:lang w:val="en-US" w:eastAsia="zh-CN"/>
                    </w:rPr>
                    <w:t>72</w:t>
                  </w:r>
                </w:p>
              </w:tc>
              <w:tc>
                <w:tcPr>
                  <w:tcW w:w="617" w:type="pct"/>
                  <w:shd w:val="clear" w:color="auto" w:fill="auto"/>
                  <w:vAlign w:val="center"/>
                </w:tcPr>
                <w:p w14:paraId="0DE4576B">
                  <w:pPr>
                    <w:pStyle w:val="20"/>
                    <w:bidi w:val="0"/>
                    <w:rPr>
                      <w:rFonts w:hint="default"/>
                      <w:color w:val="auto"/>
                      <w:highlight w:val="none"/>
                    </w:rPr>
                  </w:pPr>
                  <w:r>
                    <w:rPr>
                      <w:rFonts w:hint="default"/>
                      <w:color w:val="auto"/>
                      <w:highlight w:val="none"/>
                      <w:lang w:val="en-US" w:eastAsia="zh-CN"/>
                    </w:rPr>
                    <w:t>1333.3</w:t>
                  </w:r>
                </w:p>
              </w:tc>
              <w:tc>
                <w:tcPr>
                  <w:tcW w:w="498" w:type="pct"/>
                  <w:shd w:val="clear" w:color="auto" w:fill="auto"/>
                  <w:vAlign w:val="center"/>
                </w:tcPr>
                <w:p w14:paraId="67EA6A08">
                  <w:pPr>
                    <w:pStyle w:val="20"/>
                    <w:bidi w:val="0"/>
                    <w:rPr>
                      <w:rFonts w:hint="default"/>
                      <w:color w:val="auto"/>
                      <w:highlight w:val="none"/>
                    </w:rPr>
                  </w:pPr>
                  <w:r>
                    <w:rPr>
                      <w:rFonts w:hint="default"/>
                      <w:color w:val="auto"/>
                      <w:highlight w:val="none"/>
                      <w:lang w:val="en-US" w:eastAsia="zh-CN"/>
                    </w:rPr>
                    <w:t>1444.0</w:t>
                  </w:r>
                </w:p>
              </w:tc>
              <w:tc>
                <w:tcPr>
                  <w:tcW w:w="557" w:type="pct"/>
                  <w:shd w:val="clear" w:color="auto" w:fill="auto"/>
                  <w:vAlign w:val="center"/>
                </w:tcPr>
                <w:p w14:paraId="02308A70">
                  <w:pPr>
                    <w:pStyle w:val="20"/>
                    <w:bidi w:val="0"/>
                    <w:rPr>
                      <w:rFonts w:hint="default"/>
                      <w:color w:val="auto"/>
                      <w:highlight w:val="none"/>
                    </w:rPr>
                  </w:pPr>
                  <w:r>
                    <w:rPr>
                      <w:rFonts w:hint="default"/>
                      <w:color w:val="auto"/>
                      <w:highlight w:val="none"/>
                      <w:lang w:val="en-US" w:eastAsia="zh-CN"/>
                    </w:rPr>
                    <w:t>77.98</w:t>
                  </w:r>
                </w:p>
              </w:tc>
              <w:tc>
                <w:tcPr>
                  <w:tcW w:w="345" w:type="pct"/>
                  <w:vMerge w:val="continue"/>
                  <w:shd w:val="clear" w:color="auto" w:fill="auto"/>
                  <w:vAlign w:val="center"/>
                </w:tcPr>
                <w:p w14:paraId="3449FDA3">
                  <w:pPr>
                    <w:pStyle w:val="20"/>
                    <w:bidi w:val="0"/>
                    <w:rPr>
                      <w:rFonts w:hint="default"/>
                      <w:color w:val="auto"/>
                      <w:highlight w:val="none"/>
                      <w:lang w:val="en-US" w:eastAsia="zh-CN"/>
                    </w:rPr>
                  </w:pPr>
                </w:p>
              </w:tc>
            </w:tr>
            <w:tr w14:paraId="0FFA3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837" w:type="pct"/>
                  <w:vMerge w:val="continue"/>
                  <w:shd w:val="clear" w:color="auto" w:fill="auto"/>
                  <w:vAlign w:val="center"/>
                </w:tcPr>
                <w:p w14:paraId="140D6097">
                  <w:pPr>
                    <w:pStyle w:val="20"/>
                    <w:bidi w:val="0"/>
                    <w:rPr>
                      <w:rFonts w:hint="eastAsia"/>
                      <w:color w:val="auto"/>
                      <w:highlight w:val="none"/>
                      <w:lang w:val="en-US" w:eastAsia="zh-CN"/>
                    </w:rPr>
                  </w:pPr>
                </w:p>
              </w:tc>
              <w:tc>
                <w:tcPr>
                  <w:tcW w:w="386" w:type="pct"/>
                  <w:vMerge w:val="continue"/>
                  <w:shd w:val="clear" w:color="auto" w:fill="auto"/>
                  <w:vAlign w:val="center"/>
                </w:tcPr>
                <w:p w14:paraId="258D0B3C">
                  <w:pPr>
                    <w:pStyle w:val="20"/>
                    <w:bidi w:val="0"/>
                    <w:rPr>
                      <w:rFonts w:hint="eastAsia"/>
                      <w:color w:val="auto"/>
                      <w:highlight w:val="none"/>
                      <w:lang w:val="en-US" w:eastAsia="zh-CN"/>
                    </w:rPr>
                  </w:pPr>
                </w:p>
              </w:tc>
              <w:tc>
                <w:tcPr>
                  <w:tcW w:w="619" w:type="pct"/>
                  <w:shd w:val="clear" w:color="auto" w:fill="auto"/>
                  <w:vAlign w:val="center"/>
                </w:tcPr>
                <w:p w14:paraId="6F871D59">
                  <w:pPr>
                    <w:pStyle w:val="20"/>
                    <w:bidi w:val="0"/>
                    <w:rPr>
                      <w:rFonts w:hint="eastAsia"/>
                      <w:color w:val="auto"/>
                      <w:highlight w:val="none"/>
                    </w:rPr>
                  </w:pPr>
                  <w:r>
                    <w:rPr>
                      <w:rFonts w:hint="eastAsia"/>
                      <w:color w:val="auto"/>
                      <w:highlight w:val="none"/>
                      <w:lang w:val="en-US" w:eastAsia="zh-CN"/>
                    </w:rPr>
                    <w:t>其他</w:t>
                  </w:r>
                </w:p>
              </w:tc>
              <w:tc>
                <w:tcPr>
                  <w:tcW w:w="535" w:type="pct"/>
                  <w:shd w:val="clear" w:color="auto" w:fill="auto"/>
                  <w:vAlign w:val="center"/>
                </w:tcPr>
                <w:p w14:paraId="62AC67F1">
                  <w:pPr>
                    <w:pStyle w:val="20"/>
                    <w:bidi w:val="0"/>
                    <w:rPr>
                      <w:rFonts w:hint="default"/>
                      <w:color w:val="auto"/>
                      <w:highlight w:val="none"/>
                    </w:rPr>
                  </w:pPr>
                  <w:r>
                    <w:rPr>
                      <w:rFonts w:hint="default"/>
                      <w:color w:val="auto"/>
                      <w:highlight w:val="none"/>
                      <w:lang w:val="en-US" w:eastAsia="zh-CN"/>
                    </w:rPr>
                    <w:t>55</w:t>
                  </w:r>
                </w:p>
              </w:tc>
              <w:tc>
                <w:tcPr>
                  <w:tcW w:w="602" w:type="pct"/>
                  <w:shd w:val="clear" w:color="auto" w:fill="auto"/>
                  <w:vAlign w:val="center"/>
                </w:tcPr>
                <w:p w14:paraId="5211E940">
                  <w:pPr>
                    <w:pStyle w:val="20"/>
                    <w:bidi w:val="0"/>
                    <w:rPr>
                      <w:rFonts w:hint="default"/>
                      <w:color w:val="auto"/>
                      <w:highlight w:val="none"/>
                    </w:rPr>
                  </w:pPr>
                  <w:r>
                    <w:rPr>
                      <w:rFonts w:hint="default"/>
                      <w:color w:val="auto"/>
                      <w:highlight w:val="none"/>
                      <w:lang w:val="en-US" w:eastAsia="zh-CN"/>
                    </w:rPr>
                    <w:t>60</w:t>
                  </w:r>
                </w:p>
              </w:tc>
              <w:tc>
                <w:tcPr>
                  <w:tcW w:w="617" w:type="pct"/>
                  <w:shd w:val="clear" w:color="auto" w:fill="auto"/>
                  <w:vAlign w:val="center"/>
                </w:tcPr>
                <w:p w14:paraId="46425540">
                  <w:pPr>
                    <w:pStyle w:val="20"/>
                    <w:bidi w:val="0"/>
                    <w:rPr>
                      <w:rFonts w:hint="default"/>
                      <w:color w:val="auto"/>
                      <w:highlight w:val="none"/>
                    </w:rPr>
                  </w:pPr>
                  <w:r>
                    <w:rPr>
                      <w:rFonts w:hint="default"/>
                      <w:color w:val="auto"/>
                      <w:highlight w:val="none"/>
                      <w:lang w:val="en-US" w:eastAsia="zh-CN"/>
                    </w:rPr>
                    <w:t>1018.5</w:t>
                  </w:r>
                </w:p>
              </w:tc>
              <w:tc>
                <w:tcPr>
                  <w:tcW w:w="498" w:type="pct"/>
                  <w:shd w:val="clear" w:color="auto" w:fill="auto"/>
                  <w:vAlign w:val="center"/>
                </w:tcPr>
                <w:p w14:paraId="6D79A0B0">
                  <w:pPr>
                    <w:pStyle w:val="20"/>
                    <w:bidi w:val="0"/>
                    <w:rPr>
                      <w:rFonts w:hint="default"/>
                      <w:color w:val="auto"/>
                      <w:highlight w:val="none"/>
                    </w:rPr>
                  </w:pPr>
                  <w:r>
                    <w:rPr>
                      <w:rFonts w:hint="default"/>
                      <w:color w:val="auto"/>
                      <w:highlight w:val="none"/>
                      <w:lang w:val="en-US" w:eastAsia="zh-CN"/>
                    </w:rPr>
                    <w:t>1103.1</w:t>
                  </w:r>
                </w:p>
              </w:tc>
              <w:tc>
                <w:tcPr>
                  <w:tcW w:w="557" w:type="pct"/>
                  <w:shd w:val="clear" w:color="auto" w:fill="auto"/>
                  <w:vAlign w:val="center"/>
                </w:tcPr>
                <w:p w14:paraId="6F573E04">
                  <w:pPr>
                    <w:pStyle w:val="20"/>
                    <w:bidi w:val="0"/>
                    <w:rPr>
                      <w:rFonts w:hint="default"/>
                      <w:color w:val="auto"/>
                      <w:highlight w:val="none"/>
                    </w:rPr>
                  </w:pPr>
                  <w:r>
                    <w:rPr>
                      <w:rFonts w:hint="default"/>
                      <w:color w:val="auto"/>
                      <w:highlight w:val="none"/>
                      <w:lang w:val="en-US" w:eastAsia="zh-CN"/>
                    </w:rPr>
                    <w:t>64.98</w:t>
                  </w:r>
                </w:p>
              </w:tc>
              <w:tc>
                <w:tcPr>
                  <w:tcW w:w="345" w:type="pct"/>
                  <w:vMerge w:val="continue"/>
                  <w:shd w:val="clear" w:color="auto" w:fill="auto"/>
                  <w:vAlign w:val="center"/>
                </w:tcPr>
                <w:p w14:paraId="402DFEA5">
                  <w:pPr>
                    <w:pStyle w:val="20"/>
                    <w:bidi w:val="0"/>
                    <w:rPr>
                      <w:rFonts w:hint="default"/>
                      <w:color w:val="auto"/>
                      <w:highlight w:val="none"/>
                      <w:lang w:val="en-US" w:eastAsia="zh-CN"/>
                    </w:rPr>
                  </w:pPr>
                </w:p>
              </w:tc>
            </w:tr>
            <w:tr w14:paraId="617B2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837" w:type="pct"/>
                  <w:shd w:val="clear" w:color="auto" w:fill="auto"/>
                  <w:vAlign w:val="center"/>
                </w:tcPr>
                <w:p w14:paraId="604F8B4A">
                  <w:pPr>
                    <w:pStyle w:val="20"/>
                    <w:bidi w:val="0"/>
                    <w:rPr>
                      <w:rFonts w:hint="eastAsia"/>
                      <w:color w:val="auto"/>
                      <w:highlight w:val="none"/>
                      <w:lang w:val="en-US" w:eastAsia="zh-CN"/>
                    </w:rPr>
                  </w:pPr>
                  <w:r>
                    <w:rPr>
                      <w:rFonts w:hint="eastAsia"/>
                      <w:color w:val="auto"/>
                      <w:highlight w:val="none"/>
                      <w:lang w:val="en-US" w:eastAsia="zh-CN"/>
                    </w:rPr>
                    <w:t>合计</w:t>
                  </w:r>
                </w:p>
              </w:tc>
              <w:tc>
                <w:tcPr>
                  <w:tcW w:w="386" w:type="pct"/>
                  <w:shd w:val="clear" w:color="auto" w:fill="auto"/>
                  <w:vAlign w:val="center"/>
                </w:tcPr>
                <w:p w14:paraId="2CDE2AA0">
                  <w:pPr>
                    <w:pStyle w:val="20"/>
                    <w:bidi w:val="0"/>
                    <w:rPr>
                      <w:rFonts w:hint="default"/>
                      <w:color w:val="auto"/>
                      <w:highlight w:val="none"/>
                      <w:lang w:val="en-US" w:eastAsia="zh-CN"/>
                    </w:rPr>
                  </w:pPr>
                  <w:r>
                    <w:rPr>
                      <w:rFonts w:hint="eastAsia"/>
                      <w:color w:val="auto"/>
                      <w:highlight w:val="none"/>
                      <w:lang w:val="en-US" w:eastAsia="zh-CN"/>
                    </w:rPr>
                    <w:t>9</w:t>
                  </w:r>
                </w:p>
              </w:tc>
              <w:tc>
                <w:tcPr>
                  <w:tcW w:w="619" w:type="pct"/>
                  <w:shd w:val="clear" w:color="auto" w:fill="auto"/>
                  <w:vAlign w:val="center"/>
                </w:tcPr>
                <w:p w14:paraId="29B2A529">
                  <w:pPr>
                    <w:pStyle w:val="20"/>
                    <w:bidi w:val="0"/>
                    <w:rPr>
                      <w:rFonts w:hint="eastAsia"/>
                      <w:color w:val="auto"/>
                      <w:highlight w:val="none"/>
                      <w:lang w:val="en-US" w:eastAsia="zh-CN"/>
                    </w:rPr>
                  </w:pPr>
                  <w:r>
                    <w:rPr>
                      <w:rFonts w:hint="eastAsia"/>
                      <w:color w:val="auto"/>
                      <w:highlight w:val="none"/>
                      <w:lang w:val="en-US" w:eastAsia="zh-CN"/>
                    </w:rPr>
                    <w:t>/</w:t>
                  </w:r>
                </w:p>
              </w:tc>
              <w:tc>
                <w:tcPr>
                  <w:tcW w:w="535" w:type="pct"/>
                  <w:shd w:val="clear" w:color="auto" w:fill="auto"/>
                  <w:vAlign w:val="center"/>
                </w:tcPr>
                <w:p w14:paraId="318E80CE">
                  <w:pPr>
                    <w:pStyle w:val="20"/>
                    <w:bidi w:val="0"/>
                    <w:rPr>
                      <w:rFonts w:hint="default"/>
                      <w:color w:val="auto"/>
                      <w:highlight w:val="none"/>
                    </w:rPr>
                  </w:pPr>
                  <w:r>
                    <w:rPr>
                      <w:rFonts w:hint="default"/>
                      <w:color w:val="auto"/>
                      <w:highlight w:val="none"/>
                      <w:lang w:val="en-US" w:eastAsia="zh-CN"/>
                    </w:rPr>
                    <w:t>/</w:t>
                  </w:r>
                </w:p>
              </w:tc>
              <w:tc>
                <w:tcPr>
                  <w:tcW w:w="602" w:type="pct"/>
                  <w:shd w:val="clear" w:color="auto" w:fill="auto"/>
                  <w:vAlign w:val="center"/>
                </w:tcPr>
                <w:p w14:paraId="44E2290D">
                  <w:pPr>
                    <w:pStyle w:val="20"/>
                    <w:bidi w:val="0"/>
                    <w:rPr>
                      <w:rFonts w:hint="default"/>
                      <w:color w:val="auto"/>
                      <w:highlight w:val="none"/>
                    </w:rPr>
                  </w:pPr>
                  <w:r>
                    <w:rPr>
                      <w:rFonts w:hint="default"/>
                      <w:color w:val="auto"/>
                      <w:highlight w:val="none"/>
                      <w:lang w:val="en-US" w:eastAsia="zh-CN"/>
                    </w:rPr>
                    <w:t>428.0</w:t>
                  </w:r>
                </w:p>
              </w:tc>
              <w:tc>
                <w:tcPr>
                  <w:tcW w:w="617" w:type="pct"/>
                  <w:shd w:val="clear" w:color="auto" w:fill="auto"/>
                  <w:vAlign w:val="center"/>
                </w:tcPr>
                <w:p w14:paraId="71225DDB">
                  <w:pPr>
                    <w:pStyle w:val="20"/>
                    <w:bidi w:val="0"/>
                    <w:rPr>
                      <w:rFonts w:hint="default"/>
                      <w:color w:val="auto"/>
                      <w:highlight w:val="none"/>
                    </w:rPr>
                  </w:pPr>
                  <w:r>
                    <w:rPr>
                      <w:rFonts w:hint="default"/>
                      <w:color w:val="auto"/>
                      <w:highlight w:val="none"/>
                      <w:lang w:val="en-US" w:eastAsia="zh-CN"/>
                    </w:rPr>
                    <w:t>6648.1</w:t>
                  </w:r>
                </w:p>
              </w:tc>
              <w:tc>
                <w:tcPr>
                  <w:tcW w:w="498" w:type="pct"/>
                  <w:shd w:val="clear" w:color="auto" w:fill="auto"/>
                  <w:vAlign w:val="center"/>
                </w:tcPr>
                <w:p w14:paraId="37591832">
                  <w:pPr>
                    <w:pStyle w:val="20"/>
                    <w:bidi w:val="0"/>
                    <w:rPr>
                      <w:rFonts w:hint="default"/>
                      <w:color w:val="auto"/>
                      <w:highlight w:val="none"/>
                    </w:rPr>
                  </w:pPr>
                  <w:r>
                    <w:rPr>
                      <w:rFonts w:hint="default"/>
                      <w:color w:val="auto"/>
                      <w:highlight w:val="none"/>
                      <w:lang w:val="en-US" w:eastAsia="zh-CN"/>
                    </w:rPr>
                    <w:t>7200</w:t>
                  </w:r>
                </w:p>
              </w:tc>
              <w:tc>
                <w:tcPr>
                  <w:tcW w:w="557" w:type="pct"/>
                  <w:shd w:val="clear" w:color="auto" w:fill="auto"/>
                  <w:vAlign w:val="center"/>
                </w:tcPr>
                <w:p w14:paraId="5481FB2B">
                  <w:pPr>
                    <w:pStyle w:val="20"/>
                    <w:bidi w:val="0"/>
                    <w:rPr>
                      <w:rFonts w:hint="default"/>
                      <w:color w:val="auto"/>
                      <w:highlight w:val="none"/>
                    </w:rPr>
                  </w:pPr>
                  <w:r>
                    <w:rPr>
                      <w:rFonts w:hint="default"/>
                      <w:color w:val="auto"/>
                      <w:highlight w:val="none"/>
                      <w:lang w:val="en-US" w:eastAsia="zh-CN"/>
                    </w:rPr>
                    <w:t>463.53</w:t>
                  </w:r>
                </w:p>
              </w:tc>
              <w:tc>
                <w:tcPr>
                  <w:tcW w:w="345" w:type="pct"/>
                  <w:vMerge w:val="continue"/>
                  <w:shd w:val="clear" w:color="auto" w:fill="auto"/>
                  <w:vAlign w:val="center"/>
                </w:tcPr>
                <w:p w14:paraId="35D8974F">
                  <w:pPr>
                    <w:pStyle w:val="20"/>
                    <w:bidi w:val="0"/>
                    <w:rPr>
                      <w:rFonts w:hint="default"/>
                      <w:color w:val="auto"/>
                      <w:highlight w:val="none"/>
                      <w:lang w:val="en-US" w:eastAsia="zh-CN"/>
                    </w:rPr>
                  </w:pPr>
                </w:p>
              </w:tc>
            </w:tr>
            <w:tr w14:paraId="33C45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510" w:hRule="atLeast"/>
                <w:jc w:val="center"/>
              </w:trPr>
              <w:tc>
                <w:tcPr>
                  <w:tcW w:w="837" w:type="pct"/>
                  <w:vMerge w:val="restart"/>
                  <w:shd w:val="clear" w:color="auto" w:fill="auto"/>
                  <w:noWrap/>
                  <w:vAlign w:val="center"/>
                </w:tcPr>
                <w:p w14:paraId="3CD1013A">
                  <w:pPr>
                    <w:pStyle w:val="20"/>
                    <w:bidi w:val="0"/>
                    <w:rPr>
                      <w:rFonts w:hint="default"/>
                      <w:color w:val="auto"/>
                      <w:highlight w:val="none"/>
                      <w:lang w:val="en-US" w:eastAsia="zh-CN"/>
                    </w:rPr>
                  </w:pPr>
                  <w:r>
                    <w:rPr>
                      <w:rFonts w:hint="default"/>
                      <w:color w:val="auto"/>
                      <w:highlight w:val="none"/>
                      <w:lang w:val="en-US" w:eastAsia="zh-CN"/>
                    </w:rPr>
                    <w:t>UN-350</w:t>
                  </w:r>
                </w:p>
                <w:p w14:paraId="6EDAED42">
                  <w:pPr>
                    <w:pStyle w:val="20"/>
                    <w:bidi w:val="0"/>
                    <w:rPr>
                      <w:rFonts w:hint="eastAsia"/>
                      <w:color w:val="auto"/>
                      <w:highlight w:val="none"/>
                      <w:lang w:val="en-US" w:eastAsia="zh-CN"/>
                    </w:rPr>
                  </w:pPr>
                  <w:r>
                    <w:rPr>
                      <w:rFonts w:hint="default"/>
                      <w:color w:val="auto"/>
                      <w:highlight w:val="none"/>
                      <w:lang w:val="en-US" w:eastAsia="zh-CN"/>
                    </w:rPr>
                    <w:t>560T</w:t>
                  </w:r>
                </w:p>
                <w:p w14:paraId="0F595427">
                  <w:pPr>
                    <w:pStyle w:val="20"/>
                    <w:bidi w:val="0"/>
                    <w:rPr>
                      <w:rFonts w:hint="eastAsia"/>
                      <w:color w:val="auto"/>
                      <w:highlight w:val="none"/>
                      <w:lang w:val="en-US" w:eastAsia="zh-CN"/>
                    </w:rPr>
                  </w:pPr>
                  <w:r>
                    <w:rPr>
                      <w:rFonts w:hint="default"/>
                      <w:color w:val="auto"/>
                      <w:highlight w:val="none"/>
                      <w:lang w:val="en-US" w:eastAsia="zh-CN"/>
                    </w:rPr>
                    <w:t>SS530G</w:t>
                  </w:r>
                </w:p>
                <w:p w14:paraId="4F5C6B40">
                  <w:pPr>
                    <w:pStyle w:val="20"/>
                    <w:bidi w:val="0"/>
                    <w:rPr>
                      <w:rFonts w:hint="eastAsia"/>
                      <w:color w:val="auto"/>
                      <w:highlight w:val="none"/>
                      <w:lang w:val="en-US" w:eastAsia="zh-CN"/>
                    </w:rPr>
                  </w:pPr>
                  <w:r>
                    <w:rPr>
                      <w:rFonts w:hint="default"/>
                      <w:color w:val="auto"/>
                      <w:highlight w:val="none"/>
                      <w:lang w:val="en-US" w:eastAsia="zh-CN"/>
                    </w:rPr>
                    <w:t>UN-500</w:t>
                  </w:r>
                </w:p>
                <w:p w14:paraId="0B4EC049">
                  <w:pPr>
                    <w:pStyle w:val="20"/>
                    <w:bidi w:val="0"/>
                    <w:rPr>
                      <w:rFonts w:hint="eastAsia"/>
                      <w:color w:val="auto"/>
                      <w:highlight w:val="none"/>
                      <w:lang w:val="en-US" w:eastAsia="zh-CN"/>
                    </w:rPr>
                  </w:pPr>
                  <w:r>
                    <w:rPr>
                      <w:rFonts w:hint="default"/>
                      <w:color w:val="auto"/>
                      <w:highlight w:val="none"/>
                      <w:lang w:val="en-US" w:eastAsia="zh-CN"/>
                    </w:rPr>
                    <w:t>EM560-SVP/2</w:t>
                  </w:r>
                </w:p>
                <w:p w14:paraId="191F6DC7">
                  <w:pPr>
                    <w:pStyle w:val="20"/>
                    <w:bidi w:val="0"/>
                    <w:rPr>
                      <w:rFonts w:hint="default"/>
                      <w:color w:val="auto"/>
                      <w:highlight w:val="none"/>
                      <w:lang w:val="en-US" w:eastAsia="zh-CN"/>
                    </w:rPr>
                  </w:pPr>
                  <w:r>
                    <w:rPr>
                      <w:rFonts w:hint="default"/>
                      <w:color w:val="auto"/>
                      <w:highlight w:val="none"/>
                      <w:lang w:val="en-US" w:eastAsia="zh-CN"/>
                    </w:rPr>
                    <w:t>UN-650</w:t>
                  </w:r>
                </w:p>
              </w:tc>
              <w:tc>
                <w:tcPr>
                  <w:tcW w:w="386" w:type="pct"/>
                  <w:vMerge w:val="restart"/>
                  <w:shd w:val="clear" w:color="auto" w:fill="auto"/>
                  <w:noWrap/>
                  <w:vAlign w:val="center"/>
                </w:tcPr>
                <w:p w14:paraId="41AEB3A7">
                  <w:pPr>
                    <w:pStyle w:val="20"/>
                    <w:bidi w:val="0"/>
                    <w:rPr>
                      <w:rFonts w:hint="eastAsia"/>
                      <w:color w:val="auto"/>
                      <w:highlight w:val="none"/>
                      <w:lang w:val="en-US" w:eastAsia="zh-CN"/>
                    </w:rPr>
                  </w:pPr>
                  <w:r>
                    <w:rPr>
                      <w:rFonts w:hint="eastAsia"/>
                      <w:color w:val="auto"/>
                      <w:highlight w:val="none"/>
                      <w:lang w:val="en-US" w:eastAsia="zh-CN"/>
                    </w:rPr>
                    <w:t>1</w:t>
                  </w:r>
                </w:p>
                <w:p w14:paraId="348A59BD">
                  <w:pPr>
                    <w:pStyle w:val="20"/>
                    <w:bidi w:val="0"/>
                    <w:rPr>
                      <w:rFonts w:hint="eastAsia"/>
                      <w:color w:val="auto"/>
                      <w:highlight w:val="none"/>
                      <w:lang w:val="en-US" w:eastAsia="zh-CN"/>
                    </w:rPr>
                  </w:pPr>
                  <w:r>
                    <w:rPr>
                      <w:rFonts w:hint="eastAsia"/>
                      <w:color w:val="auto"/>
                      <w:highlight w:val="none"/>
                      <w:lang w:val="en-US" w:eastAsia="zh-CN"/>
                    </w:rPr>
                    <w:t>1</w:t>
                  </w:r>
                </w:p>
                <w:p w14:paraId="7F1ECC8F">
                  <w:pPr>
                    <w:pStyle w:val="20"/>
                    <w:bidi w:val="0"/>
                    <w:rPr>
                      <w:rFonts w:hint="eastAsia"/>
                      <w:color w:val="auto"/>
                      <w:highlight w:val="none"/>
                      <w:lang w:val="en-US" w:eastAsia="zh-CN"/>
                    </w:rPr>
                  </w:pPr>
                  <w:r>
                    <w:rPr>
                      <w:rFonts w:hint="default"/>
                      <w:color w:val="auto"/>
                      <w:highlight w:val="none"/>
                      <w:lang w:val="en-US" w:eastAsia="zh-CN"/>
                    </w:rPr>
                    <w:t>1</w:t>
                  </w:r>
                </w:p>
                <w:p w14:paraId="384793C8">
                  <w:pPr>
                    <w:pStyle w:val="20"/>
                    <w:bidi w:val="0"/>
                    <w:rPr>
                      <w:rFonts w:hint="eastAsia"/>
                      <w:color w:val="auto"/>
                      <w:highlight w:val="none"/>
                      <w:lang w:val="en-US" w:eastAsia="zh-CN"/>
                    </w:rPr>
                  </w:pPr>
                  <w:r>
                    <w:rPr>
                      <w:rFonts w:hint="default"/>
                      <w:color w:val="auto"/>
                      <w:highlight w:val="none"/>
                      <w:lang w:val="en-US" w:eastAsia="zh-CN"/>
                    </w:rPr>
                    <w:t>1</w:t>
                  </w:r>
                </w:p>
                <w:p w14:paraId="3CCF8EFC">
                  <w:pPr>
                    <w:pStyle w:val="20"/>
                    <w:bidi w:val="0"/>
                    <w:rPr>
                      <w:rFonts w:hint="eastAsia"/>
                      <w:color w:val="auto"/>
                      <w:highlight w:val="none"/>
                      <w:lang w:val="en-US" w:eastAsia="zh-CN"/>
                    </w:rPr>
                  </w:pPr>
                  <w:r>
                    <w:rPr>
                      <w:rFonts w:hint="default"/>
                      <w:color w:val="auto"/>
                      <w:highlight w:val="none"/>
                      <w:lang w:val="en-US" w:eastAsia="zh-CN"/>
                    </w:rPr>
                    <w:t>1</w:t>
                  </w:r>
                </w:p>
                <w:p w14:paraId="65A4FA71">
                  <w:pPr>
                    <w:pStyle w:val="20"/>
                    <w:bidi w:val="0"/>
                    <w:rPr>
                      <w:rFonts w:hint="default"/>
                      <w:color w:val="auto"/>
                      <w:highlight w:val="none"/>
                      <w:lang w:val="en-US" w:eastAsia="zh-CN"/>
                    </w:rPr>
                  </w:pPr>
                  <w:r>
                    <w:rPr>
                      <w:rFonts w:hint="default"/>
                      <w:color w:val="auto"/>
                      <w:highlight w:val="none"/>
                      <w:lang w:val="en-US" w:eastAsia="zh-CN"/>
                    </w:rPr>
                    <w:t>1</w:t>
                  </w:r>
                </w:p>
              </w:tc>
              <w:tc>
                <w:tcPr>
                  <w:tcW w:w="619" w:type="pct"/>
                  <w:shd w:val="clear" w:color="auto" w:fill="auto"/>
                  <w:noWrap/>
                  <w:vAlign w:val="center"/>
                </w:tcPr>
                <w:p w14:paraId="5EB13432">
                  <w:pPr>
                    <w:pStyle w:val="20"/>
                    <w:bidi w:val="0"/>
                    <w:rPr>
                      <w:rFonts w:hint="eastAsia"/>
                      <w:color w:val="auto"/>
                      <w:highlight w:val="none"/>
                    </w:rPr>
                  </w:pPr>
                  <w:r>
                    <w:rPr>
                      <w:rFonts w:hint="eastAsia"/>
                      <w:color w:val="auto"/>
                      <w:highlight w:val="none"/>
                      <w:lang w:val="en-US" w:eastAsia="zh-CN"/>
                    </w:rPr>
                    <w:t>电折基板</w:t>
                  </w:r>
                </w:p>
              </w:tc>
              <w:tc>
                <w:tcPr>
                  <w:tcW w:w="535" w:type="pct"/>
                  <w:shd w:val="clear" w:color="auto" w:fill="auto"/>
                  <w:noWrap/>
                  <w:vAlign w:val="center"/>
                </w:tcPr>
                <w:p w14:paraId="41878F40">
                  <w:pPr>
                    <w:pStyle w:val="20"/>
                    <w:bidi w:val="0"/>
                    <w:rPr>
                      <w:rFonts w:hint="eastAsia"/>
                      <w:color w:val="auto"/>
                      <w:highlight w:val="none"/>
                    </w:rPr>
                  </w:pPr>
                  <w:r>
                    <w:rPr>
                      <w:rFonts w:hint="eastAsia"/>
                      <w:color w:val="auto"/>
                      <w:highlight w:val="none"/>
                      <w:lang w:val="en-US" w:eastAsia="zh-CN"/>
                    </w:rPr>
                    <w:t>90</w:t>
                  </w:r>
                </w:p>
              </w:tc>
              <w:tc>
                <w:tcPr>
                  <w:tcW w:w="602" w:type="pct"/>
                  <w:shd w:val="clear" w:color="auto" w:fill="auto"/>
                  <w:vAlign w:val="center"/>
                </w:tcPr>
                <w:p w14:paraId="4CE150B2">
                  <w:pPr>
                    <w:pStyle w:val="20"/>
                    <w:bidi w:val="0"/>
                    <w:rPr>
                      <w:rFonts w:hint="default"/>
                      <w:color w:val="auto"/>
                      <w:highlight w:val="none"/>
                    </w:rPr>
                  </w:pPr>
                  <w:r>
                    <w:rPr>
                      <w:rFonts w:hint="default"/>
                      <w:color w:val="auto"/>
                      <w:highlight w:val="none"/>
                      <w:lang w:val="en-US" w:eastAsia="zh-CN"/>
                    </w:rPr>
                    <w:t>72</w:t>
                  </w:r>
                </w:p>
              </w:tc>
              <w:tc>
                <w:tcPr>
                  <w:tcW w:w="617" w:type="pct"/>
                  <w:shd w:val="clear" w:color="auto" w:fill="auto"/>
                  <w:vAlign w:val="center"/>
                </w:tcPr>
                <w:p w14:paraId="23921C1D">
                  <w:pPr>
                    <w:pStyle w:val="20"/>
                    <w:bidi w:val="0"/>
                    <w:rPr>
                      <w:rFonts w:hint="default"/>
                      <w:color w:val="auto"/>
                      <w:highlight w:val="none"/>
                    </w:rPr>
                  </w:pPr>
                  <w:r>
                    <w:rPr>
                      <w:rFonts w:hint="default"/>
                      <w:color w:val="auto"/>
                      <w:highlight w:val="none"/>
                      <w:lang w:val="en-US" w:eastAsia="zh-CN"/>
                    </w:rPr>
                    <w:t>3000.0</w:t>
                  </w:r>
                </w:p>
              </w:tc>
              <w:tc>
                <w:tcPr>
                  <w:tcW w:w="498" w:type="pct"/>
                  <w:shd w:val="clear" w:color="auto" w:fill="auto"/>
                  <w:vAlign w:val="center"/>
                </w:tcPr>
                <w:p w14:paraId="67FB0F44">
                  <w:pPr>
                    <w:pStyle w:val="20"/>
                    <w:bidi w:val="0"/>
                    <w:rPr>
                      <w:rFonts w:hint="default"/>
                      <w:color w:val="auto"/>
                      <w:highlight w:val="none"/>
                    </w:rPr>
                  </w:pPr>
                  <w:r>
                    <w:rPr>
                      <w:rFonts w:hint="default"/>
                      <w:color w:val="auto"/>
                      <w:highlight w:val="none"/>
                      <w:lang w:val="en-US" w:eastAsia="zh-CN"/>
                    </w:rPr>
                    <w:t>3135.5</w:t>
                  </w:r>
                </w:p>
              </w:tc>
              <w:tc>
                <w:tcPr>
                  <w:tcW w:w="557" w:type="pct"/>
                  <w:shd w:val="clear" w:color="auto" w:fill="auto"/>
                  <w:vAlign w:val="center"/>
                </w:tcPr>
                <w:p w14:paraId="2EAD1D07">
                  <w:pPr>
                    <w:pStyle w:val="20"/>
                    <w:bidi w:val="0"/>
                    <w:rPr>
                      <w:rFonts w:hint="default"/>
                      <w:color w:val="auto"/>
                      <w:highlight w:val="none"/>
                    </w:rPr>
                  </w:pPr>
                  <w:r>
                    <w:rPr>
                      <w:rFonts w:hint="default"/>
                      <w:color w:val="auto"/>
                      <w:highlight w:val="none"/>
                      <w:lang w:val="en-US" w:eastAsia="zh-CN"/>
                    </w:rPr>
                    <w:t>75.25</w:t>
                  </w:r>
                </w:p>
              </w:tc>
              <w:tc>
                <w:tcPr>
                  <w:tcW w:w="345" w:type="pct"/>
                  <w:vMerge w:val="restart"/>
                  <w:shd w:val="clear" w:color="auto" w:fill="auto"/>
                  <w:vAlign w:val="center"/>
                </w:tcPr>
                <w:p w14:paraId="0644D8FE">
                  <w:pPr>
                    <w:pStyle w:val="20"/>
                    <w:bidi w:val="0"/>
                    <w:rPr>
                      <w:rFonts w:hint="default"/>
                      <w:color w:val="auto"/>
                      <w:highlight w:val="none"/>
                      <w:lang w:val="en-US" w:eastAsia="zh-CN"/>
                    </w:rPr>
                  </w:pPr>
                  <w:r>
                    <w:rPr>
                      <w:rFonts w:hint="eastAsia"/>
                      <w:color w:val="auto"/>
                      <w:highlight w:val="none"/>
                      <w:lang w:val="en-US" w:eastAsia="zh-CN"/>
                    </w:rPr>
                    <w:t>匹配</w:t>
                  </w:r>
                </w:p>
              </w:tc>
            </w:tr>
            <w:tr w14:paraId="3AF40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510" w:hRule="atLeast"/>
                <w:jc w:val="center"/>
              </w:trPr>
              <w:tc>
                <w:tcPr>
                  <w:tcW w:w="837" w:type="pct"/>
                  <w:vMerge w:val="continue"/>
                  <w:shd w:val="clear" w:color="auto" w:fill="auto"/>
                  <w:vAlign w:val="center"/>
                </w:tcPr>
                <w:p w14:paraId="714FB2C0">
                  <w:pPr>
                    <w:pStyle w:val="20"/>
                    <w:bidi w:val="0"/>
                    <w:rPr>
                      <w:rFonts w:hint="eastAsia"/>
                      <w:color w:val="auto"/>
                      <w:highlight w:val="none"/>
                      <w:lang w:val="en-US" w:eastAsia="zh-CN"/>
                    </w:rPr>
                  </w:pPr>
                </w:p>
              </w:tc>
              <w:tc>
                <w:tcPr>
                  <w:tcW w:w="386" w:type="pct"/>
                  <w:vMerge w:val="continue"/>
                  <w:shd w:val="clear" w:color="auto" w:fill="auto"/>
                  <w:vAlign w:val="center"/>
                </w:tcPr>
                <w:p w14:paraId="62FF3A52">
                  <w:pPr>
                    <w:pStyle w:val="20"/>
                    <w:bidi w:val="0"/>
                    <w:rPr>
                      <w:rFonts w:hint="eastAsia"/>
                      <w:color w:val="auto"/>
                      <w:highlight w:val="none"/>
                      <w:lang w:val="en-US" w:eastAsia="zh-CN"/>
                    </w:rPr>
                  </w:pPr>
                </w:p>
              </w:tc>
              <w:tc>
                <w:tcPr>
                  <w:tcW w:w="619" w:type="pct"/>
                  <w:shd w:val="clear" w:color="auto" w:fill="auto"/>
                  <w:vAlign w:val="center"/>
                </w:tcPr>
                <w:p w14:paraId="2258DEDA">
                  <w:pPr>
                    <w:pStyle w:val="20"/>
                    <w:bidi w:val="0"/>
                    <w:rPr>
                      <w:rFonts w:hint="eastAsia"/>
                      <w:color w:val="auto"/>
                      <w:highlight w:val="none"/>
                    </w:rPr>
                  </w:pPr>
                  <w:r>
                    <w:rPr>
                      <w:rFonts w:hint="eastAsia"/>
                      <w:color w:val="auto"/>
                      <w:highlight w:val="none"/>
                      <w:lang w:val="en-US" w:eastAsia="zh-CN"/>
                    </w:rPr>
                    <w:t>扶手骨架</w:t>
                  </w:r>
                </w:p>
              </w:tc>
              <w:tc>
                <w:tcPr>
                  <w:tcW w:w="535" w:type="pct"/>
                  <w:shd w:val="clear" w:color="auto" w:fill="auto"/>
                  <w:noWrap/>
                  <w:vAlign w:val="center"/>
                </w:tcPr>
                <w:p w14:paraId="25CE172C">
                  <w:pPr>
                    <w:pStyle w:val="20"/>
                    <w:bidi w:val="0"/>
                    <w:rPr>
                      <w:rFonts w:hint="eastAsia"/>
                      <w:color w:val="auto"/>
                      <w:highlight w:val="none"/>
                    </w:rPr>
                  </w:pPr>
                  <w:r>
                    <w:rPr>
                      <w:rFonts w:hint="eastAsia"/>
                      <w:color w:val="auto"/>
                      <w:highlight w:val="none"/>
                      <w:lang w:val="en-US" w:eastAsia="zh-CN"/>
                    </w:rPr>
                    <w:t>80</w:t>
                  </w:r>
                </w:p>
              </w:tc>
              <w:tc>
                <w:tcPr>
                  <w:tcW w:w="602" w:type="pct"/>
                  <w:shd w:val="clear" w:color="auto" w:fill="auto"/>
                  <w:noWrap/>
                  <w:vAlign w:val="center"/>
                </w:tcPr>
                <w:p w14:paraId="2EB77CAA">
                  <w:pPr>
                    <w:pStyle w:val="20"/>
                    <w:bidi w:val="0"/>
                    <w:rPr>
                      <w:rFonts w:hint="eastAsia"/>
                      <w:color w:val="auto"/>
                      <w:highlight w:val="none"/>
                    </w:rPr>
                  </w:pPr>
                  <w:r>
                    <w:rPr>
                      <w:rFonts w:hint="eastAsia"/>
                      <w:color w:val="auto"/>
                      <w:highlight w:val="none"/>
                      <w:lang w:val="en-US" w:eastAsia="zh-CN"/>
                    </w:rPr>
                    <w:t>80</w:t>
                  </w:r>
                </w:p>
              </w:tc>
              <w:tc>
                <w:tcPr>
                  <w:tcW w:w="617" w:type="pct"/>
                  <w:shd w:val="clear" w:color="auto" w:fill="auto"/>
                  <w:vAlign w:val="center"/>
                </w:tcPr>
                <w:p w14:paraId="1EE55404">
                  <w:pPr>
                    <w:pStyle w:val="20"/>
                    <w:bidi w:val="0"/>
                    <w:rPr>
                      <w:rFonts w:hint="default"/>
                      <w:color w:val="auto"/>
                      <w:highlight w:val="none"/>
                    </w:rPr>
                  </w:pPr>
                  <w:r>
                    <w:rPr>
                      <w:rFonts w:hint="default"/>
                      <w:color w:val="auto"/>
                      <w:highlight w:val="none"/>
                      <w:lang w:val="en-US" w:eastAsia="zh-CN"/>
                    </w:rPr>
                    <w:t>2963.0</w:t>
                  </w:r>
                </w:p>
              </w:tc>
              <w:tc>
                <w:tcPr>
                  <w:tcW w:w="498" w:type="pct"/>
                  <w:shd w:val="clear" w:color="auto" w:fill="auto"/>
                  <w:vAlign w:val="center"/>
                </w:tcPr>
                <w:p w14:paraId="0C2A1438">
                  <w:pPr>
                    <w:pStyle w:val="20"/>
                    <w:bidi w:val="0"/>
                    <w:rPr>
                      <w:rFonts w:hint="default"/>
                      <w:color w:val="auto"/>
                      <w:highlight w:val="none"/>
                    </w:rPr>
                  </w:pPr>
                  <w:r>
                    <w:rPr>
                      <w:rFonts w:hint="default"/>
                      <w:color w:val="auto"/>
                      <w:highlight w:val="none"/>
                      <w:lang w:val="en-US" w:eastAsia="zh-CN"/>
                    </w:rPr>
                    <w:t>3096.8</w:t>
                  </w:r>
                </w:p>
              </w:tc>
              <w:tc>
                <w:tcPr>
                  <w:tcW w:w="557" w:type="pct"/>
                  <w:shd w:val="clear" w:color="auto" w:fill="auto"/>
                  <w:vAlign w:val="center"/>
                </w:tcPr>
                <w:p w14:paraId="499B55C9">
                  <w:pPr>
                    <w:pStyle w:val="20"/>
                    <w:bidi w:val="0"/>
                    <w:rPr>
                      <w:rFonts w:hint="default"/>
                      <w:color w:val="auto"/>
                      <w:highlight w:val="none"/>
                    </w:rPr>
                  </w:pPr>
                  <w:r>
                    <w:rPr>
                      <w:rFonts w:hint="default"/>
                      <w:color w:val="auto"/>
                      <w:highlight w:val="none"/>
                      <w:lang w:val="en-US" w:eastAsia="zh-CN"/>
                    </w:rPr>
                    <w:t>83.61</w:t>
                  </w:r>
                </w:p>
              </w:tc>
              <w:tc>
                <w:tcPr>
                  <w:tcW w:w="345" w:type="pct"/>
                  <w:vMerge w:val="continue"/>
                  <w:shd w:val="clear" w:color="auto" w:fill="auto"/>
                  <w:vAlign w:val="center"/>
                </w:tcPr>
                <w:p w14:paraId="6A5BD3EC">
                  <w:pPr>
                    <w:pStyle w:val="20"/>
                    <w:bidi w:val="0"/>
                    <w:rPr>
                      <w:rFonts w:hint="default"/>
                      <w:color w:val="auto"/>
                      <w:highlight w:val="none"/>
                      <w:lang w:val="en-US" w:eastAsia="zh-CN"/>
                    </w:rPr>
                  </w:pPr>
                </w:p>
              </w:tc>
            </w:tr>
            <w:tr w14:paraId="7FDEF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510" w:hRule="atLeast"/>
                <w:jc w:val="center"/>
              </w:trPr>
              <w:tc>
                <w:tcPr>
                  <w:tcW w:w="837" w:type="pct"/>
                  <w:vMerge w:val="continue"/>
                  <w:shd w:val="clear" w:color="auto" w:fill="auto"/>
                  <w:vAlign w:val="center"/>
                </w:tcPr>
                <w:p w14:paraId="5CD76BB9">
                  <w:pPr>
                    <w:pStyle w:val="20"/>
                    <w:bidi w:val="0"/>
                    <w:rPr>
                      <w:rFonts w:hint="eastAsia"/>
                      <w:color w:val="auto"/>
                      <w:highlight w:val="none"/>
                      <w:lang w:val="en-US" w:eastAsia="zh-CN"/>
                    </w:rPr>
                  </w:pPr>
                </w:p>
              </w:tc>
              <w:tc>
                <w:tcPr>
                  <w:tcW w:w="386" w:type="pct"/>
                  <w:vMerge w:val="continue"/>
                  <w:shd w:val="clear" w:color="auto" w:fill="auto"/>
                  <w:vAlign w:val="center"/>
                </w:tcPr>
                <w:p w14:paraId="3FFC4360">
                  <w:pPr>
                    <w:pStyle w:val="20"/>
                    <w:bidi w:val="0"/>
                    <w:rPr>
                      <w:rFonts w:hint="eastAsia"/>
                      <w:color w:val="auto"/>
                      <w:highlight w:val="none"/>
                      <w:lang w:val="en-US" w:eastAsia="zh-CN"/>
                    </w:rPr>
                  </w:pPr>
                </w:p>
              </w:tc>
              <w:tc>
                <w:tcPr>
                  <w:tcW w:w="619" w:type="pct"/>
                  <w:shd w:val="clear" w:color="auto" w:fill="auto"/>
                  <w:vAlign w:val="center"/>
                </w:tcPr>
                <w:p w14:paraId="3D50EA0F">
                  <w:pPr>
                    <w:pStyle w:val="20"/>
                    <w:bidi w:val="0"/>
                    <w:rPr>
                      <w:rFonts w:hint="eastAsia"/>
                      <w:color w:val="auto"/>
                      <w:highlight w:val="none"/>
                    </w:rPr>
                  </w:pPr>
                  <w:r>
                    <w:rPr>
                      <w:rFonts w:hint="eastAsia"/>
                      <w:color w:val="auto"/>
                      <w:highlight w:val="none"/>
                      <w:lang w:val="en-US" w:eastAsia="zh-CN"/>
                    </w:rPr>
                    <w:t>谐振器上</w:t>
                  </w:r>
                </w:p>
              </w:tc>
              <w:tc>
                <w:tcPr>
                  <w:tcW w:w="535" w:type="pct"/>
                  <w:shd w:val="clear" w:color="auto" w:fill="auto"/>
                  <w:noWrap/>
                  <w:vAlign w:val="center"/>
                </w:tcPr>
                <w:p w14:paraId="711C940D">
                  <w:pPr>
                    <w:pStyle w:val="20"/>
                    <w:bidi w:val="0"/>
                    <w:rPr>
                      <w:rFonts w:hint="eastAsia"/>
                      <w:color w:val="auto"/>
                      <w:highlight w:val="none"/>
                    </w:rPr>
                  </w:pPr>
                  <w:r>
                    <w:rPr>
                      <w:rFonts w:hint="eastAsia"/>
                      <w:color w:val="auto"/>
                      <w:highlight w:val="none"/>
                      <w:lang w:val="en-US" w:eastAsia="zh-CN"/>
                    </w:rPr>
                    <w:t>100</w:t>
                  </w:r>
                </w:p>
              </w:tc>
              <w:tc>
                <w:tcPr>
                  <w:tcW w:w="602" w:type="pct"/>
                  <w:shd w:val="clear" w:color="auto" w:fill="auto"/>
                  <w:noWrap/>
                  <w:vAlign w:val="center"/>
                </w:tcPr>
                <w:p w14:paraId="0B15F021">
                  <w:pPr>
                    <w:pStyle w:val="20"/>
                    <w:bidi w:val="0"/>
                    <w:rPr>
                      <w:rFonts w:hint="eastAsia"/>
                      <w:color w:val="auto"/>
                      <w:highlight w:val="none"/>
                    </w:rPr>
                  </w:pPr>
                  <w:r>
                    <w:rPr>
                      <w:rFonts w:hint="eastAsia"/>
                      <w:color w:val="auto"/>
                      <w:highlight w:val="none"/>
                      <w:lang w:val="en-US" w:eastAsia="zh-CN"/>
                    </w:rPr>
                    <w:t>10</w:t>
                  </w:r>
                </w:p>
              </w:tc>
              <w:tc>
                <w:tcPr>
                  <w:tcW w:w="617" w:type="pct"/>
                  <w:shd w:val="clear" w:color="auto" w:fill="auto"/>
                  <w:vAlign w:val="center"/>
                </w:tcPr>
                <w:p w14:paraId="2902484C">
                  <w:pPr>
                    <w:pStyle w:val="20"/>
                    <w:bidi w:val="0"/>
                    <w:rPr>
                      <w:rFonts w:hint="default"/>
                      <w:color w:val="auto"/>
                      <w:highlight w:val="none"/>
                    </w:rPr>
                  </w:pPr>
                  <w:r>
                    <w:rPr>
                      <w:rFonts w:hint="default"/>
                      <w:color w:val="auto"/>
                      <w:highlight w:val="none"/>
                      <w:lang w:val="en-US" w:eastAsia="zh-CN"/>
                    </w:rPr>
                    <w:t>463.0</w:t>
                  </w:r>
                </w:p>
              </w:tc>
              <w:tc>
                <w:tcPr>
                  <w:tcW w:w="498" w:type="pct"/>
                  <w:shd w:val="clear" w:color="auto" w:fill="auto"/>
                  <w:vAlign w:val="center"/>
                </w:tcPr>
                <w:p w14:paraId="7E48010B">
                  <w:pPr>
                    <w:pStyle w:val="20"/>
                    <w:bidi w:val="0"/>
                    <w:rPr>
                      <w:rFonts w:hint="default"/>
                      <w:color w:val="auto"/>
                      <w:highlight w:val="none"/>
                    </w:rPr>
                  </w:pPr>
                  <w:r>
                    <w:rPr>
                      <w:rFonts w:hint="default"/>
                      <w:color w:val="auto"/>
                      <w:highlight w:val="none"/>
                      <w:lang w:val="en-US" w:eastAsia="zh-CN"/>
                    </w:rPr>
                    <w:t>483.9</w:t>
                  </w:r>
                </w:p>
              </w:tc>
              <w:tc>
                <w:tcPr>
                  <w:tcW w:w="557" w:type="pct"/>
                  <w:shd w:val="clear" w:color="auto" w:fill="auto"/>
                  <w:vAlign w:val="center"/>
                </w:tcPr>
                <w:p w14:paraId="6CF795EB">
                  <w:pPr>
                    <w:pStyle w:val="20"/>
                    <w:bidi w:val="0"/>
                    <w:rPr>
                      <w:rFonts w:hint="default"/>
                      <w:color w:val="auto"/>
                      <w:highlight w:val="none"/>
                    </w:rPr>
                  </w:pPr>
                  <w:r>
                    <w:rPr>
                      <w:rFonts w:hint="default"/>
                      <w:color w:val="auto"/>
                      <w:highlight w:val="none"/>
                      <w:lang w:val="en-US" w:eastAsia="zh-CN"/>
                    </w:rPr>
                    <w:t>10.45</w:t>
                  </w:r>
                </w:p>
              </w:tc>
              <w:tc>
                <w:tcPr>
                  <w:tcW w:w="345" w:type="pct"/>
                  <w:vMerge w:val="continue"/>
                  <w:shd w:val="clear" w:color="auto" w:fill="auto"/>
                  <w:vAlign w:val="center"/>
                </w:tcPr>
                <w:p w14:paraId="7CB9B924">
                  <w:pPr>
                    <w:pStyle w:val="20"/>
                    <w:bidi w:val="0"/>
                    <w:rPr>
                      <w:rFonts w:hint="default"/>
                      <w:color w:val="auto"/>
                      <w:highlight w:val="none"/>
                      <w:lang w:val="en-US" w:eastAsia="zh-CN"/>
                    </w:rPr>
                  </w:pPr>
                </w:p>
              </w:tc>
            </w:tr>
            <w:tr w14:paraId="33C35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37" w:type="pct"/>
                  <w:vMerge w:val="continue"/>
                  <w:shd w:val="clear" w:color="auto" w:fill="auto"/>
                  <w:vAlign w:val="center"/>
                </w:tcPr>
                <w:p w14:paraId="36A97B3A">
                  <w:pPr>
                    <w:pStyle w:val="20"/>
                    <w:bidi w:val="0"/>
                    <w:rPr>
                      <w:rFonts w:hint="eastAsia"/>
                      <w:color w:val="auto"/>
                      <w:highlight w:val="none"/>
                      <w:lang w:val="en-US" w:eastAsia="zh-CN"/>
                    </w:rPr>
                  </w:pPr>
                </w:p>
              </w:tc>
              <w:tc>
                <w:tcPr>
                  <w:tcW w:w="386" w:type="pct"/>
                  <w:vMerge w:val="continue"/>
                  <w:shd w:val="clear" w:color="auto" w:fill="auto"/>
                  <w:vAlign w:val="center"/>
                </w:tcPr>
                <w:p w14:paraId="11C40018">
                  <w:pPr>
                    <w:pStyle w:val="20"/>
                    <w:bidi w:val="0"/>
                    <w:rPr>
                      <w:rFonts w:hint="eastAsia"/>
                      <w:color w:val="auto"/>
                      <w:highlight w:val="none"/>
                      <w:lang w:val="en-US" w:eastAsia="zh-CN"/>
                    </w:rPr>
                  </w:pPr>
                </w:p>
              </w:tc>
              <w:tc>
                <w:tcPr>
                  <w:tcW w:w="619" w:type="pct"/>
                  <w:shd w:val="clear" w:color="auto" w:fill="auto"/>
                  <w:vAlign w:val="center"/>
                </w:tcPr>
                <w:p w14:paraId="0C01B8C0">
                  <w:pPr>
                    <w:pStyle w:val="20"/>
                    <w:bidi w:val="0"/>
                    <w:rPr>
                      <w:rFonts w:hint="eastAsia"/>
                      <w:color w:val="auto"/>
                      <w:highlight w:val="none"/>
                    </w:rPr>
                  </w:pPr>
                  <w:r>
                    <w:rPr>
                      <w:rFonts w:hint="eastAsia"/>
                      <w:color w:val="auto"/>
                      <w:highlight w:val="none"/>
                      <w:lang w:val="en-US" w:eastAsia="zh-CN"/>
                    </w:rPr>
                    <w:t>谐振器下</w:t>
                  </w:r>
                </w:p>
              </w:tc>
              <w:tc>
                <w:tcPr>
                  <w:tcW w:w="535" w:type="pct"/>
                  <w:shd w:val="clear" w:color="auto" w:fill="auto"/>
                  <w:noWrap/>
                  <w:vAlign w:val="center"/>
                </w:tcPr>
                <w:p w14:paraId="4B00865E">
                  <w:pPr>
                    <w:pStyle w:val="20"/>
                    <w:bidi w:val="0"/>
                    <w:rPr>
                      <w:rFonts w:hint="eastAsia"/>
                      <w:color w:val="auto"/>
                      <w:highlight w:val="none"/>
                    </w:rPr>
                  </w:pPr>
                  <w:r>
                    <w:rPr>
                      <w:rFonts w:hint="eastAsia"/>
                      <w:color w:val="auto"/>
                      <w:highlight w:val="none"/>
                      <w:lang w:val="en-US" w:eastAsia="zh-CN"/>
                    </w:rPr>
                    <w:t>100</w:t>
                  </w:r>
                </w:p>
              </w:tc>
              <w:tc>
                <w:tcPr>
                  <w:tcW w:w="602" w:type="pct"/>
                  <w:shd w:val="clear" w:color="auto" w:fill="auto"/>
                  <w:noWrap/>
                  <w:vAlign w:val="center"/>
                </w:tcPr>
                <w:p w14:paraId="300C0FF7">
                  <w:pPr>
                    <w:pStyle w:val="20"/>
                    <w:bidi w:val="0"/>
                    <w:rPr>
                      <w:rFonts w:hint="eastAsia"/>
                      <w:color w:val="auto"/>
                      <w:highlight w:val="none"/>
                    </w:rPr>
                  </w:pPr>
                  <w:r>
                    <w:rPr>
                      <w:rFonts w:hint="eastAsia"/>
                      <w:color w:val="auto"/>
                      <w:highlight w:val="none"/>
                      <w:lang w:val="en-US" w:eastAsia="zh-CN"/>
                    </w:rPr>
                    <w:t>10</w:t>
                  </w:r>
                </w:p>
              </w:tc>
              <w:tc>
                <w:tcPr>
                  <w:tcW w:w="617" w:type="pct"/>
                  <w:shd w:val="clear" w:color="auto" w:fill="auto"/>
                  <w:vAlign w:val="center"/>
                </w:tcPr>
                <w:p w14:paraId="3B5498B4">
                  <w:pPr>
                    <w:pStyle w:val="20"/>
                    <w:bidi w:val="0"/>
                    <w:rPr>
                      <w:rFonts w:hint="default"/>
                      <w:color w:val="auto"/>
                      <w:highlight w:val="none"/>
                    </w:rPr>
                  </w:pPr>
                  <w:r>
                    <w:rPr>
                      <w:rFonts w:hint="default"/>
                      <w:color w:val="auto"/>
                      <w:highlight w:val="none"/>
                      <w:lang w:val="en-US" w:eastAsia="zh-CN"/>
                    </w:rPr>
                    <w:t>463.0</w:t>
                  </w:r>
                </w:p>
              </w:tc>
              <w:tc>
                <w:tcPr>
                  <w:tcW w:w="498" w:type="pct"/>
                  <w:shd w:val="clear" w:color="auto" w:fill="auto"/>
                  <w:vAlign w:val="center"/>
                </w:tcPr>
                <w:p w14:paraId="3005D6D1">
                  <w:pPr>
                    <w:pStyle w:val="20"/>
                    <w:bidi w:val="0"/>
                    <w:rPr>
                      <w:rFonts w:hint="default"/>
                      <w:color w:val="auto"/>
                      <w:highlight w:val="none"/>
                    </w:rPr>
                  </w:pPr>
                  <w:r>
                    <w:rPr>
                      <w:rFonts w:hint="default"/>
                      <w:color w:val="auto"/>
                      <w:highlight w:val="none"/>
                      <w:lang w:val="en-US" w:eastAsia="zh-CN"/>
                    </w:rPr>
                    <w:t>483.9</w:t>
                  </w:r>
                </w:p>
              </w:tc>
              <w:tc>
                <w:tcPr>
                  <w:tcW w:w="557" w:type="pct"/>
                  <w:shd w:val="clear" w:color="auto" w:fill="auto"/>
                  <w:vAlign w:val="center"/>
                </w:tcPr>
                <w:p w14:paraId="68DDB3B0">
                  <w:pPr>
                    <w:pStyle w:val="20"/>
                    <w:bidi w:val="0"/>
                    <w:rPr>
                      <w:rFonts w:hint="default"/>
                      <w:color w:val="auto"/>
                      <w:highlight w:val="none"/>
                    </w:rPr>
                  </w:pPr>
                  <w:r>
                    <w:rPr>
                      <w:rFonts w:hint="default"/>
                      <w:color w:val="auto"/>
                      <w:highlight w:val="none"/>
                      <w:lang w:val="en-US" w:eastAsia="zh-CN"/>
                    </w:rPr>
                    <w:t>10.45</w:t>
                  </w:r>
                </w:p>
              </w:tc>
              <w:tc>
                <w:tcPr>
                  <w:tcW w:w="345" w:type="pct"/>
                  <w:vMerge w:val="continue"/>
                  <w:shd w:val="clear" w:color="auto" w:fill="auto"/>
                  <w:vAlign w:val="center"/>
                </w:tcPr>
                <w:p w14:paraId="70E8CEAD">
                  <w:pPr>
                    <w:pStyle w:val="20"/>
                    <w:bidi w:val="0"/>
                    <w:rPr>
                      <w:rFonts w:hint="default"/>
                      <w:color w:val="auto"/>
                      <w:highlight w:val="none"/>
                      <w:lang w:val="en-US" w:eastAsia="zh-CN"/>
                    </w:rPr>
                  </w:pPr>
                </w:p>
              </w:tc>
            </w:tr>
            <w:tr w14:paraId="105DE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37" w:type="pct"/>
                  <w:shd w:val="clear" w:color="auto" w:fill="auto"/>
                  <w:vAlign w:val="center"/>
                </w:tcPr>
                <w:p w14:paraId="66819A6D">
                  <w:pPr>
                    <w:pStyle w:val="20"/>
                    <w:bidi w:val="0"/>
                    <w:rPr>
                      <w:rFonts w:hint="default"/>
                      <w:color w:val="auto"/>
                      <w:highlight w:val="none"/>
                      <w:lang w:val="en-US" w:eastAsia="zh-CN"/>
                    </w:rPr>
                  </w:pPr>
                  <w:r>
                    <w:rPr>
                      <w:rFonts w:hint="eastAsia"/>
                      <w:color w:val="auto"/>
                      <w:highlight w:val="none"/>
                      <w:lang w:val="en-US" w:eastAsia="zh-CN"/>
                    </w:rPr>
                    <w:t>合计</w:t>
                  </w:r>
                </w:p>
              </w:tc>
              <w:tc>
                <w:tcPr>
                  <w:tcW w:w="386" w:type="pct"/>
                  <w:shd w:val="clear" w:color="auto" w:fill="auto"/>
                  <w:vAlign w:val="center"/>
                </w:tcPr>
                <w:p w14:paraId="146552B9">
                  <w:pPr>
                    <w:pStyle w:val="20"/>
                    <w:bidi w:val="0"/>
                    <w:rPr>
                      <w:rFonts w:hint="default"/>
                      <w:color w:val="auto"/>
                      <w:highlight w:val="none"/>
                      <w:lang w:val="en-US" w:eastAsia="zh-CN"/>
                    </w:rPr>
                  </w:pPr>
                  <w:r>
                    <w:rPr>
                      <w:rFonts w:hint="eastAsia"/>
                      <w:color w:val="auto"/>
                      <w:highlight w:val="none"/>
                      <w:lang w:val="en-US" w:eastAsia="zh-CN"/>
                    </w:rPr>
                    <w:t>6</w:t>
                  </w:r>
                </w:p>
              </w:tc>
              <w:tc>
                <w:tcPr>
                  <w:tcW w:w="619" w:type="pct"/>
                  <w:shd w:val="clear" w:color="auto" w:fill="auto"/>
                  <w:vAlign w:val="center"/>
                </w:tcPr>
                <w:p w14:paraId="28F89BAB">
                  <w:pPr>
                    <w:pStyle w:val="20"/>
                    <w:bidi w:val="0"/>
                    <w:rPr>
                      <w:rFonts w:hint="eastAsia"/>
                      <w:color w:val="auto"/>
                      <w:highlight w:val="none"/>
                      <w:lang w:val="en-US" w:eastAsia="zh-CN"/>
                    </w:rPr>
                  </w:pPr>
                  <w:r>
                    <w:rPr>
                      <w:rFonts w:hint="eastAsia"/>
                      <w:color w:val="auto"/>
                      <w:highlight w:val="none"/>
                      <w:lang w:val="en-US" w:eastAsia="zh-CN"/>
                    </w:rPr>
                    <w:t>/</w:t>
                  </w:r>
                </w:p>
              </w:tc>
              <w:tc>
                <w:tcPr>
                  <w:tcW w:w="535" w:type="pct"/>
                  <w:shd w:val="clear" w:color="auto" w:fill="auto"/>
                  <w:vAlign w:val="center"/>
                </w:tcPr>
                <w:p w14:paraId="2D4242AA">
                  <w:pPr>
                    <w:pStyle w:val="20"/>
                    <w:bidi w:val="0"/>
                    <w:rPr>
                      <w:rFonts w:hint="default"/>
                      <w:color w:val="auto"/>
                      <w:highlight w:val="none"/>
                      <w:lang w:val="en-US" w:eastAsia="zh-CN"/>
                    </w:rPr>
                  </w:pPr>
                  <w:r>
                    <w:rPr>
                      <w:rFonts w:hint="default"/>
                      <w:color w:val="auto"/>
                      <w:highlight w:val="none"/>
                      <w:lang w:val="en-US" w:eastAsia="zh-CN"/>
                    </w:rPr>
                    <w:t>/</w:t>
                  </w:r>
                </w:p>
              </w:tc>
              <w:tc>
                <w:tcPr>
                  <w:tcW w:w="602" w:type="pct"/>
                  <w:shd w:val="clear" w:color="auto" w:fill="auto"/>
                  <w:vAlign w:val="center"/>
                </w:tcPr>
                <w:p w14:paraId="2A85C554">
                  <w:pPr>
                    <w:pStyle w:val="20"/>
                    <w:bidi w:val="0"/>
                    <w:rPr>
                      <w:rFonts w:hint="default"/>
                      <w:color w:val="auto"/>
                      <w:highlight w:val="none"/>
                      <w:lang w:val="en-US" w:eastAsia="zh-CN"/>
                    </w:rPr>
                  </w:pPr>
                  <w:r>
                    <w:rPr>
                      <w:rFonts w:hint="default"/>
                      <w:color w:val="auto"/>
                      <w:highlight w:val="none"/>
                      <w:lang w:val="en-US" w:eastAsia="zh-CN"/>
                    </w:rPr>
                    <w:t>172.0</w:t>
                  </w:r>
                </w:p>
              </w:tc>
              <w:tc>
                <w:tcPr>
                  <w:tcW w:w="617" w:type="pct"/>
                  <w:shd w:val="clear" w:color="auto" w:fill="auto"/>
                  <w:vAlign w:val="center"/>
                </w:tcPr>
                <w:p w14:paraId="2B76B867">
                  <w:pPr>
                    <w:pStyle w:val="20"/>
                    <w:bidi w:val="0"/>
                    <w:rPr>
                      <w:rFonts w:hint="default"/>
                      <w:color w:val="auto"/>
                      <w:highlight w:val="none"/>
                      <w:lang w:val="en-US" w:eastAsia="zh-CN"/>
                    </w:rPr>
                  </w:pPr>
                  <w:r>
                    <w:rPr>
                      <w:rFonts w:hint="default"/>
                      <w:color w:val="auto"/>
                      <w:highlight w:val="none"/>
                      <w:lang w:val="en-US" w:eastAsia="zh-CN"/>
                    </w:rPr>
                    <w:t>6888.9</w:t>
                  </w:r>
                </w:p>
              </w:tc>
              <w:tc>
                <w:tcPr>
                  <w:tcW w:w="498" w:type="pct"/>
                  <w:shd w:val="clear" w:color="auto" w:fill="auto"/>
                  <w:vAlign w:val="center"/>
                </w:tcPr>
                <w:p w14:paraId="17C31701">
                  <w:pPr>
                    <w:pStyle w:val="20"/>
                    <w:bidi w:val="0"/>
                    <w:rPr>
                      <w:rFonts w:hint="default"/>
                      <w:color w:val="auto"/>
                      <w:highlight w:val="none"/>
                      <w:lang w:val="en-US" w:eastAsia="zh-CN"/>
                    </w:rPr>
                  </w:pPr>
                  <w:r>
                    <w:rPr>
                      <w:rFonts w:hint="default"/>
                      <w:color w:val="auto"/>
                      <w:highlight w:val="none"/>
                      <w:lang w:val="en-US" w:eastAsia="zh-CN"/>
                    </w:rPr>
                    <w:t>7200.0</w:t>
                  </w:r>
                </w:p>
              </w:tc>
              <w:tc>
                <w:tcPr>
                  <w:tcW w:w="557" w:type="pct"/>
                  <w:shd w:val="clear" w:color="auto" w:fill="auto"/>
                  <w:vAlign w:val="center"/>
                </w:tcPr>
                <w:p w14:paraId="06F0D058">
                  <w:pPr>
                    <w:pStyle w:val="20"/>
                    <w:bidi w:val="0"/>
                    <w:rPr>
                      <w:rFonts w:hint="default"/>
                      <w:color w:val="auto"/>
                      <w:highlight w:val="none"/>
                      <w:lang w:val="en-US" w:eastAsia="zh-CN"/>
                    </w:rPr>
                  </w:pPr>
                  <w:r>
                    <w:rPr>
                      <w:rFonts w:hint="default"/>
                      <w:color w:val="auto"/>
                      <w:highlight w:val="none"/>
                      <w:lang w:val="en-US" w:eastAsia="zh-CN"/>
                    </w:rPr>
                    <w:t>179.77</w:t>
                  </w:r>
                </w:p>
              </w:tc>
              <w:tc>
                <w:tcPr>
                  <w:tcW w:w="345" w:type="pct"/>
                  <w:vMerge w:val="continue"/>
                  <w:shd w:val="clear" w:color="auto" w:fill="auto"/>
                  <w:vAlign w:val="center"/>
                </w:tcPr>
                <w:p w14:paraId="5025007C">
                  <w:pPr>
                    <w:pStyle w:val="20"/>
                    <w:bidi w:val="0"/>
                    <w:rPr>
                      <w:rFonts w:hint="default"/>
                      <w:color w:val="auto"/>
                      <w:highlight w:val="none"/>
                      <w:lang w:val="en-US" w:eastAsia="zh-CN"/>
                    </w:rPr>
                  </w:pPr>
                </w:p>
              </w:tc>
            </w:tr>
          </w:tbl>
          <w:p w14:paraId="4A324651">
            <w:pPr>
              <w:pStyle w:val="18"/>
              <w:bidi w:val="0"/>
              <w:rPr>
                <w:rFonts w:hint="default"/>
                <w:color w:val="auto"/>
                <w:highlight w:val="none"/>
                <w:lang w:val="en-US" w:eastAsia="zh-CN"/>
              </w:rPr>
            </w:pPr>
            <w:r>
              <w:rPr>
                <w:rFonts w:hint="eastAsia"/>
                <w:color w:val="auto"/>
                <w:highlight w:val="none"/>
                <w:lang w:val="en-US" w:eastAsia="zh-CN"/>
              </w:rPr>
              <w:t>由上表可以看出，较小件产品使用9台注塑机生产，较大产品使用6台注塑机生产，按照各产品设计的产能及生产时间，在设定7200h/a工作时间内，按比例分配实际生产时间来计算最大产能，分别为463.53万件和179.77万件，分别大于设计产能428万件和172万件，且生产负荷合理，扩建后设备可满足产品产能需求，产能匹配。</w:t>
            </w:r>
          </w:p>
          <w:p w14:paraId="6C204877">
            <w:pPr>
              <w:pStyle w:val="2"/>
              <w:numPr>
                <w:ilvl w:val="0"/>
                <w:numId w:val="3"/>
              </w:numPr>
              <w:spacing w:before="156"/>
              <w:rPr>
                <w:color w:val="auto"/>
                <w:highlight w:val="none"/>
              </w:rPr>
            </w:pPr>
            <w:r>
              <w:rPr>
                <w:rFonts w:hint="eastAsia"/>
                <w:color w:val="auto"/>
                <w:highlight w:val="none"/>
              </w:rPr>
              <w:t>主要原辅材料及消耗量</w:t>
            </w:r>
          </w:p>
          <w:p w14:paraId="3E06E76F">
            <w:pPr>
              <w:pStyle w:val="18"/>
              <w:rPr>
                <w:rFonts w:hint="eastAsia"/>
                <w:color w:val="auto"/>
                <w:highlight w:val="none"/>
              </w:rPr>
            </w:pPr>
            <w:r>
              <w:rPr>
                <w:rFonts w:hint="eastAsia"/>
                <w:color w:val="auto"/>
                <w:highlight w:val="none"/>
                <w:lang w:val="en-US" w:eastAsia="zh-CN"/>
              </w:rPr>
              <w:t>根据企业24年原辅材料数据以及产品规格，项目扩建后</w:t>
            </w:r>
            <w:r>
              <w:rPr>
                <w:rFonts w:hint="eastAsia"/>
                <w:color w:val="auto"/>
                <w:highlight w:val="none"/>
              </w:rPr>
              <w:t>项目主要原辅材料消耗量一览表见</w:t>
            </w:r>
            <w:r>
              <w:rPr>
                <w:rFonts w:hint="eastAsia"/>
                <w:color w:val="auto"/>
                <w:highlight w:val="none"/>
              </w:rPr>
              <w:fldChar w:fldCharType="begin"/>
            </w:r>
            <w:r>
              <w:rPr>
                <w:rFonts w:hint="eastAsia"/>
                <w:color w:val="auto"/>
                <w:highlight w:val="none"/>
              </w:rPr>
              <w:instrText xml:space="preserve"> REF _Ref18106 \h </w:instrText>
            </w:r>
            <w:r>
              <w:rPr>
                <w:rFonts w:hint="eastAsia"/>
                <w:color w:val="auto"/>
                <w:highlight w:val="none"/>
              </w:rPr>
              <w:fldChar w:fldCharType="separate"/>
            </w:r>
            <w:r>
              <w:rPr>
                <w:color w:val="auto"/>
                <w:highlight w:val="none"/>
              </w:rPr>
              <w:t>表2-5</w:t>
            </w:r>
            <w:r>
              <w:rPr>
                <w:rFonts w:hint="eastAsia"/>
                <w:color w:val="auto"/>
                <w:highlight w:val="none"/>
              </w:rPr>
              <w:fldChar w:fldCharType="end"/>
            </w:r>
            <w:r>
              <w:rPr>
                <w:rFonts w:hint="eastAsia"/>
                <w:color w:val="auto"/>
                <w:highlight w:val="none"/>
              </w:rPr>
              <w:t>。</w:t>
            </w:r>
          </w:p>
          <w:p w14:paraId="2C087AE0">
            <w:pPr>
              <w:pStyle w:val="19"/>
              <w:bidi w:val="0"/>
              <w:rPr>
                <w:rFonts w:hint="eastAsia"/>
                <w:color w:val="auto"/>
                <w:highlight w:val="none"/>
              </w:rPr>
            </w:pPr>
            <w:bookmarkStart w:id="16" w:name="_Ref18106"/>
            <w:bookmarkStart w:id="17" w:name="_Ref25725"/>
            <w:r>
              <w:rPr>
                <w:color w:val="auto"/>
                <w:highlight w:val="none"/>
              </w:rPr>
              <w:t>表2-</w:t>
            </w:r>
            <w:r>
              <w:rPr>
                <w:color w:val="auto"/>
                <w:highlight w:val="none"/>
              </w:rPr>
              <w:fldChar w:fldCharType="begin"/>
            </w:r>
            <w:r>
              <w:rPr>
                <w:color w:val="auto"/>
                <w:highlight w:val="none"/>
              </w:rPr>
              <w:instrText xml:space="preserve"> SEQ 表2- \* ARABIC </w:instrText>
            </w:r>
            <w:r>
              <w:rPr>
                <w:color w:val="auto"/>
                <w:highlight w:val="none"/>
              </w:rPr>
              <w:fldChar w:fldCharType="separate"/>
            </w:r>
            <w:r>
              <w:rPr>
                <w:color w:val="auto"/>
                <w:highlight w:val="none"/>
              </w:rPr>
              <w:t>5</w:t>
            </w:r>
            <w:r>
              <w:rPr>
                <w:color w:val="auto"/>
                <w:highlight w:val="none"/>
              </w:rPr>
              <w:fldChar w:fldCharType="end"/>
            </w:r>
            <w:bookmarkEnd w:id="16"/>
            <w:r>
              <w:rPr>
                <w:rFonts w:hint="eastAsia"/>
                <w:color w:val="auto"/>
                <w:highlight w:val="none"/>
              </w:rPr>
              <w:t xml:space="preserve">  项目原辅材料消耗一览表</w:t>
            </w:r>
            <w:bookmarkEnd w:id="17"/>
          </w:p>
          <w:tbl>
            <w:tblPr>
              <w:tblStyle w:val="1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23"/>
              <w:gridCol w:w="393"/>
              <w:gridCol w:w="812"/>
              <w:gridCol w:w="1037"/>
              <w:gridCol w:w="1155"/>
              <w:gridCol w:w="968"/>
              <w:gridCol w:w="1110"/>
              <w:gridCol w:w="608"/>
              <w:gridCol w:w="952"/>
              <w:gridCol w:w="967"/>
            </w:tblGrid>
            <w:tr w14:paraId="67557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4" w:type="pct"/>
                  <w:shd w:val="clear" w:color="auto" w:fill="auto"/>
                  <w:vAlign w:val="center"/>
                </w:tcPr>
                <w:p w14:paraId="4451B45F">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right="0"/>
                    <w:textAlignment w:val="auto"/>
                    <w:rPr>
                      <w:rFonts w:hint="default"/>
                      <w:b/>
                      <w:bCs/>
                      <w:color w:val="auto"/>
                      <w:highlight w:val="none"/>
                    </w:rPr>
                  </w:pPr>
                  <w:r>
                    <w:rPr>
                      <w:rFonts w:hint="eastAsia"/>
                      <w:b/>
                      <w:bCs/>
                      <w:color w:val="auto"/>
                      <w:highlight w:val="none"/>
                    </w:rPr>
                    <w:t>类型</w:t>
                  </w:r>
                </w:p>
              </w:tc>
              <w:tc>
                <w:tcPr>
                  <w:tcW w:w="236" w:type="pct"/>
                  <w:shd w:val="clear" w:color="auto" w:fill="auto"/>
                  <w:tcMar>
                    <w:left w:w="57" w:type="dxa"/>
                    <w:right w:w="57" w:type="dxa"/>
                  </w:tcMar>
                  <w:vAlign w:val="center"/>
                </w:tcPr>
                <w:p w14:paraId="4387D2A5">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right="0"/>
                    <w:textAlignment w:val="auto"/>
                    <w:rPr>
                      <w:rFonts w:hint="default"/>
                      <w:b/>
                      <w:bCs/>
                      <w:color w:val="auto"/>
                      <w:highlight w:val="none"/>
                    </w:rPr>
                  </w:pPr>
                  <w:r>
                    <w:rPr>
                      <w:rFonts w:hint="default"/>
                      <w:b/>
                      <w:bCs/>
                      <w:color w:val="auto"/>
                      <w:highlight w:val="none"/>
                    </w:rPr>
                    <w:t>序号</w:t>
                  </w:r>
                </w:p>
              </w:tc>
              <w:tc>
                <w:tcPr>
                  <w:tcW w:w="487" w:type="pct"/>
                  <w:shd w:val="clear" w:color="auto" w:fill="auto"/>
                  <w:tcMar>
                    <w:left w:w="57" w:type="dxa"/>
                    <w:right w:w="57" w:type="dxa"/>
                  </w:tcMar>
                  <w:vAlign w:val="center"/>
                </w:tcPr>
                <w:p w14:paraId="5EF1019D">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right="0"/>
                    <w:textAlignment w:val="auto"/>
                    <w:rPr>
                      <w:rFonts w:hint="default"/>
                      <w:b/>
                      <w:bCs/>
                      <w:color w:val="auto"/>
                      <w:highlight w:val="none"/>
                    </w:rPr>
                  </w:pPr>
                  <w:r>
                    <w:rPr>
                      <w:rFonts w:hint="default"/>
                      <w:b/>
                      <w:bCs/>
                      <w:color w:val="auto"/>
                      <w:highlight w:val="none"/>
                    </w:rPr>
                    <w:t>名称</w:t>
                  </w:r>
                </w:p>
              </w:tc>
              <w:tc>
                <w:tcPr>
                  <w:tcW w:w="621" w:type="pct"/>
                  <w:shd w:val="clear" w:color="auto" w:fill="auto"/>
                  <w:tcMar>
                    <w:left w:w="57" w:type="dxa"/>
                    <w:right w:w="57" w:type="dxa"/>
                  </w:tcMar>
                  <w:vAlign w:val="center"/>
                </w:tcPr>
                <w:p w14:paraId="5CF0D2C2">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right="0"/>
                    <w:textAlignment w:val="auto"/>
                    <w:rPr>
                      <w:rFonts w:hint="eastAsia" w:eastAsia="宋体"/>
                      <w:b/>
                      <w:bCs/>
                      <w:color w:val="auto"/>
                      <w:highlight w:val="none"/>
                      <w:lang w:eastAsia="zh-CN"/>
                    </w:rPr>
                  </w:pPr>
                  <w:r>
                    <w:rPr>
                      <w:rFonts w:hint="eastAsia"/>
                      <w:b/>
                      <w:bCs/>
                      <w:color w:val="auto"/>
                      <w:highlight w:val="none"/>
                      <w:lang w:val="en-US" w:eastAsia="zh-CN"/>
                    </w:rPr>
                    <w:t>规格</w:t>
                  </w:r>
                </w:p>
              </w:tc>
              <w:tc>
                <w:tcPr>
                  <w:tcW w:w="693" w:type="pct"/>
                  <w:shd w:val="clear" w:color="auto" w:fill="auto"/>
                  <w:tcMar>
                    <w:left w:w="57" w:type="dxa"/>
                    <w:right w:w="57" w:type="dxa"/>
                  </w:tcMar>
                  <w:vAlign w:val="center"/>
                </w:tcPr>
                <w:p w14:paraId="1E3554A2">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right="0"/>
                    <w:textAlignment w:val="auto"/>
                    <w:rPr>
                      <w:rFonts w:hint="default"/>
                      <w:b/>
                      <w:bCs/>
                      <w:color w:val="auto"/>
                      <w:highlight w:val="none"/>
                      <w:lang w:val="en-US" w:eastAsia="zh-CN"/>
                    </w:rPr>
                  </w:pPr>
                  <w:r>
                    <w:rPr>
                      <w:rFonts w:hint="eastAsia"/>
                      <w:b/>
                      <w:bCs/>
                      <w:color w:val="auto"/>
                      <w:highlight w:val="none"/>
                      <w:lang w:val="en-US" w:eastAsia="zh-CN"/>
                    </w:rPr>
                    <w:t>现有项目消耗量</w:t>
                  </w:r>
                </w:p>
              </w:tc>
              <w:tc>
                <w:tcPr>
                  <w:tcW w:w="581" w:type="pct"/>
                  <w:shd w:val="clear" w:color="auto" w:fill="auto"/>
                  <w:tcMar>
                    <w:left w:w="57" w:type="dxa"/>
                    <w:right w:w="57" w:type="dxa"/>
                  </w:tcMar>
                  <w:vAlign w:val="center"/>
                </w:tcPr>
                <w:p w14:paraId="2A541511">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right="0"/>
                    <w:textAlignment w:val="auto"/>
                    <w:rPr>
                      <w:rFonts w:hint="default" w:eastAsia="宋体"/>
                      <w:b/>
                      <w:bCs/>
                      <w:color w:val="auto"/>
                      <w:highlight w:val="none"/>
                      <w:lang w:val="en-US" w:eastAsia="zh-CN"/>
                    </w:rPr>
                  </w:pPr>
                  <w:r>
                    <w:rPr>
                      <w:rFonts w:hint="eastAsia"/>
                      <w:b/>
                      <w:bCs/>
                      <w:color w:val="auto"/>
                      <w:highlight w:val="none"/>
                      <w:lang w:val="en-US" w:eastAsia="zh-CN"/>
                    </w:rPr>
                    <w:t>扩建后消耗量</w:t>
                  </w:r>
                </w:p>
              </w:tc>
              <w:tc>
                <w:tcPr>
                  <w:tcW w:w="666" w:type="pct"/>
                  <w:shd w:val="clear" w:color="auto" w:fill="auto"/>
                  <w:tcMar>
                    <w:left w:w="57" w:type="dxa"/>
                    <w:right w:w="57" w:type="dxa"/>
                  </w:tcMar>
                  <w:vAlign w:val="center"/>
                </w:tcPr>
                <w:p w14:paraId="4CD76FA5">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right="0"/>
                    <w:textAlignment w:val="auto"/>
                    <w:rPr>
                      <w:rFonts w:hint="eastAsia" w:ascii="Times New Roman" w:hAnsi="Times New Roman" w:eastAsia="宋体" w:cs="宋体"/>
                      <w:b/>
                      <w:bCs/>
                      <w:color w:val="auto"/>
                      <w:kern w:val="2"/>
                      <w:sz w:val="21"/>
                      <w:szCs w:val="21"/>
                      <w:highlight w:val="none"/>
                      <w:lang w:val="en-US" w:eastAsia="zh-CN" w:bidi="ar-SA"/>
                    </w:rPr>
                  </w:pPr>
                  <w:r>
                    <w:rPr>
                      <w:rFonts w:hint="eastAsia"/>
                      <w:b/>
                      <w:bCs/>
                      <w:color w:val="auto"/>
                      <w:highlight w:val="none"/>
                    </w:rPr>
                    <w:t>最大储存量</w:t>
                  </w:r>
                </w:p>
              </w:tc>
              <w:tc>
                <w:tcPr>
                  <w:tcW w:w="365" w:type="pct"/>
                  <w:shd w:val="clear" w:color="auto" w:fill="auto"/>
                  <w:tcMar>
                    <w:left w:w="57" w:type="dxa"/>
                    <w:right w:w="57" w:type="dxa"/>
                  </w:tcMar>
                  <w:vAlign w:val="center"/>
                </w:tcPr>
                <w:p w14:paraId="4FB72870">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right="0"/>
                    <w:textAlignment w:val="auto"/>
                    <w:rPr>
                      <w:rFonts w:hint="eastAsia" w:ascii="Times New Roman" w:hAnsi="Times New Roman" w:eastAsia="宋体" w:cs="宋体"/>
                      <w:b/>
                      <w:bCs/>
                      <w:color w:val="auto"/>
                      <w:kern w:val="2"/>
                      <w:sz w:val="21"/>
                      <w:szCs w:val="21"/>
                      <w:highlight w:val="none"/>
                      <w:lang w:val="en-US" w:eastAsia="zh-CN" w:bidi="ar-SA"/>
                    </w:rPr>
                  </w:pPr>
                  <w:r>
                    <w:rPr>
                      <w:rFonts w:hint="eastAsia"/>
                      <w:b/>
                      <w:bCs/>
                      <w:color w:val="auto"/>
                      <w:highlight w:val="none"/>
                    </w:rPr>
                    <w:t>性状</w:t>
                  </w:r>
                </w:p>
              </w:tc>
              <w:tc>
                <w:tcPr>
                  <w:tcW w:w="571" w:type="pct"/>
                  <w:shd w:val="clear" w:color="auto" w:fill="auto"/>
                  <w:vAlign w:val="center"/>
                </w:tcPr>
                <w:p w14:paraId="24474F19">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right="0"/>
                    <w:textAlignment w:val="auto"/>
                    <w:rPr>
                      <w:rFonts w:hint="default" w:eastAsia="宋体"/>
                      <w:b/>
                      <w:bCs/>
                      <w:color w:val="auto"/>
                      <w:highlight w:val="none"/>
                      <w:lang w:val="en-US" w:eastAsia="zh-CN"/>
                    </w:rPr>
                  </w:pPr>
                  <w:r>
                    <w:rPr>
                      <w:rFonts w:hint="eastAsia"/>
                      <w:b/>
                      <w:bCs/>
                      <w:color w:val="auto"/>
                      <w:highlight w:val="none"/>
                      <w:lang w:val="en-US" w:eastAsia="zh-CN"/>
                    </w:rPr>
                    <w:t>储存位置</w:t>
                  </w:r>
                </w:p>
              </w:tc>
              <w:tc>
                <w:tcPr>
                  <w:tcW w:w="580" w:type="pct"/>
                  <w:shd w:val="clear" w:color="auto" w:fill="auto"/>
                  <w:vAlign w:val="center"/>
                </w:tcPr>
                <w:p w14:paraId="275669BC">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right="0"/>
                    <w:textAlignment w:val="auto"/>
                    <w:rPr>
                      <w:rFonts w:hint="default"/>
                      <w:b/>
                      <w:bCs/>
                      <w:color w:val="auto"/>
                      <w:highlight w:val="none"/>
                    </w:rPr>
                  </w:pPr>
                  <w:r>
                    <w:rPr>
                      <w:rFonts w:hint="eastAsia"/>
                      <w:b/>
                      <w:bCs/>
                      <w:color w:val="auto"/>
                      <w:highlight w:val="none"/>
                      <w:lang w:val="en-US" w:eastAsia="zh-CN"/>
                    </w:rPr>
                    <w:t>备注/用途</w:t>
                  </w:r>
                </w:p>
              </w:tc>
            </w:tr>
            <w:tr w14:paraId="16C94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4" w:type="pct"/>
                  <w:vMerge w:val="restart"/>
                  <w:vAlign w:val="center"/>
                </w:tcPr>
                <w:p w14:paraId="5B598AFF">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right="0"/>
                    <w:textAlignment w:val="auto"/>
                    <w:rPr>
                      <w:rFonts w:hint="default"/>
                      <w:b w:val="0"/>
                      <w:bCs w:val="0"/>
                      <w:color w:val="auto"/>
                      <w:highlight w:val="none"/>
                    </w:rPr>
                  </w:pPr>
                  <w:r>
                    <w:rPr>
                      <w:rFonts w:hint="eastAsia"/>
                      <w:b w:val="0"/>
                      <w:bCs w:val="0"/>
                      <w:color w:val="auto"/>
                      <w:highlight w:val="none"/>
                    </w:rPr>
                    <w:t>原辅材料</w:t>
                  </w:r>
                </w:p>
              </w:tc>
              <w:tc>
                <w:tcPr>
                  <w:tcW w:w="236" w:type="pct"/>
                  <w:tcMar>
                    <w:left w:w="57" w:type="dxa"/>
                    <w:right w:w="57" w:type="dxa"/>
                  </w:tcMar>
                  <w:vAlign w:val="center"/>
                </w:tcPr>
                <w:p w14:paraId="29935FB3">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rPr>
                  </w:pPr>
                  <w:r>
                    <w:rPr>
                      <w:rFonts w:hint="default"/>
                      <w:b w:val="0"/>
                      <w:bCs w:val="0"/>
                      <w:color w:val="auto"/>
                      <w:highlight w:val="none"/>
                    </w:rPr>
                    <w:t>1</w:t>
                  </w:r>
                </w:p>
              </w:tc>
              <w:tc>
                <w:tcPr>
                  <w:tcW w:w="487" w:type="pct"/>
                  <w:tcMar>
                    <w:left w:w="0" w:type="dxa"/>
                    <w:right w:w="0" w:type="dxa"/>
                  </w:tcMar>
                  <w:vAlign w:val="center"/>
                </w:tcPr>
                <w:p w14:paraId="64D3F8E5">
                  <w:pPr>
                    <w:pStyle w:val="20"/>
                    <w:keepNext w:val="0"/>
                    <w:keepLines w:val="0"/>
                    <w:suppressLineNumbers w:val="0"/>
                    <w:bidi w:val="0"/>
                    <w:spacing w:before="0" w:beforeAutospacing="0" w:after="0" w:afterAutospacing="0"/>
                    <w:ind w:left="0" w:leftChars="0" w:right="0" w:rightChars="0"/>
                    <w:rPr>
                      <w:rFonts w:hint="eastAsia" w:eastAsia="宋体"/>
                      <w:b w:val="0"/>
                      <w:bCs w:val="0"/>
                      <w:color w:val="auto"/>
                      <w:highlight w:val="none"/>
                      <w:lang w:val="en-US" w:eastAsia="zh-CN"/>
                    </w:rPr>
                  </w:pPr>
                  <w:r>
                    <w:rPr>
                      <w:rFonts w:hint="eastAsia"/>
                      <w:b w:val="0"/>
                      <w:bCs w:val="0"/>
                      <w:color w:val="auto"/>
                      <w:highlight w:val="none"/>
                      <w:lang w:val="en-US" w:eastAsia="zh-CN"/>
                    </w:rPr>
                    <w:t>ABS</w:t>
                  </w:r>
                </w:p>
              </w:tc>
              <w:tc>
                <w:tcPr>
                  <w:tcW w:w="621" w:type="pct"/>
                  <w:tcMar>
                    <w:left w:w="57" w:type="dxa"/>
                    <w:right w:w="57" w:type="dxa"/>
                  </w:tcMar>
                  <w:vAlign w:val="center"/>
                </w:tcPr>
                <w:p w14:paraId="5A32CA7A">
                  <w:pPr>
                    <w:pStyle w:val="20"/>
                    <w:keepNext w:val="0"/>
                    <w:keepLines w:val="0"/>
                    <w:suppressLineNumbers w:val="0"/>
                    <w:bidi w:val="0"/>
                    <w:spacing w:before="0" w:beforeAutospacing="0" w:after="0" w:afterAutospacing="0"/>
                    <w:ind w:left="0" w:leftChars="0" w:right="0" w:rightChars="0"/>
                    <w:rPr>
                      <w:rFonts w:hint="default" w:eastAsia="宋体"/>
                      <w:b w:val="0"/>
                      <w:bCs w:val="0"/>
                      <w:color w:val="auto"/>
                      <w:highlight w:val="none"/>
                      <w:lang w:val="en-US" w:eastAsia="zh-CN"/>
                    </w:rPr>
                  </w:pPr>
                  <w:r>
                    <w:rPr>
                      <w:rFonts w:hint="eastAsia"/>
                      <w:b w:val="0"/>
                      <w:bCs w:val="0"/>
                      <w:color w:val="auto"/>
                      <w:highlight w:val="none"/>
                      <w:lang w:val="en-US" w:eastAsia="zh-CN"/>
                    </w:rPr>
                    <w:t>25kg/包</w:t>
                  </w:r>
                </w:p>
              </w:tc>
              <w:tc>
                <w:tcPr>
                  <w:tcW w:w="693" w:type="pct"/>
                  <w:tcMar>
                    <w:left w:w="57" w:type="dxa"/>
                    <w:right w:w="57" w:type="dxa"/>
                  </w:tcMar>
                  <w:vAlign w:val="center"/>
                </w:tcPr>
                <w:p w14:paraId="00E0638E">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25t</w:t>
                  </w:r>
                </w:p>
              </w:tc>
              <w:tc>
                <w:tcPr>
                  <w:tcW w:w="581" w:type="pct"/>
                  <w:tcMar>
                    <w:left w:w="57" w:type="dxa"/>
                    <w:right w:w="57" w:type="dxa"/>
                  </w:tcMar>
                  <w:vAlign w:val="center"/>
                </w:tcPr>
                <w:p w14:paraId="0A45D018">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color w:val="auto"/>
                      <w:highlight w:val="none"/>
                      <w:lang w:val="en-US" w:eastAsia="zh-CN"/>
                    </w:rPr>
                    <w:t>252.709t</w:t>
                  </w:r>
                </w:p>
              </w:tc>
              <w:tc>
                <w:tcPr>
                  <w:tcW w:w="666" w:type="pct"/>
                  <w:tcMar>
                    <w:left w:w="57" w:type="dxa"/>
                    <w:right w:w="57" w:type="dxa"/>
                  </w:tcMar>
                  <w:vAlign w:val="center"/>
                </w:tcPr>
                <w:p w14:paraId="4A97D787">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100</w:t>
                  </w:r>
                </w:p>
              </w:tc>
              <w:tc>
                <w:tcPr>
                  <w:tcW w:w="365" w:type="pct"/>
                  <w:vMerge w:val="restart"/>
                  <w:tcMar>
                    <w:left w:w="57" w:type="dxa"/>
                    <w:right w:w="57" w:type="dxa"/>
                  </w:tcMar>
                  <w:vAlign w:val="center"/>
                </w:tcPr>
                <w:p w14:paraId="2DAE7222">
                  <w:pPr>
                    <w:pStyle w:val="20"/>
                    <w:keepNext w:val="0"/>
                    <w:keepLines w:val="0"/>
                    <w:suppressLineNumbers w:val="0"/>
                    <w:bidi w:val="0"/>
                    <w:spacing w:before="0" w:beforeAutospacing="0" w:after="0" w:afterAutospacing="0"/>
                    <w:ind w:left="0" w:leftChars="0" w:right="0" w:rightChars="0"/>
                    <w:rPr>
                      <w:rFonts w:hint="eastAsia" w:eastAsia="宋体"/>
                      <w:b w:val="0"/>
                      <w:bCs w:val="0"/>
                      <w:color w:val="auto"/>
                      <w:highlight w:val="none"/>
                      <w:lang w:val="en-US" w:eastAsia="zh-CN"/>
                    </w:rPr>
                  </w:pPr>
                  <w:r>
                    <w:rPr>
                      <w:rFonts w:hint="eastAsia"/>
                      <w:b w:val="0"/>
                      <w:bCs w:val="0"/>
                      <w:color w:val="auto"/>
                      <w:highlight w:val="none"/>
                      <w:lang w:val="en-US" w:eastAsia="zh-CN"/>
                    </w:rPr>
                    <w:t>固体颗粒</w:t>
                  </w:r>
                </w:p>
              </w:tc>
              <w:tc>
                <w:tcPr>
                  <w:tcW w:w="571" w:type="pct"/>
                  <w:vMerge w:val="restart"/>
                  <w:vAlign w:val="center"/>
                </w:tcPr>
                <w:p w14:paraId="0AB5CC9A">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原料库房1、2</w:t>
                  </w:r>
                </w:p>
              </w:tc>
              <w:tc>
                <w:tcPr>
                  <w:tcW w:w="580" w:type="pct"/>
                  <w:vMerge w:val="restart"/>
                  <w:vAlign w:val="center"/>
                </w:tcPr>
                <w:p w14:paraId="6B2D5316">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注塑原料，不涉及色母、光油等其他添加剂使用</w:t>
                  </w:r>
                </w:p>
              </w:tc>
            </w:tr>
            <w:tr w14:paraId="15AFD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4" w:type="pct"/>
                  <w:vMerge w:val="continue"/>
                  <w:vAlign w:val="center"/>
                </w:tcPr>
                <w:p w14:paraId="02A6D979">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right="0"/>
                    <w:textAlignment w:val="auto"/>
                    <w:rPr>
                      <w:rFonts w:hint="eastAsia"/>
                      <w:b w:val="0"/>
                      <w:bCs w:val="0"/>
                      <w:color w:val="auto"/>
                      <w:highlight w:val="none"/>
                    </w:rPr>
                  </w:pPr>
                </w:p>
              </w:tc>
              <w:tc>
                <w:tcPr>
                  <w:tcW w:w="236" w:type="pct"/>
                  <w:shd w:val="clear" w:color="auto" w:fill="auto"/>
                  <w:tcMar>
                    <w:left w:w="57" w:type="dxa"/>
                    <w:right w:w="57" w:type="dxa"/>
                  </w:tcMar>
                  <w:vAlign w:val="center"/>
                </w:tcPr>
                <w:p w14:paraId="75DA3B24">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2</w:t>
                  </w:r>
                </w:p>
              </w:tc>
              <w:tc>
                <w:tcPr>
                  <w:tcW w:w="487" w:type="pct"/>
                  <w:shd w:val="clear" w:color="auto" w:fill="auto"/>
                  <w:tcMar>
                    <w:left w:w="0" w:type="dxa"/>
                    <w:right w:w="0" w:type="dxa"/>
                  </w:tcMar>
                  <w:vAlign w:val="center"/>
                </w:tcPr>
                <w:p w14:paraId="46D67AE0">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ASA</w:t>
                  </w:r>
                </w:p>
              </w:tc>
              <w:tc>
                <w:tcPr>
                  <w:tcW w:w="621" w:type="pct"/>
                  <w:shd w:val="clear" w:color="auto" w:fill="auto"/>
                  <w:tcMar>
                    <w:left w:w="57" w:type="dxa"/>
                    <w:right w:w="57" w:type="dxa"/>
                  </w:tcMar>
                  <w:vAlign w:val="center"/>
                </w:tcPr>
                <w:p w14:paraId="70697C31">
                  <w:pPr>
                    <w:pStyle w:val="20"/>
                    <w:keepNext w:val="0"/>
                    <w:keepLines w:val="0"/>
                    <w:suppressLineNumbers w:val="0"/>
                    <w:bidi w:val="0"/>
                    <w:spacing w:before="0" w:beforeAutospacing="0" w:after="0" w:afterAutospacing="0"/>
                    <w:ind w:left="0" w:leftChars="0" w:right="0" w:rightChars="0"/>
                    <w:rPr>
                      <w:rFonts w:hint="eastAsia"/>
                      <w:b w:val="0"/>
                      <w:bCs w:val="0"/>
                      <w:color w:val="auto"/>
                      <w:highlight w:val="none"/>
                      <w:lang w:val="en-US" w:eastAsia="zh-CN"/>
                    </w:rPr>
                  </w:pPr>
                  <w:r>
                    <w:rPr>
                      <w:rFonts w:hint="eastAsia"/>
                      <w:b w:val="0"/>
                      <w:bCs w:val="0"/>
                      <w:color w:val="auto"/>
                      <w:highlight w:val="none"/>
                      <w:lang w:val="en-US" w:eastAsia="zh-CN"/>
                    </w:rPr>
                    <w:t>25kg/包</w:t>
                  </w:r>
                </w:p>
              </w:tc>
              <w:tc>
                <w:tcPr>
                  <w:tcW w:w="693" w:type="pct"/>
                  <w:shd w:val="clear" w:color="auto" w:fill="auto"/>
                  <w:tcMar>
                    <w:left w:w="57" w:type="dxa"/>
                    <w:right w:w="57" w:type="dxa"/>
                  </w:tcMar>
                  <w:vAlign w:val="center"/>
                </w:tcPr>
                <w:p w14:paraId="69784A2A">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53t</w:t>
                  </w:r>
                </w:p>
              </w:tc>
              <w:tc>
                <w:tcPr>
                  <w:tcW w:w="581" w:type="pct"/>
                  <w:shd w:val="clear" w:color="auto" w:fill="auto"/>
                  <w:tcMar>
                    <w:left w:w="57" w:type="dxa"/>
                    <w:right w:w="57" w:type="dxa"/>
                  </w:tcMar>
                  <w:vAlign w:val="center"/>
                </w:tcPr>
                <w:p w14:paraId="54F6FF3D">
                  <w:pPr>
                    <w:pStyle w:val="20"/>
                    <w:keepNext w:val="0"/>
                    <w:keepLines w:val="0"/>
                    <w:suppressLineNumbers w:val="0"/>
                    <w:bidi w:val="0"/>
                    <w:spacing w:before="0" w:beforeAutospacing="0" w:after="0" w:afterAutospacing="0"/>
                    <w:ind w:left="0" w:leftChars="0" w:right="0" w:rightChars="0"/>
                    <w:rPr>
                      <w:rFonts w:hint="default" w:eastAsia="宋体"/>
                      <w:b w:val="0"/>
                      <w:bCs w:val="0"/>
                      <w:color w:val="auto"/>
                      <w:highlight w:val="none"/>
                      <w:lang w:val="en-US" w:eastAsia="zh-CN"/>
                    </w:rPr>
                  </w:pPr>
                  <w:r>
                    <w:rPr>
                      <w:rFonts w:hint="eastAsia"/>
                      <w:color w:val="auto"/>
                      <w:highlight w:val="none"/>
                      <w:lang w:val="en-US" w:eastAsia="zh-CN"/>
                    </w:rPr>
                    <w:t>259.325t</w:t>
                  </w:r>
                </w:p>
              </w:tc>
              <w:tc>
                <w:tcPr>
                  <w:tcW w:w="666" w:type="pct"/>
                  <w:shd w:val="clear" w:color="auto" w:fill="auto"/>
                  <w:tcMar>
                    <w:left w:w="57" w:type="dxa"/>
                    <w:right w:w="57" w:type="dxa"/>
                  </w:tcMar>
                  <w:vAlign w:val="center"/>
                </w:tcPr>
                <w:p w14:paraId="7CBF6B6A">
                  <w:pPr>
                    <w:pStyle w:val="20"/>
                    <w:keepNext w:val="0"/>
                    <w:keepLines w:val="0"/>
                    <w:suppressLineNumbers w:val="0"/>
                    <w:bidi w:val="0"/>
                    <w:spacing w:before="0" w:beforeAutospacing="0" w:after="0" w:afterAutospacing="0"/>
                    <w:ind w:left="0" w:leftChars="0" w:right="0" w:rightChars="0"/>
                    <w:rPr>
                      <w:rFonts w:hint="default" w:eastAsia="宋体"/>
                      <w:b w:val="0"/>
                      <w:bCs w:val="0"/>
                      <w:color w:val="auto"/>
                      <w:highlight w:val="none"/>
                      <w:lang w:val="en-US" w:eastAsia="zh-CN"/>
                    </w:rPr>
                  </w:pPr>
                  <w:r>
                    <w:rPr>
                      <w:rFonts w:hint="eastAsia"/>
                      <w:b w:val="0"/>
                      <w:bCs w:val="0"/>
                      <w:color w:val="auto"/>
                      <w:highlight w:val="none"/>
                      <w:lang w:val="en-US" w:eastAsia="zh-CN"/>
                    </w:rPr>
                    <w:t>100</w:t>
                  </w:r>
                </w:p>
              </w:tc>
              <w:tc>
                <w:tcPr>
                  <w:tcW w:w="365" w:type="pct"/>
                  <w:vMerge w:val="continue"/>
                  <w:shd w:val="clear" w:color="auto" w:fill="auto"/>
                  <w:tcMar>
                    <w:left w:w="57" w:type="dxa"/>
                    <w:right w:w="57" w:type="dxa"/>
                  </w:tcMar>
                  <w:vAlign w:val="center"/>
                </w:tcPr>
                <w:p w14:paraId="44C89B74">
                  <w:pPr>
                    <w:pStyle w:val="20"/>
                    <w:keepNext w:val="0"/>
                    <w:keepLines w:val="0"/>
                    <w:suppressLineNumbers w:val="0"/>
                    <w:bidi w:val="0"/>
                    <w:spacing w:before="0" w:beforeAutospacing="0" w:after="0" w:afterAutospacing="0"/>
                    <w:ind w:left="0" w:leftChars="0" w:right="0" w:rightChars="0"/>
                    <w:rPr>
                      <w:rFonts w:hint="eastAsia"/>
                      <w:b w:val="0"/>
                      <w:bCs w:val="0"/>
                      <w:color w:val="auto"/>
                      <w:highlight w:val="none"/>
                      <w:lang w:val="en-US" w:eastAsia="zh-CN"/>
                    </w:rPr>
                  </w:pPr>
                </w:p>
              </w:tc>
              <w:tc>
                <w:tcPr>
                  <w:tcW w:w="571" w:type="pct"/>
                  <w:vMerge w:val="continue"/>
                  <w:shd w:val="clear" w:color="auto" w:fill="auto"/>
                  <w:vAlign w:val="center"/>
                </w:tcPr>
                <w:p w14:paraId="4AA44264">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p>
              </w:tc>
              <w:tc>
                <w:tcPr>
                  <w:tcW w:w="580" w:type="pct"/>
                  <w:vMerge w:val="continue"/>
                  <w:vAlign w:val="center"/>
                </w:tcPr>
                <w:p w14:paraId="493309CC">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p>
              </w:tc>
            </w:tr>
            <w:tr w14:paraId="029B7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4" w:type="pct"/>
                  <w:vMerge w:val="continue"/>
                  <w:vAlign w:val="center"/>
                </w:tcPr>
                <w:p w14:paraId="48908699">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right="0"/>
                    <w:textAlignment w:val="auto"/>
                    <w:rPr>
                      <w:rFonts w:hint="eastAsia"/>
                      <w:b w:val="0"/>
                      <w:bCs w:val="0"/>
                      <w:color w:val="auto"/>
                      <w:highlight w:val="none"/>
                    </w:rPr>
                  </w:pPr>
                </w:p>
              </w:tc>
              <w:tc>
                <w:tcPr>
                  <w:tcW w:w="236" w:type="pct"/>
                  <w:shd w:val="clear" w:color="auto" w:fill="auto"/>
                  <w:tcMar>
                    <w:left w:w="57" w:type="dxa"/>
                    <w:right w:w="57" w:type="dxa"/>
                  </w:tcMar>
                  <w:vAlign w:val="center"/>
                </w:tcPr>
                <w:p w14:paraId="53DFDFF8">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3</w:t>
                  </w:r>
                </w:p>
              </w:tc>
              <w:tc>
                <w:tcPr>
                  <w:tcW w:w="487" w:type="pct"/>
                  <w:shd w:val="clear" w:color="auto" w:fill="auto"/>
                  <w:tcMar>
                    <w:left w:w="0" w:type="dxa"/>
                    <w:right w:w="0" w:type="dxa"/>
                  </w:tcMar>
                  <w:vAlign w:val="center"/>
                </w:tcPr>
                <w:p w14:paraId="6EE8F5EC">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PP</w:t>
                  </w:r>
                </w:p>
              </w:tc>
              <w:tc>
                <w:tcPr>
                  <w:tcW w:w="621" w:type="pct"/>
                  <w:shd w:val="clear" w:color="auto" w:fill="auto"/>
                  <w:tcMar>
                    <w:left w:w="57" w:type="dxa"/>
                    <w:right w:w="57" w:type="dxa"/>
                  </w:tcMar>
                  <w:vAlign w:val="center"/>
                </w:tcPr>
                <w:p w14:paraId="34C8148F">
                  <w:pPr>
                    <w:pStyle w:val="20"/>
                    <w:keepNext w:val="0"/>
                    <w:keepLines w:val="0"/>
                    <w:suppressLineNumbers w:val="0"/>
                    <w:bidi w:val="0"/>
                    <w:spacing w:before="0" w:beforeAutospacing="0" w:after="0" w:afterAutospacing="0"/>
                    <w:ind w:left="0" w:leftChars="0" w:right="0" w:rightChars="0"/>
                    <w:rPr>
                      <w:rFonts w:hint="eastAsia"/>
                      <w:b w:val="0"/>
                      <w:bCs w:val="0"/>
                      <w:color w:val="auto"/>
                      <w:highlight w:val="none"/>
                      <w:lang w:val="en-US" w:eastAsia="zh-CN"/>
                    </w:rPr>
                  </w:pPr>
                  <w:r>
                    <w:rPr>
                      <w:rFonts w:hint="eastAsia"/>
                      <w:b w:val="0"/>
                      <w:bCs w:val="0"/>
                      <w:color w:val="auto"/>
                      <w:highlight w:val="none"/>
                      <w:lang w:val="en-US" w:eastAsia="zh-CN"/>
                    </w:rPr>
                    <w:t>25kg/包</w:t>
                  </w:r>
                </w:p>
              </w:tc>
              <w:tc>
                <w:tcPr>
                  <w:tcW w:w="693" w:type="pct"/>
                  <w:shd w:val="clear" w:color="auto" w:fill="auto"/>
                  <w:tcMar>
                    <w:left w:w="57" w:type="dxa"/>
                    <w:right w:w="57" w:type="dxa"/>
                  </w:tcMar>
                  <w:vAlign w:val="center"/>
                </w:tcPr>
                <w:p w14:paraId="1E0079BB">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11.5t</w:t>
                  </w:r>
                </w:p>
              </w:tc>
              <w:tc>
                <w:tcPr>
                  <w:tcW w:w="581" w:type="pct"/>
                  <w:shd w:val="clear" w:color="auto" w:fill="auto"/>
                  <w:tcMar>
                    <w:left w:w="57" w:type="dxa"/>
                    <w:right w:w="57" w:type="dxa"/>
                  </w:tcMar>
                  <w:vAlign w:val="center"/>
                </w:tcPr>
                <w:p w14:paraId="57843139">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color w:val="auto"/>
                      <w:highlight w:val="none"/>
                      <w:lang w:val="en-US" w:eastAsia="zh-CN"/>
                    </w:rPr>
                    <w:t>188.973t</w:t>
                  </w:r>
                </w:p>
              </w:tc>
              <w:tc>
                <w:tcPr>
                  <w:tcW w:w="666" w:type="pct"/>
                  <w:shd w:val="clear" w:color="auto" w:fill="auto"/>
                  <w:tcMar>
                    <w:left w:w="57" w:type="dxa"/>
                    <w:right w:w="57" w:type="dxa"/>
                  </w:tcMar>
                  <w:vAlign w:val="center"/>
                </w:tcPr>
                <w:p w14:paraId="04D9B14A">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100</w:t>
                  </w:r>
                </w:p>
              </w:tc>
              <w:tc>
                <w:tcPr>
                  <w:tcW w:w="365" w:type="pct"/>
                  <w:vMerge w:val="continue"/>
                  <w:shd w:val="clear" w:color="auto" w:fill="auto"/>
                  <w:tcMar>
                    <w:left w:w="57" w:type="dxa"/>
                    <w:right w:w="57" w:type="dxa"/>
                  </w:tcMar>
                  <w:vAlign w:val="center"/>
                </w:tcPr>
                <w:p w14:paraId="2216725D">
                  <w:pPr>
                    <w:pStyle w:val="20"/>
                    <w:keepNext w:val="0"/>
                    <w:keepLines w:val="0"/>
                    <w:suppressLineNumbers w:val="0"/>
                    <w:bidi w:val="0"/>
                    <w:spacing w:before="0" w:beforeAutospacing="0" w:after="0" w:afterAutospacing="0"/>
                    <w:ind w:left="0" w:leftChars="0" w:right="0" w:rightChars="0"/>
                    <w:rPr>
                      <w:rFonts w:hint="eastAsia"/>
                      <w:b w:val="0"/>
                      <w:bCs w:val="0"/>
                      <w:color w:val="auto"/>
                      <w:highlight w:val="none"/>
                      <w:lang w:val="en-US" w:eastAsia="zh-CN"/>
                    </w:rPr>
                  </w:pPr>
                </w:p>
              </w:tc>
              <w:tc>
                <w:tcPr>
                  <w:tcW w:w="571" w:type="pct"/>
                  <w:vMerge w:val="continue"/>
                  <w:shd w:val="clear" w:color="auto" w:fill="auto"/>
                  <w:vAlign w:val="center"/>
                </w:tcPr>
                <w:p w14:paraId="4DD6EFD6">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p>
              </w:tc>
              <w:tc>
                <w:tcPr>
                  <w:tcW w:w="580" w:type="pct"/>
                  <w:vMerge w:val="continue"/>
                  <w:vAlign w:val="center"/>
                </w:tcPr>
                <w:p w14:paraId="69828062">
                  <w:pPr>
                    <w:pStyle w:val="20"/>
                    <w:keepNext w:val="0"/>
                    <w:keepLines w:val="0"/>
                    <w:suppressLineNumbers w:val="0"/>
                    <w:bidi w:val="0"/>
                    <w:spacing w:before="0" w:beforeAutospacing="0" w:after="0" w:afterAutospacing="0"/>
                    <w:ind w:left="0" w:leftChars="0" w:right="0" w:rightChars="0"/>
                    <w:rPr>
                      <w:rFonts w:hint="eastAsia"/>
                      <w:b w:val="0"/>
                      <w:bCs w:val="0"/>
                      <w:color w:val="auto"/>
                      <w:highlight w:val="none"/>
                      <w:lang w:val="en-US" w:eastAsia="zh-CN"/>
                    </w:rPr>
                  </w:pPr>
                </w:p>
              </w:tc>
            </w:tr>
            <w:tr w14:paraId="17439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4" w:type="pct"/>
                  <w:vMerge w:val="continue"/>
                  <w:vAlign w:val="center"/>
                </w:tcPr>
                <w:p w14:paraId="2FFC04A8">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right="0"/>
                    <w:textAlignment w:val="auto"/>
                    <w:rPr>
                      <w:rFonts w:hint="eastAsia"/>
                      <w:b w:val="0"/>
                      <w:bCs w:val="0"/>
                      <w:color w:val="auto"/>
                      <w:highlight w:val="none"/>
                    </w:rPr>
                  </w:pPr>
                </w:p>
              </w:tc>
              <w:tc>
                <w:tcPr>
                  <w:tcW w:w="236" w:type="pct"/>
                  <w:shd w:val="clear" w:color="auto" w:fill="auto"/>
                  <w:tcMar>
                    <w:left w:w="57" w:type="dxa"/>
                    <w:right w:w="57" w:type="dxa"/>
                  </w:tcMar>
                  <w:vAlign w:val="center"/>
                </w:tcPr>
                <w:p w14:paraId="054A527B">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4</w:t>
                  </w:r>
                </w:p>
              </w:tc>
              <w:tc>
                <w:tcPr>
                  <w:tcW w:w="487" w:type="pct"/>
                  <w:shd w:val="clear" w:color="auto" w:fill="auto"/>
                  <w:tcMar>
                    <w:left w:w="0" w:type="dxa"/>
                    <w:right w:w="0" w:type="dxa"/>
                  </w:tcMar>
                  <w:vAlign w:val="center"/>
                </w:tcPr>
                <w:p w14:paraId="737AB877">
                  <w:pPr>
                    <w:pStyle w:val="20"/>
                    <w:keepNext w:val="0"/>
                    <w:keepLines w:val="0"/>
                    <w:suppressLineNumbers w:val="0"/>
                    <w:bidi w:val="0"/>
                    <w:spacing w:before="0" w:beforeAutospacing="0" w:after="0" w:afterAutospacing="0"/>
                    <w:ind w:left="0" w:leftChars="0" w:right="0" w:rightChars="0"/>
                    <w:rPr>
                      <w:rFonts w:hint="eastAsia" w:eastAsia="宋体"/>
                      <w:b w:val="0"/>
                      <w:bCs w:val="0"/>
                      <w:color w:val="auto"/>
                      <w:highlight w:val="none"/>
                      <w:lang w:val="en-US" w:eastAsia="zh-CN"/>
                    </w:rPr>
                  </w:pPr>
                  <w:r>
                    <w:rPr>
                      <w:rFonts w:hint="eastAsia"/>
                      <w:b w:val="0"/>
                      <w:bCs w:val="0"/>
                      <w:color w:val="auto"/>
                      <w:highlight w:val="none"/>
                      <w:lang w:val="en-US" w:eastAsia="zh-CN"/>
                    </w:rPr>
                    <w:t>纸箱</w:t>
                  </w:r>
                </w:p>
              </w:tc>
              <w:tc>
                <w:tcPr>
                  <w:tcW w:w="621" w:type="pct"/>
                  <w:shd w:val="clear" w:color="auto" w:fill="auto"/>
                  <w:tcMar>
                    <w:left w:w="57" w:type="dxa"/>
                    <w:right w:w="57" w:type="dxa"/>
                  </w:tcMar>
                  <w:vAlign w:val="center"/>
                </w:tcPr>
                <w:p w14:paraId="65865400">
                  <w:pPr>
                    <w:pStyle w:val="20"/>
                    <w:keepNext w:val="0"/>
                    <w:keepLines w:val="0"/>
                    <w:suppressLineNumbers w:val="0"/>
                    <w:bidi w:val="0"/>
                    <w:spacing w:before="0" w:beforeAutospacing="0" w:after="0" w:afterAutospacing="0"/>
                    <w:ind w:left="0" w:leftChars="0" w:right="0" w:rightChars="0"/>
                    <w:rPr>
                      <w:rFonts w:hint="eastAsia"/>
                      <w:b w:val="0"/>
                      <w:bCs w:val="0"/>
                      <w:color w:val="auto"/>
                      <w:highlight w:val="none"/>
                      <w:lang w:val="en-US" w:eastAsia="zh-CN"/>
                    </w:rPr>
                  </w:pPr>
                  <w:r>
                    <w:rPr>
                      <w:rFonts w:hint="eastAsia"/>
                      <w:b w:val="0"/>
                      <w:bCs w:val="0"/>
                      <w:color w:val="auto"/>
                      <w:highlight w:val="none"/>
                      <w:lang w:val="en-US" w:eastAsia="zh-CN"/>
                    </w:rPr>
                    <w:t>/</w:t>
                  </w:r>
                </w:p>
              </w:tc>
              <w:tc>
                <w:tcPr>
                  <w:tcW w:w="693" w:type="pct"/>
                  <w:shd w:val="clear" w:color="auto" w:fill="auto"/>
                  <w:tcMar>
                    <w:left w:w="57" w:type="dxa"/>
                    <w:right w:w="57" w:type="dxa"/>
                  </w:tcMar>
                  <w:vAlign w:val="center"/>
                </w:tcPr>
                <w:p w14:paraId="3FCC9AAB">
                  <w:pPr>
                    <w:pStyle w:val="20"/>
                    <w:keepNext w:val="0"/>
                    <w:keepLines w:val="0"/>
                    <w:suppressLineNumbers w:val="0"/>
                    <w:bidi w:val="0"/>
                    <w:spacing w:before="0" w:beforeAutospacing="0" w:after="0" w:afterAutospacing="0"/>
                    <w:ind w:left="0" w:leftChars="0" w:right="0" w:rightChars="0"/>
                    <w:rPr>
                      <w:rFonts w:hint="default" w:eastAsia="宋体"/>
                      <w:b w:val="0"/>
                      <w:bCs w:val="0"/>
                      <w:color w:val="auto"/>
                      <w:highlight w:val="none"/>
                      <w:lang w:val="en-US" w:eastAsia="zh-CN"/>
                    </w:rPr>
                  </w:pPr>
                  <w:r>
                    <w:rPr>
                      <w:rFonts w:hint="eastAsia"/>
                      <w:b w:val="0"/>
                      <w:bCs w:val="0"/>
                      <w:color w:val="auto"/>
                      <w:highlight w:val="none"/>
                      <w:lang w:val="en-US" w:eastAsia="zh-CN"/>
                    </w:rPr>
                    <w:t>24000张</w:t>
                  </w:r>
                </w:p>
              </w:tc>
              <w:tc>
                <w:tcPr>
                  <w:tcW w:w="581" w:type="pct"/>
                  <w:shd w:val="clear" w:color="auto" w:fill="auto"/>
                  <w:tcMar>
                    <w:left w:w="57" w:type="dxa"/>
                    <w:right w:w="57" w:type="dxa"/>
                  </w:tcMar>
                  <w:vAlign w:val="center"/>
                </w:tcPr>
                <w:p w14:paraId="1D629A30">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100000张</w:t>
                  </w:r>
                </w:p>
              </w:tc>
              <w:tc>
                <w:tcPr>
                  <w:tcW w:w="666" w:type="pct"/>
                  <w:shd w:val="clear" w:color="auto" w:fill="auto"/>
                  <w:tcMar>
                    <w:left w:w="57" w:type="dxa"/>
                    <w:right w:w="57" w:type="dxa"/>
                  </w:tcMar>
                  <w:vAlign w:val="center"/>
                </w:tcPr>
                <w:p w14:paraId="73AB83D2">
                  <w:pPr>
                    <w:pStyle w:val="20"/>
                    <w:keepNext w:val="0"/>
                    <w:keepLines w:val="0"/>
                    <w:suppressLineNumbers w:val="0"/>
                    <w:bidi w:val="0"/>
                    <w:spacing w:before="0" w:beforeAutospacing="0" w:after="0" w:afterAutospacing="0"/>
                    <w:ind w:left="0" w:leftChars="0" w:right="0" w:rightChars="0"/>
                    <w:rPr>
                      <w:rFonts w:hint="default" w:eastAsia="宋体"/>
                      <w:b w:val="0"/>
                      <w:bCs w:val="0"/>
                      <w:color w:val="auto"/>
                      <w:highlight w:val="none"/>
                      <w:lang w:val="en-US" w:eastAsia="zh-CN"/>
                    </w:rPr>
                  </w:pPr>
                  <w:r>
                    <w:rPr>
                      <w:rFonts w:hint="eastAsia"/>
                      <w:b w:val="0"/>
                      <w:bCs w:val="0"/>
                      <w:color w:val="auto"/>
                      <w:highlight w:val="none"/>
                      <w:lang w:val="en-US" w:eastAsia="zh-CN"/>
                    </w:rPr>
                    <w:t>10000张</w:t>
                  </w:r>
                </w:p>
              </w:tc>
              <w:tc>
                <w:tcPr>
                  <w:tcW w:w="365" w:type="pct"/>
                  <w:shd w:val="clear" w:color="auto" w:fill="auto"/>
                  <w:tcMar>
                    <w:left w:w="57" w:type="dxa"/>
                    <w:right w:w="57" w:type="dxa"/>
                  </w:tcMar>
                  <w:vAlign w:val="center"/>
                </w:tcPr>
                <w:p w14:paraId="177B80FB">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固态</w:t>
                  </w:r>
                </w:p>
              </w:tc>
              <w:tc>
                <w:tcPr>
                  <w:tcW w:w="571" w:type="pct"/>
                  <w:shd w:val="clear" w:color="auto" w:fill="auto"/>
                  <w:vAlign w:val="center"/>
                </w:tcPr>
                <w:p w14:paraId="14653A8F">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辅料库房</w:t>
                  </w:r>
                </w:p>
              </w:tc>
              <w:tc>
                <w:tcPr>
                  <w:tcW w:w="580" w:type="pct"/>
                  <w:vAlign w:val="center"/>
                </w:tcPr>
                <w:p w14:paraId="14D4837B">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包装</w:t>
                  </w:r>
                </w:p>
              </w:tc>
            </w:tr>
            <w:tr w14:paraId="7DE90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4" w:type="pct"/>
                  <w:vMerge w:val="continue"/>
                  <w:vAlign w:val="center"/>
                </w:tcPr>
                <w:p w14:paraId="030C5B45">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right="0"/>
                    <w:textAlignment w:val="auto"/>
                    <w:rPr>
                      <w:rFonts w:hint="eastAsia"/>
                      <w:b w:val="0"/>
                      <w:bCs w:val="0"/>
                      <w:color w:val="auto"/>
                      <w:highlight w:val="none"/>
                    </w:rPr>
                  </w:pPr>
                </w:p>
              </w:tc>
              <w:tc>
                <w:tcPr>
                  <w:tcW w:w="236" w:type="pct"/>
                  <w:shd w:val="clear" w:color="auto" w:fill="auto"/>
                  <w:tcMar>
                    <w:left w:w="57" w:type="dxa"/>
                    <w:right w:w="57" w:type="dxa"/>
                  </w:tcMar>
                  <w:vAlign w:val="center"/>
                </w:tcPr>
                <w:p w14:paraId="65B91DB2">
                  <w:pPr>
                    <w:pStyle w:val="20"/>
                    <w:keepNext w:val="0"/>
                    <w:keepLines w:val="0"/>
                    <w:suppressLineNumbers w:val="0"/>
                    <w:bidi w:val="0"/>
                    <w:spacing w:before="0" w:beforeAutospacing="0" w:after="0" w:afterAutospacing="0"/>
                    <w:ind w:left="0" w:leftChars="0" w:right="0" w:rightChars="0"/>
                    <w:rPr>
                      <w:rFonts w:hint="eastAsia" w:ascii="Times New Roman" w:hAnsi="Times New Roman" w:eastAsia="宋体" w:cs="宋体"/>
                      <w:b w:val="0"/>
                      <w:bCs w:val="0"/>
                      <w:color w:val="auto"/>
                      <w:kern w:val="2"/>
                      <w:sz w:val="21"/>
                      <w:szCs w:val="21"/>
                      <w:highlight w:val="none"/>
                      <w:lang w:val="en-US" w:eastAsia="zh-CN" w:bidi="ar-SA"/>
                    </w:rPr>
                  </w:pPr>
                  <w:r>
                    <w:rPr>
                      <w:rFonts w:hint="eastAsia"/>
                      <w:b w:val="0"/>
                      <w:bCs w:val="0"/>
                      <w:color w:val="auto"/>
                      <w:highlight w:val="none"/>
                      <w:lang w:val="en-US" w:eastAsia="zh-CN"/>
                    </w:rPr>
                    <w:t>5</w:t>
                  </w:r>
                </w:p>
              </w:tc>
              <w:tc>
                <w:tcPr>
                  <w:tcW w:w="487" w:type="pct"/>
                  <w:shd w:val="clear" w:color="auto" w:fill="auto"/>
                  <w:tcMar>
                    <w:left w:w="0" w:type="dxa"/>
                    <w:right w:w="0" w:type="dxa"/>
                  </w:tcMar>
                  <w:vAlign w:val="center"/>
                </w:tcPr>
                <w:p w14:paraId="52C70DA9">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其他包装材料</w:t>
                  </w:r>
                </w:p>
              </w:tc>
              <w:tc>
                <w:tcPr>
                  <w:tcW w:w="621" w:type="pct"/>
                  <w:shd w:val="clear" w:color="auto" w:fill="auto"/>
                  <w:tcMar>
                    <w:left w:w="57" w:type="dxa"/>
                    <w:right w:w="57" w:type="dxa"/>
                  </w:tcMar>
                  <w:vAlign w:val="center"/>
                </w:tcPr>
                <w:p w14:paraId="2FAA5F47">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w:t>
                  </w:r>
                </w:p>
              </w:tc>
              <w:tc>
                <w:tcPr>
                  <w:tcW w:w="693" w:type="pct"/>
                  <w:shd w:val="clear" w:color="auto" w:fill="auto"/>
                  <w:tcMar>
                    <w:left w:w="57" w:type="dxa"/>
                    <w:right w:w="57" w:type="dxa"/>
                  </w:tcMar>
                  <w:vAlign w:val="center"/>
                </w:tcPr>
                <w:p w14:paraId="0F0A1683">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1t</w:t>
                  </w:r>
                </w:p>
              </w:tc>
              <w:tc>
                <w:tcPr>
                  <w:tcW w:w="581" w:type="pct"/>
                  <w:shd w:val="clear" w:color="auto" w:fill="auto"/>
                  <w:tcMar>
                    <w:left w:w="57" w:type="dxa"/>
                    <w:right w:w="57" w:type="dxa"/>
                  </w:tcMar>
                  <w:vAlign w:val="center"/>
                </w:tcPr>
                <w:p w14:paraId="510BD042">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5t</w:t>
                  </w:r>
                </w:p>
              </w:tc>
              <w:tc>
                <w:tcPr>
                  <w:tcW w:w="666" w:type="pct"/>
                  <w:shd w:val="clear" w:color="auto" w:fill="auto"/>
                  <w:tcMar>
                    <w:left w:w="57" w:type="dxa"/>
                    <w:right w:w="57" w:type="dxa"/>
                  </w:tcMar>
                  <w:vAlign w:val="center"/>
                </w:tcPr>
                <w:p w14:paraId="19E13F35">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1t</w:t>
                  </w:r>
                </w:p>
              </w:tc>
              <w:tc>
                <w:tcPr>
                  <w:tcW w:w="365" w:type="pct"/>
                  <w:shd w:val="clear" w:color="auto" w:fill="auto"/>
                  <w:tcMar>
                    <w:left w:w="57" w:type="dxa"/>
                    <w:right w:w="57" w:type="dxa"/>
                  </w:tcMar>
                  <w:vAlign w:val="center"/>
                </w:tcPr>
                <w:p w14:paraId="0FC290CF">
                  <w:pPr>
                    <w:pStyle w:val="20"/>
                    <w:keepNext w:val="0"/>
                    <w:keepLines w:val="0"/>
                    <w:suppressLineNumbers w:val="0"/>
                    <w:bidi w:val="0"/>
                    <w:spacing w:before="0" w:beforeAutospacing="0" w:after="0" w:afterAutospacing="0"/>
                    <w:ind w:left="0" w:leftChars="0" w:right="0" w:rightChars="0"/>
                    <w:rPr>
                      <w:rFonts w:hint="eastAsia" w:ascii="Times New Roman" w:hAnsi="Times New Roman" w:eastAsia="宋体" w:cs="宋体"/>
                      <w:b w:val="0"/>
                      <w:bCs w:val="0"/>
                      <w:color w:val="auto"/>
                      <w:kern w:val="2"/>
                      <w:sz w:val="21"/>
                      <w:szCs w:val="21"/>
                      <w:highlight w:val="none"/>
                      <w:lang w:val="en-US" w:eastAsia="zh-CN" w:bidi="ar-SA"/>
                    </w:rPr>
                  </w:pPr>
                  <w:r>
                    <w:rPr>
                      <w:rFonts w:hint="eastAsia"/>
                      <w:b w:val="0"/>
                      <w:bCs w:val="0"/>
                      <w:color w:val="auto"/>
                      <w:highlight w:val="none"/>
                      <w:lang w:val="en-US" w:eastAsia="zh-CN"/>
                    </w:rPr>
                    <w:t>固态</w:t>
                  </w:r>
                </w:p>
              </w:tc>
              <w:tc>
                <w:tcPr>
                  <w:tcW w:w="571" w:type="pct"/>
                  <w:shd w:val="clear" w:color="auto" w:fill="auto"/>
                  <w:vAlign w:val="center"/>
                </w:tcPr>
                <w:p w14:paraId="698B3275">
                  <w:pPr>
                    <w:pStyle w:val="20"/>
                    <w:keepNext w:val="0"/>
                    <w:keepLines w:val="0"/>
                    <w:suppressLineNumbers w:val="0"/>
                    <w:bidi w:val="0"/>
                    <w:spacing w:before="0" w:beforeAutospacing="0" w:after="0" w:afterAutospacing="0"/>
                    <w:ind w:left="0" w:leftChars="0" w:right="0" w:rightChars="0"/>
                    <w:rPr>
                      <w:rFonts w:hint="eastAsia" w:ascii="Times New Roman" w:hAnsi="Times New Roman" w:eastAsia="宋体" w:cs="宋体"/>
                      <w:b w:val="0"/>
                      <w:bCs w:val="0"/>
                      <w:color w:val="auto"/>
                      <w:kern w:val="2"/>
                      <w:sz w:val="21"/>
                      <w:szCs w:val="21"/>
                      <w:highlight w:val="none"/>
                      <w:lang w:val="en-US" w:eastAsia="zh-CN" w:bidi="ar-SA"/>
                    </w:rPr>
                  </w:pPr>
                  <w:r>
                    <w:rPr>
                      <w:rFonts w:hint="eastAsia"/>
                      <w:b w:val="0"/>
                      <w:bCs w:val="0"/>
                      <w:color w:val="auto"/>
                      <w:highlight w:val="none"/>
                      <w:lang w:val="en-US" w:eastAsia="zh-CN"/>
                    </w:rPr>
                    <w:t>辅料库房</w:t>
                  </w:r>
                </w:p>
              </w:tc>
              <w:tc>
                <w:tcPr>
                  <w:tcW w:w="580" w:type="pct"/>
                  <w:shd w:val="clear" w:color="auto" w:fill="auto"/>
                  <w:vAlign w:val="center"/>
                </w:tcPr>
                <w:p w14:paraId="40E49D70">
                  <w:pPr>
                    <w:pStyle w:val="20"/>
                    <w:keepNext w:val="0"/>
                    <w:keepLines w:val="0"/>
                    <w:suppressLineNumbers w:val="0"/>
                    <w:bidi w:val="0"/>
                    <w:spacing w:before="0" w:beforeAutospacing="0" w:after="0" w:afterAutospacing="0"/>
                    <w:ind w:left="0" w:leftChars="0" w:right="0" w:rightChars="0"/>
                    <w:rPr>
                      <w:rFonts w:hint="eastAsia" w:ascii="Times New Roman" w:hAnsi="Times New Roman" w:eastAsia="宋体" w:cs="宋体"/>
                      <w:b w:val="0"/>
                      <w:bCs w:val="0"/>
                      <w:color w:val="auto"/>
                      <w:kern w:val="2"/>
                      <w:sz w:val="21"/>
                      <w:szCs w:val="21"/>
                      <w:highlight w:val="none"/>
                      <w:lang w:val="en-US" w:eastAsia="zh-CN" w:bidi="ar-SA"/>
                    </w:rPr>
                  </w:pPr>
                  <w:r>
                    <w:rPr>
                      <w:rFonts w:hint="eastAsia"/>
                      <w:b w:val="0"/>
                      <w:bCs w:val="0"/>
                      <w:color w:val="auto"/>
                      <w:highlight w:val="none"/>
                      <w:lang w:val="en-US" w:eastAsia="zh-CN"/>
                    </w:rPr>
                    <w:t>包装</w:t>
                  </w:r>
                </w:p>
              </w:tc>
            </w:tr>
            <w:tr w14:paraId="5B065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4" w:type="pct"/>
                  <w:vMerge w:val="continue"/>
                  <w:vAlign w:val="center"/>
                </w:tcPr>
                <w:p w14:paraId="4BE692DA">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right="0"/>
                    <w:textAlignment w:val="auto"/>
                    <w:rPr>
                      <w:rFonts w:hint="eastAsia"/>
                      <w:b w:val="0"/>
                      <w:bCs w:val="0"/>
                      <w:color w:val="auto"/>
                      <w:highlight w:val="none"/>
                    </w:rPr>
                  </w:pPr>
                </w:p>
              </w:tc>
              <w:tc>
                <w:tcPr>
                  <w:tcW w:w="236" w:type="pct"/>
                  <w:shd w:val="clear" w:color="auto" w:fill="auto"/>
                  <w:tcMar>
                    <w:left w:w="57" w:type="dxa"/>
                    <w:right w:w="57" w:type="dxa"/>
                  </w:tcMar>
                  <w:vAlign w:val="center"/>
                </w:tcPr>
                <w:p w14:paraId="21CE38FE">
                  <w:pPr>
                    <w:pStyle w:val="20"/>
                    <w:keepNext w:val="0"/>
                    <w:keepLines w:val="0"/>
                    <w:suppressLineNumbers w:val="0"/>
                    <w:bidi w:val="0"/>
                    <w:spacing w:before="0" w:beforeAutospacing="0" w:after="0" w:afterAutospacing="0"/>
                    <w:ind w:left="0" w:leftChars="0" w:right="0" w:rightChars="0"/>
                    <w:rPr>
                      <w:rFonts w:hint="default" w:ascii="Times New Roman" w:hAnsi="Times New Roman" w:eastAsia="宋体" w:cs="宋体"/>
                      <w:b w:val="0"/>
                      <w:bCs w:val="0"/>
                      <w:color w:val="auto"/>
                      <w:kern w:val="2"/>
                      <w:sz w:val="21"/>
                      <w:szCs w:val="21"/>
                      <w:highlight w:val="none"/>
                      <w:lang w:val="en-US" w:eastAsia="zh-CN" w:bidi="ar-SA"/>
                    </w:rPr>
                  </w:pPr>
                  <w:r>
                    <w:rPr>
                      <w:rFonts w:hint="eastAsia"/>
                      <w:b w:val="0"/>
                      <w:bCs w:val="0"/>
                      <w:color w:val="auto"/>
                      <w:highlight w:val="none"/>
                      <w:lang w:val="en-US" w:eastAsia="zh-CN"/>
                    </w:rPr>
                    <w:t>6</w:t>
                  </w:r>
                </w:p>
              </w:tc>
              <w:tc>
                <w:tcPr>
                  <w:tcW w:w="487" w:type="pct"/>
                  <w:shd w:val="clear" w:color="auto" w:fill="auto"/>
                  <w:tcMar>
                    <w:left w:w="0" w:type="dxa"/>
                    <w:right w:w="0" w:type="dxa"/>
                  </w:tcMar>
                  <w:vAlign w:val="center"/>
                </w:tcPr>
                <w:p w14:paraId="7D04E6D0">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清洗剂</w:t>
                  </w:r>
                </w:p>
              </w:tc>
              <w:tc>
                <w:tcPr>
                  <w:tcW w:w="621" w:type="pct"/>
                  <w:vMerge w:val="restart"/>
                  <w:shd w:val="clear" w:color="auto" w:fill="auto"/>
                  <w:tcMar>
                    <w:left w:w="57" w:type="dxa"/>
                    <w:right w:w="57" w:type="dxa"/>
                  </w:tcMar>
                  <w:vAlign w:val="center"/>
                </w:tcPr>
                <w:p w14:paraId="45E1D07C">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450mL/瓶，净含量约300g</w:t>
                  </w:r>
                </w:p>
              </w:tc>
              <w:tc>
                <w:tcPr>
                  <w:tcW w:w="693" w:type="pct"/>
                  <w:shd w:val="clear" w:color="auto" w:fill="auto"/>
                  <w:tcMar>
                    <w:left w:w="57" w:type="dxa"/>
                    <w:right w:w="57" w:type="dxa"/>
                  </w:tcMar>
                  <w:vAlign w:val="center"/>
                </w:tcPr>
                <w:p w14:paraId="3E090EC2">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36瓶</w:t>
                  </w:r>
                  <w:r>
                    <w:rPr>
                      <w:rFonts w:hint="eastAsia"/>
                      <w:b w:val="0"/>
                      <w:bCs w:val="0"/>
                      <w:color w:val="auto"/>
                      <w:highlight w:val="none"/>
                      <w:lang w:val="en-US" w:eastAsia="zh-CN"/>
                    </w:rPr>
                    <w:br w:type="textWrapping"/>
                  </w:r>
                  <w:r>
                    <w:rPr>
                      <w:rFonts w:hint="eastAsia"/>
                      <w:b w:val="0"/>
                      <w:bCs w:val="0"/>
                      <w:color w:val="auto"/>
                      <w:highlight w:val="none"/>
                      <w:lang w:val="en-US" w:eastAsia="zh-CN"/>
                    </w:rPr>
                    <w:t>（0.0108t）</w:t>
                  </w:r>
                </w:p>
              </w:tc>
              <w:tc>
                <w:tcPr>
                  <w:tcW w:w="581" w:type="pct"/>
                  <w:shd w:val="clear" w:color="auto" w:fill="auto"/>
                  <w:tcMar>
                    <w:left w:w="57" w:type="dxa"/>
                    <w:right w:w="57" w:type="dxa"/>
                  </w:tcMar>
                  <w:vAlign w:val="center"/>
                </w:tcPr>
                <w:p w14:paraId="14DCFBBD">
                  <w:pPr>
                    <w:pStyle w:val="20"/>
                    <w:keepNext w:val="0"/>
                    <w:keepLines w:val="0"/>
                    <w:suppressLineNumbers w:val="0"/>
                    <w:bidi w:val="0"/>
                    <w:spacing w:before="0" w:beforeAutospacing="0" w:after="0" w:afterAutospacing="0"/>
                    <w:ind w:left="0" w:leftChars="0" w:right="0" w:rightChars="0"/>
                    <w:rPr>
                      <w:rFonts w:hint="eastAsia" w:eastAsia="宋体"/>
                      <w:b w:val="0"/>
                      <w:bCs w:val="0"/>
                      <w:color w:val="auto"/>
                      <w:highlight w:val="none"/>
                      <w:lang w:val="en-US" w:eastAsia="zh-CN"/>
                    </w:rPr>
                  </w:pPr>
                  <w:r>
                    <w:rPr>
                      <w:rFonts w:hint="eastAsia"/>
                      <w:b w:val="0"/>
                      <w:bCs w:val="0"/>
                      <w:color w:val="auto"/>
                      <w:highlight w:val="none"/>
                      <w:lang w:val="en-US" w:eastAsia="zh-CN"/>
                    </w:rPr>
                    <w:t>270瓶</w:t>
                  </w:r>
                  <w:r>
                    <w:rPr>
                      <w:rFonts w:hint="eastAsia"/>
                      <w:b w:val="0"/>
                      <w:bCs w:val="0"/>
                      <w:color w:val="auto"/>
                      <w:highlight w:val="none"/>
                      <w:lang w:val="en-US" w:eastAsia="zh-CN"/>
                    </w:rPr>
                    <w:br w:type="textWrapping"/>
                  </w:r>
                  <w:r>
                    <w:rPr>
                      <w:rFonts w:hint="eastAsia"/>
                      <w:b w:val="0"/>
                      <w:bCs w:val="0"/>
                      <w:color w:val="auto"/>
                      <w:highlight w:val="none"/>
                      <w:lang w:val="en-US" w:eastAsia="zh-CN"/>
                    </w:rPr>
                    <w:t>（0.081t</w:t>
                  </w:r>
                  <w:r>
                    <w:rPr>
                      <w:rFonts w:hint="eastAsia"/>
                      <w:color w:val="auto"/>
                      <w:highlight w:val="none"/>
                      <w:lang w:eastAsia="zh-CN"/>
                    </w:rPr>
                    <w:t>）</w:t>
                  </w:r>
                </w:p>
              </w:tc>
              <w:tc>
                <w:tcPr>
                  <w:tcW w:w="666" w:type="pct"/>
                  <w:shd w:val="clear" w:color="auto" w:fill="auto"/>
                  <w:tcMar>
                    <w:left w:w="57" w:type="dxa"/>
                    <w:right w:w="57" w:type="dxa"/>
                  </w:tcMar>
                  <w:vAlign w:val="center"/>
                </w:tcPr>
                <w:p w14:paraId="691D85F1">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48瓶</w:t>
                  </w:r>
                  <w:r>
                    <w:rPr>
                      <w:rFonts w:hint="eastAsia"/>
                      <w:b w:val="0"/>
                      <w:bCs w:val="0"/>
                      <w:color w:val="auto"/>
                      <w:highlight w:val="none"/>
                      <w:lang w:val="en-US" w:eastAsia="zh-CN"/>
                    </w:rPr>
                    <w:br w:type="textWrapping"/>
                  </w:r>
                  <w:r>
                    <w:rPr>
                      <w:rFonts w:hint="eastAsia"/>
                      <w:b w:val="0"/>
                      <w:bCs w:val="0"/>
                      <w:color w:val="auto"/>
                      <w:highlight w:val="none"/>
                      <w:lang w:val="en-US" w:eastAsia="zh-CN"/>
                    </w:rPr>
                    <w:t>（0.0144t）</w:t>
                  </w:r>
                </w:p>
              </w:tc>
              <w:tc>
                <w:tcPr>
                  <w:tcW w:w="365" w:type="pct"/>
                  <w:vMerge w:val="restart"/>
                  <w:shd w:val="clear" w:color="auto" w:fill="auto"/>
                  <w:tcMar>
                    <w:left w:w="57" w:type="dxa"/>
                    <w:right w:w="57" w:type="dxa"/>
                  </w:tcMar>
                  <w:vAlign w:val="center"/>
                </w:tcPr>
                <w:p w14:paraId="0E5FD557">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color w:val="auto"/>
                      <w:szCs w:val="21"/>
                      <w:highlight w:val="none"/>
                    </w:rPr>
                    <w:t>喷剂</w:t>
                  </w:r>
                </w:p>
              </w:tc>
              <w:tc>
                <w:tcPr>
                  <w:tcW w:w="571" w:type="pct"/>
                  <w:shd w:val="clear" w:color="auto" w:fill="auto"/>
                  <w:vAlign w:val="center"/>
                </w:tcPr>
                <w:p w14:paraId="71F25602">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五金备件库房</w:t>
                  </w:r>
                </w:p>
              </w:tc>
              <w:tc>
                <w:tcPr>
                  <w:tcW w:w="580" w:type="pct"/>
                  <w:vAlign w:val="center"/>
                </w:tcPr>
                <w:p w14:paraId="1F185658">
                  <w:pPr>
                    <w:pStyle w:val="20"/>
                    <w:keepNext w:val="0"/>
                    <w:keepLines w:val="0"/>
                    <w:suppressLineNumbers w:val="0"/>
                    <w:bidi w:val="0"/>
                    <w:spacing w:before="0" w:beforeAutospacing="0" w:after="0" w:afterAutospacing="0"/>
                    <w:ind w:left="0" w:leftChars="0" w:right="0" w:rightChars="0"/>
                    <w:rPr>
                      <w:rFonts w:hint="default" w:eastAsia="宋体"/>
                      <w:b w:val="0"/>
                      <w:bCs w:val="0"/>
                      <w:color w:val="auto"/>
                      <w:highlight w:val="none"/>
                      <w:lang w:val="en-US" w:eastAsia="zh-CN"/>
                    </w:rPr>
                  </w:pPr>
                  <w:r>
                    <w:rPr>
                      <w:rFonts w:hint="eastAsia"/>
                      <w:b w:val="0"/>
                      <w:bCs w:val="0"/>
                      <w:color w:val="auto"/>
                      <w:highlight w:val="none"/>
                      <w:lang w:val="en-US" w:eastAsia="zh-CN"/>
                    </w:rPr>
                    <w:t>模具维护</w:t>
                  </w:r>
                </w:p>
              </w:tc>
            </w:tr>
            <w:tr w14:paraId="661B9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4" w:type="pct"/>
                  <w:vMerge w:val="continue"/>
                  <w:vAlign w:val="center"/>
                </w:tcPr>
                <w:p w14:paraId="017AEED4">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right="0"/>
                    <w:textAlignment w:val="auto"/>
                    <w:rPr>
                      <w:rFonts w:hint="eastAsia"/>
                      <w:b w:val="0"/>
                      <w:bCs w:val="0"/>
                      <w:color w:val="auto"/>
                      <w:highlight w:val="none"/>
                    </w:rPr>
                  </w:pPr>
                </w:p>
              </w:tc>
              <w:tc>
                <w:tcPr>
                  <w:tcW w:w="236" w:type="pct"/>
                  <w:shd w:val="clear" w:color="auto" w:fill="auto"/>
                  <w:tcMar>
                    <w:left w:w="57" w:type="dxa"/>
                    <w:right w:w="57" w:type="dxa"/>
                  </w:tcMar>
                  <w:vAlign w:val="center"/>
                </w:tcPr>
                <w:p w14:paraId="414506F3">
                  <w:pPr>
                    <w:pStyle w:val="20"/>
                    <w:keepNext w:val="0"/>
                    <w:keepLines w:val="0"/>
                    <w:suppressLineNumbers w:val="0"/>
                    <w:bidi w:val="0"/>
                    <w:spacing w:before="0" w:beforeAutospacing="0" w:after="0" w:afterAutospacing="0"/>
                    <w:ind w:left="0" w:leftChars="0" w:right="0" w:rightChars="0"/>
                    <w:rPr>
                      <w:rFonts w:hint="eastAsia"/>
                      <w:b w:val="0"/>
                      <w:bCs w:val="0"/>
                      <w:color w:val="auto"/>
                      <w:highlight w:val="none"/>
                      <w:lang w:val="en-US" w:eastAsia="zh-CN"/>
                    </w:rPr>
                  </w:pPr>
                  <w:r>
                    <w:rPr>
                      <w:rFonts w:hint="eastAsia"/>
                      <w:b w:val="0"/>
                      <w:bCs w:val="0"/>
                      <w:color w:val="auto"/>
                      <w:highlight w:val="none"/>
                      <w:lang w:val="en-US" w:eastAsia="zh-CN"/>
                    </w:rPr>
                    <w:t>7</w:t>
                  </w:r>
                </w:p>
              </w:tc>
              <w:tc>
                <w:tcPr>
                  <w:tcW w:w="487" w:type="pct"/>
                  <w:shd w:val="clear" w:color="auto" w:fill="auto"/>
                  <w:tcMar>
                    <w:left w:w="0" w:type="dxa"/>
                    <w:right w:w="0" w:type="dxa"/>
                  </w:tcMar>
                  <w:vAlign w:val="center"/>
                </w:tcPr>
                <w:p w14:paraId="39210DF4">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脱模剂</w:t>
                  </w:r>
                </w:p>
              </w:tc>
              <w:tc>
                <w:tcPr>
                  <w:tcW w:w="621" w:type="pct"/>
                  <w:vMerge w:val="continue"/>
                  <w:shd w:val="clear" w:color="auto" w:fill="auto"/>
                  <w:tcMar>
                    <w:left w:w="57" w:type="dxa"/>
                    <w:right w:w="57" w:type="dxa"/>
                  </w:tcMar>
                  <w:vAlign w:val="center"/>
                </w:tcPr>
                <w:p w14:paraId="048C1584">
                  <w:pPr>
                    <w:pStyle w:val="20"/>
                    <w:keepNext w:val="0"/>
                    <w:keepLines w:val="0"/>
                    <w:suppressLineNumbers w:val="0"/>
                    <w:bidi w:val="0"/>
                    <w:spacing w:before="0" w:beforeAutospacing="0" w:after="0" w:afterAutospacing="0"/>
                    <w:ind w:left="0" w:leftChars="0" w:right="0" w:rightChars="0"/>
                    <w:rPr>
                      <w:rFonts w:hint="eastAsia"/>
                      <w:b w:val="0"/>
                      <w:bCs w:val="0"/>
                      <w:color w:val="auto"/>
                      <w:highlight w:val="none"/>
                      <w:lang w:val="en-US" w:eastAsia="zh-CN"/>
                    </w:rPr>
                  </w:pPr>
                </w:p>
              </w:tc>
              <w:tc>
                <w:tcPr>
                  <w:tcW w:w="693" w:type="pct"/>
                  <w:shd w:val="clear" w:color="auto" w:fill="auto"/>
                  <w:tcMar>
                    <w:left w:w="57" w:type="dxa"/>
                    <w:right w:w="57" w:type="dxa"/>
                  </w:tcMar>
                  <w:vAlign w:val="center"/>
                </w:tcPr>
                <w:p w14:paraId="704CF075">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24瓶</w:t>
                  </w:r>
                  <w:r>
                    <w:rPr>
                      <w:rFonts w:hint="eastAsia"/>
                      <w:b w:val="0"/>
                      <w:bCs w:val="0"/>
                      <w:color w:val="auto"/>
                      <w:highlight w:val="none"/>
                      <w:lang w:val="en-US" w:eastAsia="zh-CN"/>
                    </w:rPr>
                    <w:br w:type="textWrapping"/>
                  </w:r>
                  <w:r>
                    <w:rPr>
                      <w:rFonts w:hint="eastAsia"/>
                      <w:b w:val="0"/>
                      <w:bCs w:val="0"/>
                      <w:color w:val="auto"/>
                      <w:highlight w:val="none"/>
                      <w:lang w:val="en-US" w:eastAsia="zh-CN"/>
                    </w:rPr>
                    <w:t>（0.0072t）</w:t>
                  </w:r>
                </w:p>
              </w:tc>
              <w:tc>
                <w:tcPr>
                  <w:tcW w:w="581" w:type="pct"/>
                  <w:shd w:val="clear" w:color="auto" w:fill="auto"/>
                  <w:tcMar>
                    <w:left w:w="57" w:type="dxa"/>
                    <w:right w:w="57" w:type="dxa"/>
                  </w:tcMar>
                  <w:vAlign w:val="center"/>
                </w:tcPr>
                <w:p w14:paraId="6BABAF86">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180瓶</w:t>
                  </w:r>
                  <w:r>
                    <w:rPr>
                      <w:rFonts w:hint="eastAsia"/>
                      <w:b w:val="0"/>
                      <w:bCs w:val="0"/>
                      <w:color w:val="auto"/>
                      <w:highlight w:val="none"/>
                      <w:lang w:val="en-US" w:eastAsia="zh-CN"/>
                    </w:rPr>
                    <w:br w:type="textWrapping"/>
                  </w:r>
                  <w:r>
                    <w:rPr>
                      <w:rFonts w:hint="eastAsia"/>
                      <w:b w:val="0"/>
                      <w:bCs w:val="0"/>
                      <w:color w:val="auto"/>
                      <w:highlight w:val="none"/>
                      <w:lang w:val="en-US" w:eastAsia="zh-CN"/>
                    </w:rPr>
                    <w:t>（0.054t）</w:t>
                  </w:r>
                </w:p>
              </w:tc>
              <w:tc>
                <w:tcPr>
                  <w:tcW w:w="666" w:type="pct"/>
                  <w:shd w:val="clear" w:color="auto" w:fill="auto"/>
                  <w:tcMar>
                    <w:left w:w="57" w:type="dxa"/>
                    <w:right w:w="57" w:type="dxa"/>
                  </w:tcMar>
                  <w:vAlign w:val="center"/>
                </w:tcPr>
                <w:p w14:paraId="5EBCD6BD">
                  <w:pPr>
                    <w:pStyle w:val="20"/>
                    <w:bidi w:val="0"/>
                    <w:rPr>
                      <w:rFonts w:hint="default"/>
                      <w:color w:val="auto"/>
                      <w:highlight w:val="none"/>
                      <w:lang w:val="en-US" w:eastAsia="zh-CN"/>
                    </w:rPr>
                  </w:pPr>
                  <w:r>
                    <w:rPr>
                      <w:rFonts w:hint="eastAsia"/>
                      <w:color w:val="auto"/>
                      <w:highlight w:val="none"/>
                      <w:lang w:val="en-US" w:eastAsia="zh-CN"/>
                    </w:rPr>
                    <w:t>48瓶</w:t>
                  </w:r>
                  <w:r>
                    <w:rPr>
                      <w:rFonts w:hint="eastAsia"/>
                      <w:color w:val="auto"/>
                      <w:highlight w:val="none"/>
                      <w:lang w:val="en-US" w:eastAsia="zh-CN"/>
                    </w:rPr>
                    <w:br w:type="textWrapping"/>
                  </w:r>
                  <w:r>
                    <w:rPr>
                      <w:rFonts w:hint="eastAsia"/>
                      <w:color w:val="auto"/>
                      <w:highlight w:val="none"/>
                      <w:lang w:val="en-US" w:eastAsia="zh-CN"/>
                    </w:rPr>
                    <w:t>（0.0144t）</w:t>
                  </w:r>
                </w:p>
              </w:tc>
              <w:tc>
                <w:tcPr>
                  <w:tcW w:w="365" w:type="pct"/>
                  <w:vMerge w:val="continue"/>
                  <w:shd w:val="clear" w:color="auto" w:fill="auto"/>
                  <w:tcMar>
                    <w:left w:w="57" w:type="dxa"/>
                    <w:right w:w="57" w:type="dxa"/>
                  </w:tcMar>
                  <w:vAlign w:val="center"/>
                </w:tcPr>
                <w:p w14:paraId="0E5568FC">
                  <w:pPr>
                    <w:pStyle w:val="20"/>
                    <w:keepNext w:val="0"/>
                    <w:keepLines w:val="0"/>
                    <w:suppressLineNumbers w:val="0"/>
                    <w:bidi w:val="0"/>
                    <w:spacing w:before="0" w:beforeAutospacing="0" w:after="0" w:afterAutospacing="0"/>
                    <w:ind w:left="0" w:leftChars="0" w:right="0" w:rightChars="0"/>
                    <w:rPr>
                      <w:rFonts w:hint="eastAsia"/>
                      <w:b w:val="0"/>
                      <w:bCs w:val="0"/>
                      <w:color w:val="auto"/>
                      <w:highlight w:val="none"/>
                      <w:lang w:val="en-US" w:eastAsia="zh-CN"/>
                    </w:rPr>
                  </w:pPr>
                </w:p>
              </w:tc>
              <w:tc>
                <w:tcPr>
                  <w:tcW w:w="571" w:type="pct"/>
                  <w:shd w:val="clear" w:color="auto" w:fill="auto"/>
                  <w:vAlign w:val="center"/>
                </w:tcPr>
                <w:p w14:paraId="333D8ABF">
                  <w:pPr>
                    <w:pStyle w:val="20"/>
                    <w:keepNext w:val="0"/>
                    <w:keepLines w:val="0"/>
                    <w:suppressLineNumbers w:val="0"/>
                    <w:bidi w:val="0"/>
                    <w:spacing w:before="0" w:beforeAutospacing="0" w:after="0" w:afterAutospacing="0"/>
                    <w:ind w:left="0" w:leftChars="0" w:right="0" w:rightChars="0"/>
                    <w:rPr>
                      <w:rFonts w:hint="eastAsia" w:ascii="Times New Roman" w:hAnsi="Times New Roman" w:eastAsia="宋体" w:cs="宋体"/>
                      <w:b w:val="0"/>
                      <w:bCs w:val="0"/>
                      <w:color w:val="auto"/>
                      <w:kern w:val="2"/>
                      <w:sz w:val="21"/>
                      <w:szCs w:val="21"/>
                      <w:highlight w:val="none"/>
                      <w:lang w:val="en-US" w:eastAsia="zh-CN" w:bidi="ar-SA"/>
                    </w:rPr>
                  </w:pPr>
                  <w:r>
                    <w:rPr>
                      <w:rFonts w:hint="eastAsia"/>
                      <w:b w:val="0"/>
                      <w:bCs w:val="0"/>
                      <w:color w:val="auto"/>
                      <w:highlight w:val="none"/>
                      <w:lang w:val="en-US" w:eastAsia="zh-CN"/>
                    </w:rPr>
                    <w:t>五金备件库房</w:t>
                  </w:r>
                </w:p>
              </w:tc>
              <w:tc>
                <w:tcPr>
                  <w:tcW w:w="580" w:type="pct"/>
                  <w:shd w:val="clear" w:color="auto" w:fill="auto"/>
                  <w:vAlign w:val="center"/>
                </w:tcPr>
                <w:p w14:paraId="02AC30B1">
                  <w:pPr>
                    <w:pStyle w:val="20"/>
                    <w:keepNext w:val="0"/>
                    <w:keepLines w:val="0"/>
                    <w:suppressLineNumbers w:val="0"/>
                    <w:bidi w:val="0"/>
                    <w:spacing w:before="0" w:beforeAutospacing="0" w:after="0" w:afterAutospacing="0"/>
                    <w:ind w:left="0" w:leftChars="0" w:right="0" w:rightChars="0"/>
                    <w:rPr>
                      <w:rFonts w:hint="eastAsia" w:ascii="Times New Roman" w:hAnsi="Times New Roman" w:eastAsia="宋体" w:cs="宋体"/>
                      <w:b w:val="0"/>
                      <w:bCs w:val="0"/>
                      <w:color w:val="auto"/>
                      <w:kern w:val="2"/>
                      <w:sz w:val="21"/>
                      <w:szCs w:val="21"/>
                      <w:highlight w:val="none"/>
                      <w:lang w:val="en-US" w:eastAsia="zh-CN" w:bidi="ar-SA"/>
                    </w:rPr>
                  </w:pPr>
                  <w:r>
                    <w:rPr>
                      <w:rFonts w:hint="eastAsia"/>
                      <w:b w:val="0"/>
                      <w:bCs w:val="0"/>
                      <w:color w:val="auto"/>
                      <w:highlight w:val="none"/>
                      <w:lang w:val="en-US" w:eastAsia="zh-CN"/>
                    </w:rPr>
                    <w:t>模具维护</w:t>
                  </w:r>
                </w:p>
              </w:tc>
            </w:tr>
            <w:tr w14:paraId="565CE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4" w:type="pct"/>
                  <w:vMerge w:val="continue"/>
                  <w:vAlign w:val="center"/>
                </w:tcPr>
                <w:p w14:paraId="49860957">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right="0"/>
                    <w:textAlignment w:val="auto"/>
                    <w:rPr>
                      <w:rFonts w:hint="eastAsia"/>
                      <w:b w:val="0"/>
                      <w:bCs w:val="0"/>
                      <w:color w:val="auto"/>
                      <w:highlight w:val="none"/>
                    </w:rPr>
                  </w:pPr>
                </w:p>
              </w:tc>
              <w:tc>
                <w:tcPr>
                  <w:tcW w:w="236" w:type="pct"/>
                  <w:shd w:val="clear" w:color="auto" w:fill="auto"/>
                  <w:tcMar>
                    <w:left w:w="57" w:type="dxa"/>
                    <w:right w:w="57" w:type="dxa"/>
                  </w:tcMar>
                  <w:vAlign w:val="center"/>
                </w:tcPr>
                <w:p w14:paraId="1BF3CB75">
                  <w:pPr>
                    <w:pStyle w:val="20"/>
                    <w:keepNext w:val="0"/>
                    <w:keepLines w:val="0"/>
                    <w:suppressLineNumbers w:val="0"/>
                    <w:bidi w:val="0"/>
                    <w:spacing w:before="0" w:beforeAutospacing="0" w:after="0" w:afterAutospacing="0"/>
                    <w:ind w:left="0" w:leftChars="0" w:right="0" w:rightChars="0"/>
                    <w:rPr>
                      <w:rFonts w:hint="default" w:ascii="Times New Roman" w:hAnsi="Times New Roman" w:eastAsia="宋体" w:cs="宋体"/>
                      <w:b w:val="0"/>
                      <w:bCs w:val="0"/>
                      <w:color w:val="auto"/>
                      <w:kern w:val="2"/>
                      <w:sz w:val="21"/>
                      <w:szCs w:val="21"/>
                      <w:highlight w:val="none"/>
                      <w:lang w:val="en-US" w:eastAsia="zh-CN" w:bidi="ar-SA"/>
                    </w:rPr>
                  </w:pPr>
                  <w:r>
                    <w:rPr>
                      <w:rFonts w:hint="eastAsia" w:cs="宋体"/>
                      <w:b w:val="0"/>
                      <w:bCs w:val="0"/>
                      <w:color w:val="auto"/>
                      <w:kern w:val="2"/>
                      <w:sz w:val="21"/>
                      <w:szCs w:val="21"/>
                      <w:highlight w:val="none"/>
                      <w:lang w:val="en-US" w:eastAsia="zh-CN" w:bidi="ar-SA"/>
                    </w:rPr>
                    <w:t>8</w:t>
                  </w:r>
                </w:p>
              </w:tc>
              <w:tc>
                <w:tcPr>
                  <w:tcW w:w="1109" w:type="pct"/>
                  <w:gridSpan w:val="2"/>
                  <w:shd w:val="clear" w:color="auto" w:fill="auto"/>
                  <w:tcMar>
                    <w:left w:w="0" w:type="dxa"/>
                    <w:right w:w="0" w:type="dxa"/>
                  </w:tcMar>
                  <w:vAlign w:val="center"/>
                </w:tcPr>
                <w:p w14:paraId="2891376D">
                  <w:pPr>
                    <w:pStyle w:val="20"/>
                    <w:keepNext w:val="0"/>
                    <w:keepLines w:val="0"/>
                    <w:suppressLineNumbers w:val="0"/>
                    <w:bidi w:val="0"/>
                    <w:spacing w:before="0" w:beforeAutospacing="0" w:after="0" w:afterAutospacing="0"/>
                    <w:ind w:left="0" w:leftChars="0" w:right="0" w:rightChars="0"/>
                    <w:rPr>
                      <w:rFonts w:hint="eastAsia"/>
                      <w:b w:val="0"/>
                      <w:bCs w:val="0"/>
                      <w:color w:val="auto"/>
                      <w:highlight w:val="none"/>
                      <w:lang w:val="en-US" w:eastAsia="zh-CN"/>
                    </w:rPr>
                  </w:pPr>
                  <w:r>
                    <w:rPr>
                      <w:rFonts w:hint="eastAsia"/>
                      <w:b w:val="0"/>
                      <w:bCs w:val="0"/>
                      <w:color w:val="auto"/>
                      <w:highlight w:val="none"/>
                      <w:lang w:val="en-US" w:eastAsia="zh-CN"/>
                    </w:rPr>
                    <w:t>模具配件(顶针、司筒、螺丝、导柱、导套和密封圈等）</w:t>
                  </w:r>
                </w:p>
              </w:tc>
              <w:tc>
                <w:tcPr>
                  <w:tcW w:w="693" w:type="pct"/>
                  <w:shd w:val="clear" w:color="auto" w:fill="auto"/>
                  <w:tcMar>
                    <w:left w:w="57" w:type="dxa"/>
                    <w:right w:w="57" w:type="dxa"/>
                  </w:tcMar>
                  <w:vAlign w:val="center"/>
                </w:tcPr>
                <w:p w14:paraId="61762ABF">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w:t>
                  </w:r>
                </w:p>
              </w:tc>
              <w:tc>
                <w:tcPr>
                  <w:tcW w:w="581" w:type="pct"/>
                  <w:shd w:val="clear" w:color="auto" w:fill="auto"/>
                  <w:tcMar>
                    <w:left w:w="57" w:type="dxa"/>
                    <w:right w:w="57" w:type="dxa"/>
                  </w:tcMar>
                  <w:vAlign w:val="center"/>
                </w:tcPr>
                <w:p w14:paraId="0348546C">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w:t>
                  </w:r>
                </w:p>
              </w:tc>
              <w:tc>
                <w:tcPr>
                  <w:tcW w:w="666" w:type="pct"/>
                  <w:shd w:val="clear" w:color="auto" w:fill="auto"/>
                  <w:tcMar>
                    <w:left w:w="57" w:type="dxa"/>
                    <w:right w:w="57" w:type="dxa"/>
                  </w:tcMar>
                  <w:vAlign w:val="center"/>
                </w:tcPr>
                <w:p w14:paraId="58C387A3">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w:t>
                  </w:r>
                </w:p>
              </w:tc>
              <w:tc>
                <w:tcPr>
                  <w:tcW w:w="365" w:type="pct"/>
                  <w:shd w:val="clear" w:color="auto" w:fill="auto"/>
                  <w:tcMar>
                    <w:left w:w="57" w:type="dxa"/>
                    <w:right w:w="57" w:type="dxa"/>
                  </w:tcMar>
                  <w:vAlign w:val="center"/>
                </w:tcPr>
                <w:p w14:paraId="16F44CD2">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固态</w:t>
                  </w:r>
                </w:p>
              </w:tc>
              <w:tc>
                <w:tcPr>
                  <w:tcW w:w="571" w:type="pct"/>
                  <w:shd w:val="clear" w:color="auto" w:fill="auto"/>
                  <w:vAlign w:val="center"/>
                </w:tcPr>
                <w:p w14:paraId="4D15FA05">
                  <w:pPr>
                    <w:pStyle w:val="20"/>
                    <w:keepNext w:val="0"/>
                    <w:keepLines w:val="0"/>
                    <w:suppressLineNumbers w:val="0"/>
                    <w:bidi w:val="0"/>
                    <w:spacing w:before="0" w:beforeAutospacing="0" w:after="0" w:afterAutospacing="0"/>
                    <w:ind w:left="0" w:leftChars="0" w:right="0" w:rightChars="0"/>
                    <w:rPr>
                      <w:rFonts w:hint="eastAsia"/>
                      <w:b w:val="0"/>
                      <w:bCs w:val="0"/>
                      <w:color w:val="auto"/>
                      <w:highlight w:val="none"/>
                      <w:lang w:val="en-US" w:eastAsia="zh-CN"/>
                    </w:rPr>
                  </w:pPr>
                  <w:r>
                    <w:rPr>
                      <w:rFonts w:hint="eastAsia"/>
                      <w:b w:val="0"/>
                      <w:bCs w:val="0"/>
                      <w:color w:val="auto"/>
                      <w:highlight w:val="none"/>
                      <w:lang w:val="en-US" w:eastAsia="zh-CN"/>
                    </w:rPr>
                    <w:t>五金备件库房</w:t>
                  </w:r>
                </w:p>
              </w:tc>
              <w:tc>
                <w:tcPr>
                  <w:tcW w:w="580" w:type="pct"/>
                  <w:vAlign w:val="center"/>
                </w:tcPr>
                <w:p w14:paraId="6E002B74">
                  <w:pPr>
                    <w:pStyle w:val="20"/>
                    <w:keepNext w:val="0"/>
                    <w:keepLines w:val="0"/>
                    <w:suppressLineNumbers w:val="0"/>
                    <w:bidi w:val="0"/>
                    <w:spacing w:before="0" w:beforeAutospacing="0" w:after="0" w:afterAutospacing="0"/>
                    <w:ind w:left="0" w:leftChars="0" w:right="0" w:rightChars="0"/>
                    <w:rPr>
                      <w:rFonts w:hint="default" w:eastAsia="宋体"/>
                      <w:b w:val="0"/>
                      <w:bCs w:val="0"/>
                      <w:color w:val="auto"/>
                      <w:highlight w:val="none"/>
                      <w:lang w:val="en-US" w:eastAsia="zh-CN"/>
                    </w:rPr>
                  </w:pPr>
                  <w:r>
                    <w:rPr>
                      <w:rFonts w:hint="eastAsia"/>
                      <w:color w:val="auto"/>
                      <w:szCs w:val="21"/>
                      <w:highlight w:val="none"/>
                    </w:rPr>
                    <w:t>外购成品</w:t>
                  </w:r>
                  <w:r>
                    <w:rPr>
                      <w:rFonts w:hint="eastAsia"/>
                      <w:color w:val="auto"/>
                      <w:szCs w:val="21"/>
                      <w:highlight w:val="none"/>
                      <w:lang w:eastAsia="zh-CN"/>
                    </w:rPr>
                    <w:t>，</w:t>
                  </w:r>
                  <w:r>
                    <w:rPr>
                      <w:rFonts w:hint="eastAsia"/>
                      <w:color w:val="auto"/>
                      <w:szCs w:val="21"/>
                      <w:highlight w:val="none"/>
                      <w:lang w:val="en-US" w:eastAsia="zh-CN"/>
                    </w:rPr>
                    <w:t>模具维修</w:t>
                  </w:r>
                </w:p>
              </w:tc>
            </w:tr>
            <w:tr w14:paraId="7C5B1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4" w:type="pct"/>
                  <w:vMerge w:val="continue"/>
                  <w:vAlign w:val="center"/>
                </w:tcPr>
                <w:p w14:paraId="1BD36FD0">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right="0"/>
                    <w:textAlignment w:val="auto"/>
                    <w:rPr>
                      <w:rFonts w:hint="eastAsia"/>
                      <w:b w:val="0"/>
                      <w:bCs w:val="0"/>
                      <w:color w:val="auto"/>
                      <w:highlight w:val="none"/>
                    </w:rPr>
                  </w:pPr>
                </w:p>
              </w:tc>
              <w:tc>
                <w:tcPr>
                  <w:tcW w:w="236" w:type="pct"/>
                  <w:shd w:val="clear" w:color="auto" w:fill="auto"/>
                  <w:tcMar>
                    <w:left w:w="57" w:type="dxa"/>
                    <w:right w:w="57" w:type="dxa"/>
                  </w:tcMar>
                  <w:vAlign w:val="center"/>
                </w:tcPr>
                <w:p w14:paraId="22BCD43C">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leftChars="0" w:right="0" w:rightChars="0"/>
                    <w:textAlignment w:val="auto"/>
                    <w:rPr>
                      <w:rFonts w:hint="default" w:ascii="Times New Roman" w:hAnsi="Times New Roman" w:eastAsia="宋体" w:cs="宋体"/>
                      <w:b w:val="0"/>
                      <w:bCs w:val="0"/>
                      <w:color w:val="auto"/>
                      <w:kern w:val="2"/>
                      <w:sz w:val="21"/>
                      <w:szCs w:val="21"/>
                      <w:highlight w:val="none"/>
                      <w:lang w:val="en-US" w:eastAsia="zh-CN" w:bidi="ar-SA"/>
                    </w:rPr>
                  </w:pPr>
                  <w:r>
                    <w:rPr>
                      <w:rFonts w:hint="eastAsia" w:cs="宋体"/>
                      <w:b w:val="0"/>
                      <w:bCs w:val="0"/>
                      <w:color w:val="auto"/>
                      <w:kern w:val="2"/>
                      <w:sz w:val="21"/>
                      <w:szCs w:val="21"/>
                      <w:highlight w:val="none"/>
                      <w:lang w:val="en-US" w:eastAsia="zh-CN" w:bidi="ar-SA"/>
                    </w:rPr>
                    <w:t>9</w:t>
                  </w:r>
                </w:p>
              </w:tc>
              <w:tc>
                <w:tcPr>
                  <w:tcW w:w="487" w:type="pct"/>
                  <w:shd w:val="clear" w:color="auto" w:fill="auto"/>
                  <w:tcMar>
                    <w:left w:w="0" w:type="dxa"/>
                    <w:right w:w="0" w:type="dxa"/>
                  </w:tcMar>
                  <w:vAlign w:val="center"/>
                </w:tcPr>
                <w:p w14:paraId="4EBFEECE">
                  <w:pPr>
                    <w:pStyle w:val="20"/>
                    <w:keepNext w:val="0"/>
                    <w:keepLines w:val="0"/>
                    <w:suppressLineNumbers w:val="0"/>
                    <w:bidi w:val="0"/>
                    <w:spacing w:before="0" w:beforeAutospacing="0" w:after="0" w:afterAutospacing="0"/>
                    <w:ind w:left="0" w:leftChars="0" w:right="0" w:rightChars="0"/>
                    <w:rPr>
                      <w:rFonts w:hint="eastAsia"/>
                      <w:b w:val="0"/>
                      <w:bCs w:val="0"/>
                      <w:color w:val="auto"/>
                      <w:highlight w:val="none"/>
                      <w:lang w:val="en-US" w:eastAsia="zh-CN"/>
                    </w:rPr>
                  </w:pPr>
                  <w:r>
                    <w:rPr>
                      <w:rFonts w:hint="eastAsia"/>
                      <w:color w:val="auto"/>
                      <w:szCs w:val="21"/>
                      <w:highlight w:val="none"/>
                    </w:rPr>
                    <w:t>液压油</w:t>
                  </w:r>
                </w:p>
              </w:tc>
              <w:tc>
                <w:tcPr>
                  <w:tcW w:w="621" w:type="pct"/>
                  <w:shd w:val="clear" w:color="auto" w:fill="auto"/>
                  <w:tcMar>
                    <w:left w:w="57" w:type="dxa"/>
                    <w:right w:w="57" w:type="dxa"/>
                  </w:tcMar>
                  <w:vAlign w:val="center"/>
                </w:tcPr>
                <w:p w14:paraId="13D38FA4">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170kg/桶</w:t>
                  </w:r>
                </w:p>
              </w:tc>
              <w:tc>
                <w:tcPr>
                  <w:tcW w:w="693" w:type="pct"/>
                  <w:shd w:val="clear" w:color="auto" w:fill="auto"/>
                  <w:tcMar>
                    <w:left w:w="57" w:type="dxa"/>
                    <w:right w:w="57" w:type="dxa"/>
                  </w:tcMar>
                  <w:vAlign w:val="center"/>
                </w:tcPr>
                <w:p w14:paraId="2CED7486">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0.9t/3年</w:t>
                  </w:r>
                </w:p>
              </w:tc>
              <w:tc>
                <w:tcPr>
                  <w:tcW w:w="581" w:type="pct"/>
                  <w:shd w:val="clear" w:color="auto" w:fill="auto"/>
                  <w:tcMar>
                    <w:left w:w="57" w:type="dxa"/>
                    <w:right w:w="57" w:type="dxa"/>
                  </w:tcMar>
                  <w:vAlign w:val="center"/>
                </w:tcPr>
                <w:p w14:paraId="21E16F61">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2.25t/3年</w:t>
                  </w:r>
                </w:p>
              </w:tc>
              <w:tc>
                <w:tcPr>
                  <w:tcW w:w="666" w:type="pct"/>
                  <w:shd w:val="clear" w:color="auto" w:fill="auto"/>
                  <w:tcMar>
                    <w:left w:w="57" w:type="dxa"/>
                    <w:right w:w="57" w:type="dxa"/>
                  </w:tcMar>
                  <w:vAlign w:val="center"/>
                </w:tcPr>
                <w:p w14:paraId="29861700">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0.34t</w:t>
                  </w:r>
                </w:p>
              </w:tc>
              <w:tc>
                <w:tcPr>
                  <w:tcW w:w="365" w:type="pct"/>
                  <w:shd w:val="clear" w:color="auto" w:fill="auto"/>
                  <w:tcMar>
                    <w:left w:w="57" w:type="dxa"/>
                    <w:right w:w="57" w:type="dxa"/>
                  </w:tcMar>
                  <w:vAlign w:val="center"/>
                </w:tcPr>
                <w:p w14:paraId="40D6DD2E">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液态</w:t>
                  </w:r>
                </w:p>
              </w:tc>
              <w:tc>
                <w:tcPr>
                  <w:tcW w:w="571" w:type="pct"/>
                  <w:vMerge w:val="restart"/>
                  <w:shd w:val="clear" w:color="auto" w:fill="auto"/>
                  <w:vAlign w:val="center"/>
                </w:tcPr>
                <w:p w14:paraId="1544CF36">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五金备件库房油料区</w:t>
                  </w:r>
                </w:p>
              </w:tc>
              <w:tc>
                <w:tcPr>
                  <w:tcW w:w="580" w:type="pct"/>
                  <w:vMerge w:val="restart"/>
                  <w:vAlign w:val="center"/>
                </w:tcPr>
                <w:p w14:paraId="7BBF992A">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设备维护</w:t>
                  </w:r>
                </w:p>
              </w:tc>
            </w:tr>
            <w:tr w14:paraId="62964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4" w:type="pct"/>
                  <w:vMerge w:val="continue"/>
                  <w:vAlign w:val="center"/>
                </w:tcPr>
                <w:p w14:paraId="53A605E4">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right="0"/>
                    <w:textAlignment w:val="auto"/>
                    <w:rPr>
                      <w:rFonts w:hint="eastAsia"/>
                      <w:b w:val="0"/>
                      <w:bCs w:val="0"/>
                      <w:color w:val="auto"/>
                      <w:highlight w:val="none"/>
                    </w:rPr>
                  </w:pPr>
                </w:p>
              </w:tc>
              <w:tc>
                <w:tcPr>
                  <w:tcW w:w="236" w:type="pct"/>
                  <w:shd w:val="clear" w:color="auto" w:fill="auto"/>
                  <w:tcMar>
                    <w:left w:w="57" w:type="dxa"/>
                    <w:right w:w="57" w:type="dxa"/>
                  </w:tcMar>
                  <w:vAlign w:val="center"/>
                </w:tcPr>
                <w:p w14:paraId="6855DC3E">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leftChars="0" w:right="0" w:rightChars="0"/>
                    <w:textAlignment w:val="auto"/>
                    <w:rPr>
                      <w:rFonts w:hint="default" w:ascii="Times New Roman" w:hAnsi="Times New Roman" w:eastAsia="宋体" w:cs="宋体"/>
                      <w:b w:val="0"/>
                      <w:bCs w:val="0"/>
                      <w:color w:val="auto"/>
                      <w:kern w:val="2"/>
                      <w:sz w:val="21"/>
                      <w:szCs w:val="21"/>
                      <w:highlight w:val="none"/>
                      <w:lang w:val="en-US" w:eastAsia="zh-CN" w:bidi="ar-SA"/>
                    </w:rPr>
                  </w:pPr>
                  <w:r>
                    <w:rPr>
                      <w:rFonts w:hint="eastAsia" w:cs="宋体"/>
                      <w:b w:val="0"/>
                      <w:bCs w:val="0"/>
                      <w:color w:val="auto"/>
                      <w:kern w:val="2"/>
                      <w:sz w:val="21"/>
                      <w:szCs w:val="21"/>
                      <w:highlight w:val="none"/>
                      <w:lang w:val="en-US" w:eastAsia="zh-CN" w:bidi="ar-SA"/>
                    </w:rPr>
                    <w:t>10</w:t>
                  </w:r>
                </w:p>
              </w:tc>
              <w:tc>
                <w:tcPr>
                  <w:tcW w:w="487" w:type="pct"/>
                  <w:shd w:val="clear" w:color="auto" w:fill="auto"/>
                  <w:tcMar>
                    <w:left w:w="0" w:type="dxa"/>
                    <w:right w:w="0" w:type="dxa"/>
                  </w:tcMar>
                  <w:vAlign w:val="center"/>
                </w:tcPr>
                <w:p w14:paraId="27CF893B">
                  <w:pPr>
                    <w:pStyle w:val="20"/>
                    <w:keepNext w:val="0"/>
                    <w:keepLines w:val="0"/>
                    <w:suppressLineNumbers w:val="0"/>
                    <w:bidi w:val="0"/>
                    <w:spacing w:before="0" w:beforeAutospacing="0" w:after="0" w:afterAutospacing="0"/>
                    <w:ind w:left="0" w:leftChars="0" w:right="0" w:rightChars="0"/>
                    <w:rPr>
                      <w:rFonts w:hint="eastAsia"/>
                      <w:b w:val="0"/>
                      <w:bCs w:val="0"/>
                      <w:color w:val="auto"/>
                      <w:highlight w:val="none"/>
                      <w:lang w:val="en-US" w:eastAsia="zh-CN"/>
                    </w:rPr>
                  </w:pPr>
                  <w:r>
                    <w:rPr>
                      <w:rFonts w:hint="eastAsia"/>
                      <w:color w:val="auto"/>
                      <w:szCs w:val="21"/>
                      <w:highlight w:val="none"/>
                    </w:rPr>
                    <w:t>润滑油</w:t>
                  </w:r>
                </w:p>
              </w:tc>
              <w:tc>
                <w:tcPr>
                  <w:tcW w:w="621" w:type="pct"/>
                  <w:shd w:val="clear" w:color="auto" w:fill="auto"/>
                  <w:tcMar>
                    <w:left w:w="57" w:type="dxa"/>
                    <w:right w:w="57" w:type="dxa"/>
                  </w:tcMar>
                  <w:vAlign w:val="center"/>
                </w:tcPr>
                <w:p w14:paraId="6452CF92">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20kg/桶</w:t>
                  </w:r>
                </w:p>
              </w:tc>
              <w:tc>
                <w:tcPr>
                  <w:tcW w:w="693" w:type="pct"/>
                  <w:shd w:val="clear" w:color="auto" w:fill="auto"/>
                  <w:tcMar>
                    <w:left w:w="57" w:type="dxa"/>
                    <w:right w:w="57" w:type="dxa"/>
                  </w:tcMar>
                  <w:vAlign w:val="center"/>
                </w:tcPr>
                <w:p w14:paraId="6BA09043">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0.05t</w:t>
                  </w:r>
                </w:p>
              </w:tc>
              <w:tc>
                <w:tcPr>
                  <w:tcW w:w="581" w:type="pct"/>
                  <w:shd w:val="clear" w:color="auto" w:fill="auto"/>
                  <w:tcMar>
                    <w:left w:w="57" w:type="dxa"/>
                    <w:right w:w="57" w:type="dxa"/>
                  </w:tcMar>
                  <w:vAlign w:val="center"/>
                </w:tcPr>
                <w:p w14:paraId="6E3156A0">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0.2t</w:t>
                  </w:r>
                </w:p>
              </w:tc>
              <w:tc>
                <w:tcPr>
                  <w:tcW w:w="666" w:type="pct"/>
                  <w:shd w:val="clear" w:color="auto" w:fill="auto"/>
                  <w:tcMar>
                    <w:left w:w="57" w:type="dxa"/>
                    <w:right w:w="57" w:type="dxa"/>
                  </w:tcMar>
                  <w:vAlign w:val="center"/>
                </w:tcPr>
                <w:p w14:paraId="3E4A0AF6">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0.1t</w:t>
                  </w:r>
                </w:p>
              </w:tc>
              <w:tc>
                <w:tcPr>
                  <w:tcW w:w="365" w:type="pct"/>
                  <w:shd w:val="clear" w:color="auto" w:fill="auto"/>
                  <w:tcMar>
                    <w:left w:w="57" w:type="dxa"/>
                    <w:right w:w="57" w:type="dxa"/>
                  </w:tcMar>
                  <w:vAlign w:val="center"/>
                </w:tcPr>
                <w:p w14:paraId="5AABB1BC">
                  <w:pPr>
                    <w:pStyle w:val="20"/>
                    <w:keepNext w:val="0"/>
                    <w:keepLines w:val="0"/>
                    <w:suppressLineNumbers w:val="0"/>
                    <w:bidi w:val="0"/>
                    <w:spacing w:before="0" w:beforeAutospacing="0" w:after="0" w:afterAutospacing="0"/>
                    <w:ind w:left="0" w:leftChars="0" w:right="0" w:rightChars="0"/>
                    <w:rPr>
                      <w:rFonts w:hint="eastAsia"/>
                      <w:b w:val="0"/>
                      <w:bCs w:val="0"/>
                      <w:color w:val="auto"/>
                      <w:highlight w:val="none"/>
                      <w:lang w:val="en-US" w:eastAsia="zh-CN"/>
                    </w:rPr>
                  </w:pPr>
                  <w:r>
                    <w:rPr>
                      <w:rFonts w:hint="eastAsia"/>
                      <w:b w:val="0"/>
                      <w:bCs w:val="0"/>
                      <w:color w:val="auto"/>
                      <w:highlight w:val="none"/>
                      <w:lang w:val="en-US" w:eastAsia="zh-CN"/>
                    </w:rPr>
                    <w:t>液态</w:t>
                  </w:r>
                </w:p>
              </w:tc>
              <w:tc>
                <w:tcPr>
                  <w:tcW w:w="571" w:type="pct"/>
                  <w:vMerge w:val="continue"/>
                  <w:shd w:val="clear" w:color="auto" w:fill="auto"/>
                  <w:vAlign w:val="center"/>
                </w:tcPr>
                <w:p w14:paraId="4865182D">
                  <w:pPr>
                    <w:pStyle w:val="20"/>
                    <w:keepNext w:val="0"/>
                    <w:keepLines w:val="0"/>
                    <w:suppressLineNumbers w:val="0"/>
                    <w:bidi w:val="0"/>
                    <w:spacing w:before="0" w:beforeAutospacing="0" w:after="0" w:afterAutospacing="0"/>
                    <w:ind w:left="0" w:leftChars="0" w:right="0" w:rightChars="0"/>
                    <w:rPr>
                      <w:rFonts w:hint="eastAsia"/>
                      <w:b w:val="0"/>
                      <w:bCs w:val="0"/>
                      <w:color w:val="auto"/>
                      <w:highlight w:val="none"/>
                      <w:lang w:val="en-US" w:eastAsia="zh-CN"/>
                    </w:rPr>
                  </w:pPr>
                </w:p>
              </w:tc>
              <w:tc>
                <w:tcPr>
                  <w:tcW w:w="580" w:type="pct"/>
                  <w:vMerge w:val="continue"/>
                  <w:vAlign w:val="center"/>
                </w:tcPr>
                <w:p w14:paraId="1DF894CA">
                  <w:pPr>
                    <w:pStyle w:val="20"/>
                    <w:keepNext w:val="0"/>
                    <w:keepLines w:val="0"/>
                    <w:suppressLineNumbers w:val="0"/>
                    <w:bidi w:val="0"/>
                    <w:spacing w:before="0" w:beforeAutospacing="0" w:after="0" w:afterAutospacing="0"/>
                    <w:ind w:left="0" w:leftChars="0" w:right="0" w:rightChars="0"/>
                    <w:rPr>
                      <w:rFonts w:hint="eastAsia"/>
                      <w:b w:val="0"/>
                      <w:bCs w:val="0"/>
                      <w:color w:val="auto"/>
                      <w:highlight w:val="none"/>
                      <w:lang w:val="en-US" w:eastAsia="zh-CN"/>
                    </w:rPr>
                  </w:pPr>
                </w:p>
              </w:tc>
            </w:tr>
            <w:tr w14:paraId="10013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4" w:type="pct"/>
                  <w:vMerge w:val="restart"/>
                  <w:vAlign w:val="center"/>
                </w:tcPr>
                <w:p w14:paraId="2D8A4278">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right="0"/>
                    <w:textAlignment w:val="auto"/>
                    <w:rPr>
                      <w:rFonts w:hint="eastAsia" w:eastAsia="宋体"/>
                      <w:b w:val="0"/>
                      <w:bCs w:val="0"/>
                      <w:color w:val="auto"/>
                      <w:highlight w:val="none"/>
                      <w:lang w:val="en-US" w:eastAsia="zh-CN"/>
                    </w:rPr>
                  </w:pPr>
                  <w:r>
                    <w:rPr>
                      <w:rFonts w:hint="eastAsia"/>
                      <w:b w:val="0"/>
                      <w:bCs w:val="0"/>
                      <w:color w:val="auto"/>
                      <w:highlight w:val="none"/>
                      <w:lang w:val="en-US" w:eastAsia="zh-CN"/>
                    </w:rPr>
                    <w:t>能源</w:t>
                  </w:r>
                </w:p>
              </w:tc>
              <w:tc>
                <w:tcPr>
                  <w:tcW w:w="236" w:type="pct"/>
                  <w:shd w:val="clear" w:color="auto" w:fill="auto"/>
                  <w:tcMar>
                    <w:left w:w="57" w:type="dxa"/>
                    <w:right w:w="57" w:type="dxa"/>
                  </w:tcMar>
                  <w:vAlign w:val="center"/>
                </w:tcPr>
                <w:p w14:paraId="6DEF0247">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leftChars="0" w:right="0" w:rightChars="0"/>
                    <w:textAlignment w:val="auto"/>
                    <w:rPr>
                      <w:rFonts w:hint="default" w:ascii="Times New Roman" w:hAnsi="Times New Roman" w:eastAsia="宋体" w:cs="宋体"/>
                      <w:b w:val="0"/>
                      <w:bCs w:val="0"/>
                      <w:color w:val="auto"/>
                      <w:kern w:val="2"/>
                      <w:sz w:val="21"/>
                      <w:szCs w:val="21"/>
                      <w:highlight w:val="none"/>
                      <w:lang w:val="en-US" w:eastAsia="zh-CN" w:bidi="ar-SA"/>
                    </w:rPr>
                  </w:pPr>
                  <w:r>
                    <w:rPr>
                      <w:rFonts w:hint="eastAsia" w:cs="宋体"/>
                      <w:b w:val="0"/>
                      <w:bCs w:val="0"/>
                      <w:color w:val="auto"/>
                      <w:kern w:val="2"/>
                      <w:sz w:val="21"/>
                      <w:szCs w:val="21"/>
                      <w:highlight w:val="none"/>
                      <w:lang w:val="en-US" w:eastAsia="zh-CN" w:bidi="ar-SA"/>
                    </w:rPr>
                    <w:t>11</w:t>
                  </w:r>
                </w:p>
              </w:tc>
              <w:tc>
                <w:tcPr>
                  <w:tcW w:w="487" w:type="pct"/>
                  <w:shd w:val="clear" w:color="auto" w:fill="auto"/>
                  <w:tcMar>
                    <w:left w:w="0" w:type="dxa"/>
                    <w:right w:w="0" w:type="dxa"/>
                  </w:tcMar>
                  <w:vAlign w:val="center"/>
                </w:tcPr>
                <w:p w14:paraId="2B20B933">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leftChars="0" w:right="0" w:rightChars="0"/>
                    <w:textAlignment w:val="auto"/>
                    <w:rPr>
                      <w:rFonts w:hint="default" w:ascii="Times New Roman" w:hAnsi="Times New Roman" w:eastAsia="宋体" w:cs="宋体"/>
                      <w:b w:val="0"/>
                      <w:bCs w:val="0"/>
                      <w:color w:val="auto"/>
                      <w:kern w:val="2"/>
                      <w:sz w:val="21"/>
                      <w:szCs w:val="21"/>
                      <w:highlight w:val="none"/>
                      <w:lang w:val="en-US" w:eastAsia="zh-CN" w:bidi="ar-SA"/>
                    </w:rPr>
                  </w:pPr>
                  <w:r>
                    <w:rPr>
                      <w:rFonts w:hint="eastAsia" w:ascii="Times New Roman" w:hAnsi="Times New Roman" w:eastAsia="宋体" w:cs="宋体"/>
                      <w:b w:val="0"/>
                      <w:bCs w:val="0"/>
                      <w:color w:val="auto"/>
                      <w:highlight w:val="none"/>
                    </w:rPr>
                    <w:t>水</w:t>
                  </w:r>
                </w:p>
              </w:tc>
              <w:tc>
                <w:tcPr>
                  <w:tcW w:w="621" w:type="pct"/>
                  <w:shd w:val="clear" w:color="auto" w:fill="auto"/>
                  <w:tcMar>
                    <w:left w:w="57" w:type="dxa"/>
                    <w:right w:w="57" w:type="dxa"/>
                  </w:tcMar>
                  <w:vAlign w:val="center"/>
                </w:tcPr>
                <w:p w14:paraId="6295AF66">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leftChars="0" w:right="0" w:rightChars="0"/>
                    <w:textAlignment w:val="auto"/>
                    <w:rPr>
                      <w:rFonts w:hint="eastAsia" w:ascii="Times New Roman" w:hAnsi="Times New Roman" w:eastAsia="宋体" w:cs="宋体"/>
                      <w:b w:val="0"/>
                      <w:bCs w:val="0"/>
                      <w:color w:val="auto"/>
                      <w:kern w:val="2"/>
                      <w:sz w:val="21"/>
                      <w:szCs w:val="21"/>
                      <w:highlight w:val="none"/>
                      <w:lang w:val="en-US" w:eastAsia="zh-CN" w:bidi="ar-SA"/>
                    </w:rPr>
                  </w:pPr>
                  <w:r>
                    <w:rPr>
                      <w:rFonts w:hint="eastAsia"/>
                      <w:b w:val="0"/>
                      <w:bCs w:val="0"/>
                      <w:color w:val="auto"/>
                      <w:highlight w:val="none"/>
                      <w:lang w:val="en-US" w:eastAsia="zh-CN"/>
                    </w:rPr>
                    <w:t>/</w:t>
                  </w:r>
                </w:p>
              </w:tc>
              <w:tc>
                <w:tcPr>
                  <w:tcW w:w="693" w:type="pct"/>
                  <w:shd w:val="clear" w:color="auto" w:fill="auto"/>
                  <w:tcMar>
                    <w:left w:w="57" w:type="dxa"/>
                    <w:right w:w="57" w:type="dxa"/>
                  </w:tcMar>
                  <w:vAlign w:val="center"/>
                </w:tcPr>
                <w:p w14:paraId="65F9A487">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leftChars="0" w:right="0" w:rightChars="0"/>
                    <w:textAlignment w:val="auto"/>
                    <w:rPr>
                      <w:rFonts w:hint="eastAsia" w:ascii="Times New Roman" w:hAnsi="Times New Roman" w:eastAsia="宋体" w:cs="宋体"/>
                      <w:b w:val="0"/>
                      <w:bCs w:val="0"/>
                      <w:color w:val="auto"/>
                      <w:kern w:val="2"/>
                      <w:sz w:val="21"/>
                      <w:szCs w:val="21"/>
                      <w:highlight w:val="none"/>
                      <w:lang w:val="en-US" w:eastAsia="zh-CN" w:bidi="ar-SA"/>
                    </w:rPr>
                  </w:pPr>
                </w:p>
              </w:tc>
              <w:tc>
                <w:tcPr>
                  <w:tcW w:w="581" w:type="pct"/>
                  <w:shd w:val="clear" w:color="auto" w:fill="auto"/>
                  <w:tcMar>
                    <w:left w:w="57" w:type="dxa"/>
                    <w:right w:w="57" w:type="dxa"/>
                  </w:tcMar>
                  <w:vAlign w:val="center"/>
                </w:tcPr>
                <w:p w14:paraId="372BF676">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leftChars="0" w:right="0" w:rightChars="0"/>
                    <w:textAlignment w:val="auto"/>
                    <w:rPr>
                      <w:rFonts w:hint="default" w:ascii="Times New Roman" w:hAnsi="Times New Roman" w:eastAsia="宋体" w:cs="宋体"/>
                      <w:b w:val="0"/>
                      <w:bCs w:val="0"/>
                      <w:color w:val="auto"/>
                      <w:kern w:val="2"/>
                      <w:sz w:val="21"/>
                      <w:szCs w:val="21"/>
                      <w:highlight w:val="none"/>
                      <w:lang w:val="en-US" w:eastAsia="zh-CN" w:bidi="ar-SA"/>
                    </w:rPr>
                  </w:pPr>
                  <w:r>
                    <w:rPr>
                      <w:rFonts w:hint="eastAsia"/>
                      <w:color w:val="auto"/>
                      <w:highlight w:val="none"/>
                      <w:lang w:val="en-US" w:eastAsia="zh-CN"/>
                    </w:rPr>
                    <w:t>1582</w:t>
                  </w:r>
                  <w:r>
                    <w:rPr>
                      <w:rFonts w:hint="eastAsia"/>
                      <w:b w:val="0"/>
                      <w:bCs w:val="0"/>
                      <w:color w:val="auto"/>
                      <w:highlight w:val="none"/>
                      <w:lang w:val="en-US" w:eastAsia="zh-CN"/>
                    </w:rPr>
                    <w:t>m</w:t>
                  </w:r>
                  <w:r>
                    <w:rPr>
                      <w:rFonts w:hint="eastAsia"/>
                      <w:b w:val="0"/>
                      <w:bCs w:val="0"/>
                      <w:color w:val="auto"/>
                      <w:highlight w:val="none"/>
                      <w:vertAlign w:val="superscript"/>
                      <w:lang w:val="en-US" w:eastAsia="zh-CN"/>
                    </w:rPr>
                    <w:t>3</w:t>
                  </w:r>
                  <w:r>
                    <w:rPr>
                      <w:rFonts w:hint="eastAsia"/>
                      <w:b w:val="0"/>
                      <w:bCs w:val="0"/>
                      <w:color w:val="auto"/>
                      <w:highlight w:val="none"/>
                      <w:vertAlign w:val="baseline"/>
                      <w:lang w:val="en-US" w:eastAsia="zh-CN"/>
                    </w:rPr>
                    <w:t>/a</w:t>
                  </w:r>
                </w:p>
              </w:tc>
              <w:tc>
                <w:tcPr>
                  <w:tcW w:w="666" w:type="pct"/>
                  <w:shd w:val="clear" w:color="auto" w:fill="auto"/>
                  <w:tcMar>
                    <w:left w:w="57" w:type="dxa"/>
                    <w:right w:w="57" w:type="dxa"/>
                  </w:tcMar>
                  <w:vAlign w:val="center"/>
                </w:tcPr>
                <w:p w14:paraId="6AD2E0E7">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leftChars="0" w:right="0" w:rightChars="0"/>
                    <w:textAlignment w:val="auto"/>
                    <w:rPr>
                      <w:rFonts w:hint="eastAsia" w:ascii="Times New Roman" w:hAnsi="Times New Roman" w:eastAsia="宋体" w:cs="宋体"/>
                      <w:b w:val="0"/>
                      <w:bCs w:val="0"/>
                      <w:color w:val="auto"/>
                      <w:kern w:val="2"/>
                      <w:sz w:val="21"/>
                      <w:szCs w:val="21"/>
                      <w:highlight w:val="none"/>
                      <w:lang w:val="en-US" w:eastAsia="zh-CN" w:bidi="ar-SA"/>
                    </w:rPr>
                  </w:pPr>
                  <w:r>
                    <w:rPr>
                      <w:rFonts w:hint="eastAsia"/>
                      <w:b w:val="0"/>
                      <w:bCs w:val="0"/>
                      <w:color w:val="auto"/>
                      <w:highlight w:val="none"/>
                      <w:lang w:val="en-US" w:eastAsia="zh-CN"/>
                    </w:rPr>
                    <w:t>/</w:t>
                  </w:r>
                </w:p>
              </w:tc>
              <w:tc>
                <w:tcPr>
                  <w:tcW w:w="365" w:type="pct"/>
                  <w:shd w:val="clear" w:color="auto" w:fill="auto"/>
                  <w:tcMar>
                    <w:left w:w="57" w:type="dxa"/>
                    <w:right w:w="57" w:type="dxa"/>
                  </w:tcMar>
                  <w:vAlign w:val="center"/>
                </w:tcPr>
                <w:p w14:paraId="2F6141FD">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leftChars="0" w:right="0" w:rightChars="0"/>
                    <w:textAlignment w:val="auto"/>
                    <w:rPr>
                      <w:rFonts w:hint="eastAsia" w:ascii="Times New Roman" w:hAnsi="Times New Roman" w:eastAsia="宋体" w:cs="宋体"/>
                      <w:b w:val="0"/>
                      <w:bCs w:val="0"/>
                      <w:color w:val="auto"/>
                      <w:kern w:val="2"/>
                      <w:sz w:val="21"/>
                      <w:szCs w:val="21"/>
                      <w:highlight w:val="none"/>
                      <w:lang w:val="en-US" w:eastAsia="zh-CN" w:bidi="ar-SA"/>
                    </w:rPr>
                  </w:pPr>
                  <w:r>
                    <w:rPr>
                      <w:rFonts w:hint="eastAsia"/>
                      <w:b w:val="0"/>
                      <w:bCs w:val="0"/>
                      <w:color w:val="auto"/>
                      <w:highlight w:val="none"/>
                      <w:lang w:val="en-US" w:eastAsia="zh-CN"/>
                    </w:rPr>
                    <w:t>/</w:t>
                  </w:r>
                </w:p>
              </w:tc>
              <w:tc>
                <w:tcPr>
                  <w:tcW w:w="1151" w:type="pct"/>
                  <w:gridSpan w:val="2"/>
                  <w:shd w:val="clear" w:color="auto" w:fill="auto"/>
                  <w:vAlign w:val="center"/>
                </w:tcPr>
                <w:p w14:paraId="607B137E">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leftChars="0" w:right="0" w:rightChars="0"/>
                    <w:textAlignment w:val="auto"/>
                    <w:rPr>
                      <w:rFonts w:hint="default" w:ascii="Times New Roman" w:hAnsi="Times New Roman" w:eastAsia="宋体" w:cs="宋体"/>
                      <w:b w:val="0"/>
                      <w:bCs w:val="0"/>
                      <w:color w:val="auto"/>
                      <w:kern w:val="2"/>
                      <w:sz w:val="21"/>
                      <w:szCs w:val="21"/>
                      <w:highlight w:val="none"/>
                      <w:lang w:val="en-US" w:eastAsia="zh-CN" w:bidi="ar-SA"/>
                    </w:rPr>
                  </w:pPr>
                  <w:r>
                    <w:rPr>
                      <w:rFonts w:hint="eastAsia"/>
                      <w:b w:val="0"/>
                      <w:bCs w:val="0"/>
                      <w:color w:val="auto"/>
                      <w:highlight w:val="none"/>
                      <w:lang w:val="en-US" w:eastAsia="zh-CN"/>
                    </w:rPr>
                    <w:t>市政供水管网供给</w:t>
                  </w:r>
                </w:p>
              </w:tc>
            </w:tr>
            <w:tr w14:paraId="6D425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4" w:type="pct"/>
                  <w:vMerge w:val="continue"/>
                  <w:vAlign w:val="center"/>
                </w:tcPr>
                <w:p w14:paraId="4222F387">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right="0"/>
                    <w:textAlignment w:val="auto"/>
                    <w:rPr>
                      <w:rFonts w:hint="eastAsia"/>
                      <w:b w:val="0"/>
                      <w:bCs w:val="0"/>
                      <w:color w:val="auto"/>
                      <w:highlight w:val="none"/>
                      <w:lang w:val="en-US" w:eastAsia="zh-CN"/>
                    </w:rPr>
                  </w:pPr>
                </w:p>
              </w:tc>
              <w:tc>
                <w:tcPr>
                  <w:tcW w:w="236" w:type="pct"/>
                  <w:shd w:val="clear" w:color="auto" w:fill="auto"/>
                  <w:tcMar>
                    <w:left w:w="57" w:type="dxa"/>
                    <w:right w:w="57" w:type="dxa"/>
                  </w:tcMar>
                  <w:vAlign w:val="center"/>
                </w:tcPr>
                <w:p w14:paraId="31941412">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leftChars="0" w:right="0" w:rightChars="0"/>
                    <w:textAlignment w:val="auto"/>
                    <w:rPr>
                      <w:rFonts w:hint="default" w:ascii="Times New Roman" w:hAnsi="Times New Roman" w:eastAsia="宋体" w:cs="宋体"/>
                      <w:b w:val="0"/>
                      <w:bCs w:val="0"/>
                      <w:color w:val="auto"/>
                      <w:kern w:val="2"/>
                      <w:sz w:val="21"/>
                      <w:szCs w:val="21"/>
                      <w:highlight w:val="none"/>
                      <w:lang w:val="en-US" w:eastAsia="zh-CN" w:bidi="ar-SA"/>
                    </w:rPr>
                  </w:pPr>
                  <w:r>
                    <w:rPr>
                      <w:rFonts w:hint="eastAsia" w:cs="宋体"/>
                      <w:b w:val="0"/>
                      <w:bCs w:val="0"/>
                      <w:color w:val="auto"/>
                      <w:kern w:val="2"/>
                      <w:sz w:val="21"/>
                      <w:szCs w:val="21"/>
                      <w:highlight w:val="none"/>
                      <w:lang w:val="en-US" w:eastAsia="zh-CN" w:bidi="ar-SA"/>
                    </w:rPr>
                    <w:t>12</w:t>
                  </w:r>
                </w:p>
              </w:tc>
              <w:tc>
                <w:tcPr>
                  <w:tcW w:w="487" w:type="pct"/>
                  <w:shd w:val="clear" w:color="auto" w:fill="auto"/>
                  <w:tcMar>
                    <w:left w:w="0" w:type="dxa"/>
                    <w:right w:w="0" w:type="dxa"/>
                  </w:tcMar>
                  <w:vAlign w:val="center"/>
                </w:tcPr>
                <w:p w14:paraId="37098451">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leftChars="0" w:right="0" w:rightChars="0"/>
                    <w:textAlignment w:val="auto"/>
                    <w:rPr>
                      <w:rFonts w:hint="default" w:ascii="Times New Roman" w:hAnsi="Times New Roman" w:eastAsia="宋体" w:cs="宋体"/>
                      <w:b w:val="0"/>
                      <w:bCs w:val="0"/>
                      <w:color w:val="auto"/>
                      <w:kern w:val="2"/>
                      <w:sz w:val="21"/>
                      <w:szCs w:val="21"/>
                      <w:highlight w:val="none"/>
                      <w:lang w:val="en-US" w:eastAsia="zh-CN" w:bidi="ar-SA"/>
                    </w:rPr>
                  </w:pPr>
                  <w:r>
                    <w:rPr>
                      <w:rFonts w:hint="eastAsia" w:ascii="Times New Roman" w:hAnsi="Times New Roman" w:eastAsia="宋体" w:cs="宋体"/>
                      <w:b w:val="0"/>
                      <w:bCs w:val="0"/>
                      <w:color w:val="auto"/>
                      <w:highlight w:val="none"/>
                    </w:rPr>
                    <w:t>电</w:t>
                  </w:r>
                </w:p>
              </w:tc>
              <w:tc>
                <w:tcPr>
                  <w:tcW w:w="621" w:type="pct"/>
                  <w:shd w:val="clear" w:color="auto" w:fill="auto"/>
                  <w:tcMar>
                    <w:left w:w="57" w:type="dxa"/>
                    <w:right w:w="57" w:type="dxa"/>
                  </w:tcMar>
                  <w:vAlign w:val="center"/>
                </w:tcPr>
                <w:p w14:paraId="44DF0F79">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leftChars="0" w:right="0" w:rightChars="0"/>
                    <w:textAlignment w:val="auto"/>
                    <w:rPr>
                      <w:rFonts w:hint="eastAsia" w:ascii="Times New Roman" w:hAnsi="Times New Roman" w:eastAsia="宋体" w:cs="宋体"/>
                      <w:b w:val="0"/>
                      <w:bCs w:val="0"/>
                      <w:color w:val="auto"/>
                      <w:kern w:val="2"/>
                      <w:sz w:val="21"/>
                      <w:szCs w:val="21"/>
                      <w:highlight w:val="none"/>
                      <w:lang w:val="en-US" w:eastAsia="zh-CN" w:bidi="ar-SA"/>
                    </w:rPr>
                  </w:pPr>
                  <w:r>
                    <w:rPr>
                      <w:rFonts w:hint="eastAsia"/>
                      <w:b w:val="0"/>
                      <w:bCs w:val="0"/>
                      <w:color w:val="auto"/>
                      <w:highlight w:val="none"/>
                      <w:lang w:val="en-US" w:eastAsia="zh-CN"/>
                    </w:rPr>
                    <w:t>/</w:t>
                  </w:r>
                </w:p>
              </w:tc>
              <w:tc>
                <w:tcPr>
                  <w:tcW w:w="693" w:type="pct"/>
                  <w:shd w:val="clear" w:color="auto" w:fill="auto"/>
                  <w:tcMar>
                    <w:left w:w="57" w:type="dxa"/>
                    <w:right w:w="57" w:type="dxa"/>
                  </w:tcMar>
                  <w:vAlign w:val="center"/>
                </w:tcPr>
                <w:p w14:paraId="025B593E">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leftChars="0" w:right="0" w:rightChars="0"/>
                    <w:textAlignment w:val="auto"/>
                    <w:rPr>
                      <w:rFonts w:hint="eastAsia" w:ascii="Times New Roman" w:hAnsi="Times New Roman" w:eastAsia="宋体" w:cs="宋体"/>
                      <w:b w:val="0"/>
                      <w:bCs w:val="0"/>
                      <w:color w:val="auto"/>
                      <w:kern w:val="2"/>
                      <w:sz w:val="21"/>
                      <w:szCs w:val="21"/>
                      <w:highlight w:val="none"/>
                      <w:lang w:val="en-US" w:eastAsia="zh-CN" w:bidi="ar-SA"/>
                    </w:rPr>
                  </w:pPr>
                </w:p>
              </w:tc>
              <w:tc>
                <w:tcPr>
                  <w:tcW w:w="581" w:type="pct"/>
                  <w:shd w:val="clear" w:color="auto" w:fill="auto"/>
                  <w:tcMar>
                    <w:left w:w="57" w:type="dxa"/>
                    <w:right w:w="57" w:type="dxa"/>
                  </w:tcMar>
                  <w:vAlign w:val="center"/>
                </w:tcPr>
                <w:p w14:paraId="7A0349B3">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leftChars="0" w:right="0" w:rightChars="0"/>
                    <w:textAlignment w:val="auto"/>
                    <w:rPr>
                      <w:rFonts w:hint="default" w:ascii="Times New Roman" w:hAnsi="Times New Roman" w:eastAsia="宋体" w:cs="宋体"/>
                      <w:b w:val="0"/>
                      <w:bCs w:val="0"/>
                      <w:color w:val="auto"/>
                      <w:kern w:val="2"/>
                      <w:sz w:val="21"/>
                      <w:szCs w:val="21"/>
                      <w:highlight w:val="none"/>
                      <w:lang w:val="en-US" w:eastAsia="zh-CN" w:bidi="ar-SA"/>
                    </w:rPr>
                  </w:pPr>
                  <w:r>
                    <w:rPr>
                      <w:rFonts w:hint="eastAsia"/>
                      <w:b w:val="0"/>
                      <w:bCs w:val="0"/>
                      <w:color w:val="auto"/>
                      <w:highlight w:val="none"/>
                      <w:lang w:val="en-US" w:eastAsia="zh-CN"/>
                    </w:rPr>
                    <w:t>20万kWh/a</w:t>
                  </w:r>
                </w:p>
              </w:tc>
              <w:tc>
                <w:tcPr>
                  <w:tcW w:w="666" w:type="pct"/>
                  <w:shd w:val="clear" w:color="auto" w:fill="auto"/>
                  <w:tcMar>
                    <w:left w:w="57" w:type="dxa"/>
                    <w:right w:w="57" w:type="dxa"/>
                  </w:tcMar>
                  <w:vAlign w:val="center"/>
                </w:tcPr>
                <w:p w14:paraId="0EDB83AA">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leftChars="0" w:right="0" w:rightChars="0"/>
                    <w:textAlignment w:val="auto"/>
                    <w:rPr>
                      <w:rFonts w:hint="eastAsia" w:ascii="Times New Roman" w:hAnsi="Times New Roman" w:eastAsia="宋体" w:cs="宋体"/>
                      <w:b w:val="0"/>
                      <w:bCs w:val="0"/>
                      <w:color w:val="auto"/>
                      <w:kern w:val="2"/>
                      <w:sz w:val="21"/>
                      <w:szCs w:val="21"/>
                      <w:highlight w:val="none"/>
                      <w:lang w:val="en-US" w:eastAsia="zh-CN" w:bidi="ar-SA"/>
                    </w:rPr>
                  </w:pPr>
                  <w:r>
                    <w:rPr>
                      <w:rFonts w:hint="eastAsia"/>
                      <w:b w:val="0"/>
                      <w:bCs w:val="0"/>
                      <w:color w:val="auto"/>
                      <w:highlight w:val="none"/>
                      <w:lang w:val="en-US" w:eastAsia="zh-CN"/>
                    </w:rPr>
                    <w:t>/</w:t>
                  </w:r>
                </w:p>
              </w:tc>
              <w:tc>
                <w:tcPr>
                  <w:tcW w:w="365" w:type="pct"/>
                  <w:shd w:val="clear" w:color="auto" w:fill="auto"/>
                  <w:tcMar>
                    <w:left w:w="57" w:type="dxa"/>
                    <w:right w:w="57" w:type="dxa"/>
                  </w:tcMar>
                  <w:vAlign w:val="center"/>
                </w:tcPr>
                <w:p w14:paraId="62D940AA">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leftChars="0" w:right="0" w:rightChars="0"/>
                    <w:textAlignment w:val="auto"/>
                    <w:rPr>
                      <w:rFonts w:hint="eastAsia" w:ascii="Times New Roman" w:hAnsi="Times New Roman" w:eastAsia="宋体" w:cs="宋体"/>
                      <w:b w:val="0"/>
                      <w:bCs w:val="0"/>
                      <w:color w:val="auto"/>
                      <w:kern w:val="2"/>
                      <w:sz w:val="21"/>
                      <w:szCs w:val="21"/>
                      <w:highlight w:val="none"/>
                      <w:lang w:val="en-US" w:eastAsia="zh-CN" w:bidi="ar-SA"/>
                    </w:rPr>
                  </w:pPr>
                  <w:r>
                    <w:rPr>
                      <w:rFonts w:hint="eastAsia"/>
                      <w:b w:val="0"/>
                      <w:bCs w:val="0"/>
                      <w:color w:val="auto"/>
                      <w:highlight w:val="none"/>
                      <w:lang w:val="en-US" w:eastAsia="zh-CN"/>
                    </w:rPr>
                    <w:t>/</w:t>
                  </w:r>
                </w:p>
              </w:tc>
              <w:tc>
                <w:tcPr>
                  <w:tcW w:w="1151" w:type="pct"/>
                  <w:gridSpan w:val="2"/>
                  <w:shd w:val="clear" w:color="auto" w:fill="auto"/>
                  <w:vAlign w:val="center"/>
                </w:tcPr>
                <w:p w14:paraId="56BE8BEA">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leftChars="0" w:right="0" w:rightChars="0"/>
                    <w:textAlignment w:val="auto"/>
                    <w:rPr>
                      <w:rFonts w:hint="eastAsia" w:ascii="Times New Roman" w:hAnsi="Times New Roman" w:eastAsia="宋体" w:cs="宋体"/>
                      <w:b w:val="0"/>
                      <w:bCs w:val="0"/>
                      <w:color w:val="auto"/>
                      <w:kern w:val="2"/>
                      <w:sz w:val="21"/>
                      <w:szCs w:val="21"/>
                      <w:highlight w:val="none"/>
                      <w:lang w:val="en-US" w:eastAsia="zh-CN" w:bidi="ar-SA"/>
                    </w:rPr>
                  </w:pPr>
                  <w:r>
                    <w:rPr>
                      <w:rFonts w:hint="eastAsia"/>
                      <w:b w:val="0"/>
                      <w:bCs w:val="0"/>
                      <w:color w:val="auto"/>
                      <w:highlight w:val="none"/>
                      <w:lang w:val="en-US" w:eastAsia="zh-CN"/>
                    </w:rPr>
                    <w:t>市政供电管网供给</w:t>
                  </w:r>
                </w:p>
              </w:tc>
            </w:tr>
          </w:tbl>
          <w:p w14:paraId="7BE4BF18">
            <w:pPr>
              <w:pStyle w:val="18"/>
              <w:bidi w:val="0"/>
              <w:rPr>
                <w:rFonts w:hint="eastAsia"/>
                <w:b/>
                <w:bCs/>
                <w:color w:val="auto"/>
                <w:highlight w:val="none"/>
              </w:rPr>
            </w:pPr>
            <w:r>
              <w:rPr>
                <w:rFonts w:hint="eastAsia"/>
                <w:b/>
                <w:bCs/>
                <w:color w:val="auto"/>
                <w:highlight w:val="none"/>
              </w:rPr>
              <w:t>主要原辅材料理化性质简介：</w:t>
            </w:r>
          </w:p>
          <w:p w14:paraId="43777C78">
            <w:pPr>
              <w:pStyle w:val="18"/>
              <w:bidi w:val="0"/>
              <w:rPr>
                <w:rFonts w:hint="eastAsia"/>
                <w:color w:val="auto"/>
                <w:highlight w:val="none"/>
                <w:lang w:val="en-US" w:eastAsia="zh-CN"/>
              </w:rPr>
            </w:pPr>
            <w:r>
              <w:rPr>
                <w:rFonts w:hint="eastAsia"/>
                <w:bCs/>
                <w:color w:val="auto"/>
                <w:szCs w:val="21"/>
                <w:highlight w:val="none"/>
                <w:lang w:val="en-US" w:eastAsia="zh-CN"/>
              </w:rPr>
              <w:t>ABS：是丙烯腈(A)、丁二烯(B)、苯乙烯(S)的三元共聚物，ABS无毒、无味，密度约为1.05~1.18g/cm</w:t>
            </w:r>
            <w:r>
              <w:rPr>
                <w:rFonts w:hint="eastAsia"/>
                <w:bCs/>
                <w:color w:val="auto"/>
                <w:szCs w:val="21"/>
                <w:highlight w:val="none"/>
                <w:vertAlign w:val="superscript"/>
                <w:lang w:val="en-US" w:eastAsia="zh-CN"/>
              </w:rPr>
              <w:t>3</w:t>
            </w:r>
            <w:r>
              <w:rPr>
                <w:rFonts w:hint="eastAsia"/>
                <w:bCs/>
                <w:color w:val="auto"/>
                <w:szCs w:val="21"/>
                <w:highlight w:val="none"/>
                <w:lang w:val="en-US" w:eastAsia="zh-CN"/>
              </w:rPr>
              <w:t>，收缩率为0.4%~0.9%，弹性模量值为2Gpa，泊松比值为0.394，吸湿性&lt;1%，熔融温度217~237℃，热分解温度&gt;270℃。</w:t>
            </w:r>
            <w:r>
              <w:rPr>
                <w:rFonts w:hint="eastAsia"/>
                <w:color w:val="auto"/>
                <w:highlight w:val="none"/>
              </w:rPr>
              <w:t>ABS塑料兼有三种组元的共同性能，A使其耐化学腐蚀、耐热，并有一定的表面硬度，B使其具有高弹性和韧性，S使其具有热塑性塑料的加工成型特性。是一种原料易得、综合性能良好、价格便宜、用途广泛的“坚韧、质硬、刚性”材料。</w:t>
            </w:r>
          </w:p>
          <w:p w14:paraId="34BAC94C">
            <w:pPr>
              <w:pStyle w:val="18"/>
              <w:bidi w:val="0"/>
              <w:rPr>
                <w:rFonts w:hint="eastAsia"/>
                <w:color w:val="auto"/>
                <w:highlight w:val="none"/>
              </w:rPr>
            </w:pPr>
            <w:r>
              <w:rPr>
                <w:rFonts w:hint="eastAsia"/>
                <w:color w:val="auto"/>
                <w:highlight w:val="none"/>
              </w:rPr>
              <w:t>ASA</w:t>
            </w:r>
            <w:r>
              <w:rPr>
                <w:rFonts w:hint="eastAsia"/>
                <w:color w:val="auto"/>
                <w:highlight w:val="none"/>
                <w:lang w:eastAsia="zh-CN"/>
              </w:rPr>
              <w:t>：</w:t>
            </w:r>
            <w:r>
              <w:rPr>
                <w:rFonts w:hint="eastAsia"/>
                <w:color w:val="auto"/>
                <w:highlight w:val="none"/>
              </w:rPr>
              <w:t>是由丙烯腈(</w:t>
            </w:r>
            <w:r>
              <w:rPr>
                <w:rFonts w:hint="eastAsia"/>
                <w:color w:val="auto"/>
                <w:highlight w:val="none"/>
                <w:lang w:val="en-US" w:eastAsia="zh-CN"/>
              </w:rPr>
              <w:t>A</w:t>
            </w:r>
            <w:r>
              <w:rPr>
                <w:rFonts w:hint="eastAsia"/>
                <w:color w:val="auto"/>
                <w:highlight w:val="none"/>
              </w:rPr>
              <w:t>)、苯乙烯(</w:t>
            </w:r>
            <w:r>
              <w:rPr>
                <w:rFonts w:hint="eastAsia"/>
                <w:color w:val="auto"/>
                <w:highlight w:val="none"/>
                <w:lang w:val="en-US" w:eastAsia="zh-CN"/>
              </w:rPr>
              <w:t>S</w:t>
            </w:r>
            <w:r>
              <w:rPr>
                <w:rFonts w:hint="eastAsia"/>
                <w:color w:val="auto"/>
                <w:highlight w:val="none"/>
              </w:rPr>
              <w:t>)、丙烯酸酯(</w:t>
            </w:r>
            <w:r>
              <w:rPr>
                <w:rFonts w:hint="eastAsia"/>
                <w:color w:val="auto"/>
                <w:highlight w:val="none"/>
                <w:lang w:val="en-US" w:eastAsia="zh-CN"/>
              </w:rPr>
              <w:t>A</w:t>
            </w:r>
            <w:r>
              <w:rPr>
                <w:rFonts w:hint="eastAsia"/>
                <w:color w:val="auto"/>
                <w:highlight w:val="none"/>
              </w:rPr>
              <w:t>)组成的三元接枝共聚物，它以聚丙烯酸酯为主链，用丙烯腈(A)、苯乙烯(S)单体接枝共聚而成的非结晶型聚合物，属于抗冲击改性型树脂。ASA与ABS相比，由于引入不含双键的丙烯酸酯橡胶取代了丁二烯橡胶，因而耐候性有了本质的改善，ASA的耐候性比ABS高出10倍左右</w:t>
            </w:r>
            <w:r>
              <w:rPr>
                <w:rFonts w:hint="eastAsia"/>
                <w:color w:val="auto"/>
                <w:highlight w:val="none"/>
                <w:lang w:eastAsia="zh-CN"/>
              </w:rPr>
              <w:t>，</w:t>
            </w:r>
            <w:r>
              <w:rPr>
                <w:rFonts w:hint="eastAsia"/>
                <w:color w:val="auto"/>
                <w:highlight w:val="none"/>
              </w:rPr>
              <w:t>而其他力学性能、加工性能、电绝缘性、耐化学腐蚀性与ABS相似。ASA树脂密度约1.05g/cm</w:t>
            </w:r>
            <w:r>
              <w:rPr>
                <w:rFonts w:hint="eastAsia"/>
                <w:color w:val="auto"/>
                <w:highlight w:val="none"/>
                <w:vertAlign w:val="superscript"/>
                <w:lang w:val="en-US" w:eastAsia="zh-CN"/>
              </w:rPr>
              <w:t>3</w:t>
            </w:r>
            <w:r>
              <w:rPr>
                <w:rFonts w:hint="eastAsia"/>
                <w:color w:val="auto"/>
                <w:highlight w:val="none"/>
                <w:lang w:eastAsia="zh-CN"/>
              </w:rPr>
              <w:t>，</w:t>
            </w:r>
            <w:r>
              <w:rPr>
                <w:rFonts w:hint="eastAsia"/>
                <w:color w:val="auto"/>
                <w:highlight w:val="none"/>
              </w:rPr>
              <w:t>成型收缩率0.4</w:t>
            </w:r>
            <w:r>
              <w:rPr>
                <w:rFonts w:hint="eastAsia"/>
                <w:bCs/>
                <w:color w:val="auto"/>
                <w:szCs w:val="21"/>
                <w:highlight w:val="none"/>
                <w:lang w:val="en-US" w:eastAsia="zh-CN"/>
              </w:rPr>
              <w:t>%~</w:t>
            </w:r>
            <w:r>
              <w:rPr>
                <w:rFonts w:hint="eastAsia"/>
                <w:color w:val="auto"/>
                <w:highlight w:val="none"/>
              </w:rPr>
              <w:t>0.7%</w:t>
            </w:r>
            <w:r>
              <w:rPr>
                <w:rFonts w:hint="eastAsia"/>
                <w:color w:val="auto"/>
                <w:highlight w:val="none"/>
                <w:lang w:eastAsia="zh-CN"/>
              </w:rPr>
              <w:t>，</w:t>
            </w:r>
            <w:r>
              <w:rPr>
                <w:rFonts w:hint="eastAsia"/>
                <w:color w:val="auto"/>
                <w:highlight w:val="none"/>
              </w:rPr>
              <w:t>熔点为170℃左右，分解温度</w:t>
            </w:r>
            <w:r>
              <w:rPr>
                <w:rFonts w:hint="eastAsia"/>
                <w:bCs/>
                <w:color w:val="auto"/>
                <w:szCs w:val="21"/>
                <w:highlight w:val="none"/>
                <w:lang w:val="en-US" w:eastAsia="zh-CN"/>
              </w:rPr>
              <w:t>&gt;</w:t>
            </w:r>
            <w:r>
              <w:rPr>
                <w:rFonts w:hint="eastAsia"/>
                <w:color w:val="auto"/>
                <w:highlight w:val="none"/>
              </w:rPr>
              <w:t>260℃。</w:t>
            </w:r>
          </w:p>
          <w:p w14:paraId="2F93F58A">
            <w:pPr>
              <w:pStyle w:val="18"/>
              <w:bidi w:val="0"/>
              <w:rPr>
                <w:rFonts w:hint="eastAsia"/>
                <w:color w:val="auto"/>
                <w:highlight w:val="none"/>
              </w:rPr>
            </w:pPr>
            <w:r>
              <w:rPr>
                <w:rFonts w:hint="eastAsia"/>
                <w:color w:val="auto"/>
                <w:highlight w:val="none"/>
              </w:rPr>
              <w:t>PP</w:t>
            </w:r>
            <w:r>
              <w:rPr>
                <w:rFonts w:hint="eastAsia"/>
                <w:color w:val="auto"/>
                <w:highlight w:val="none"/>
                <w:lang w:eastAsia="zh-CN"/>
              </w:rPr>
              <w:t>：</w:t>
            </w:r>
            <w:r>
              <w:rPr>
                <w:rFonts w:hint="eastAsia"/>
                <w:color w:val="auto"/>
                <w:highlight w:val="none"/>
              </w:rPr>
              <w:t>聚丙烯简称PP，是丙烯通过加聚反应而成的聚合物</w:t>
            </w:r>
            <w:r>
              <w:rPr>
                <w:rFonts w:hint="eastAsia"/>
                <w:color w:val="auto"/>
                <w:highlight w:val="none"/>
                <w:lang w:eastAsia="zh-CN"/>
              </w:rPr>
              <w:t>，</w:t>
            </w:r>
            <w:r>
              <w:rPr>
                <w:rFonts w:hint="eastAsia"/>
                <w:color w:val="auto"/>
                <w:highlight w:val="none"/>
              </w:rPr>
              <w:t>密度为 0.89~0.91g/cm</w:t>
            </w:r>
            <w:r>
              <w:rPr>
                <w:rFonts w:hint="eastAsia"/>
                <w:color w:val="auto"/>
                <w:highlight w:val="none"/>
                <w:vertAlign w:val="superscript"/>
                <w:lang w:val="en-US" w:eastAsia="zh-CN"/>
              </w:rPr>
              <w:t>3</w:t>
            </w:r>
            <w:r>
              <w:rPr>
                <w:rFonts w:hint="eastAsia"/>
                <w:color w:val="auto"/>
                <w:highlight w:val="none"/>
                <w:lang w:val="en-US" w:eastAsia="zh-CN"/>
              </w:rPr>
              <w:t>，</w:t>
            </w:r>
            <w:r>
              <w:rPr>
                <w:rFonts w:hint="eastAsia"/>
                <w:color w:val="auto"/>
                <w:highlight w:val="none"/>
              </w:rPr>
              <w:t>熔点为164~170℃</w:t>
            </w:r>
            <w:r>
              <w:rPr>
                <w:rFonts w:hint="eastAsia"/>
                <w:color w:val="auto"/>
                <w:highlight w:val="none"/>
                <w:lang w:eastAsia="zh-CN"/>
              </w:rPr>
              <w:t>，</w:t>
            </w:r>
            <w:r>
              <w:rPr>
                <w:rFonts w:hint="eastAsia"/>
                <w:color w:val="auto"/>
                <w:highlight w:val="none"/>
              </w:rPr>
              <w:t>在155℃左右软化，使用温度范围为-30~140℃，热稳定性较好，分解温度可达300℃以上。聚丙烯是一种性能优良的热塑性合成树脂，为无色半透明的热塑性轻质通用塑料，具有耐化学性、耐热性、电绝缘性、高强度机械性能和良好的高耐磨加工性能等。</w:t>
            </w:r>
          </w:p>
          <w:p w14:paraId="57DE061A">
            <w:pPr>
              <w:pStyle w:val="18"/>
              <w:bidi w:val="0"/>
              <w:rPr>
                <w:rFonts w:hint="eastAsia"/>
                <w:color w:val="auto"/>
                <w:highlight w:val="none"/>
                <w:lang w:val="en-US" w:eastAsia="zh-CN"/>
              </w:rPr>
            </w:pPr>
            <w:r>
              <w:rPr>
                <w:rFonts w:hint="eastAsia"/>
                <w:color w:val="auto"/>
                <w:highlight w:val="none"/>
                <w:lang w:val="en-US" w:eastAsia="zh-CN"/>
              </w:rPr>
              <w:t>清洗剂：主要成分为石油醚40%-60%，二甲氧基甲烷5%-15%，丙酮5%-15%，香精0.001%~0.2%，LPG15%-35%，CO</w:t>
            </w:r>
            <w:r>
              <w:rPr>
                <w:rFonts w:hint="eastAsia"/>
                <w:color w:val="auto"/>
                <w:highlight w:val="none"/>
                <w:vertAlign w:val="subscript"/>
                <w:lang w:val="en-US" w:eastAsia="zh-CN"/>
              </w:rPr>
              <w:t>2</w:t>
            </w:r>
            <w:r>
              <w:rPr>
                <w:rFonts w:hint="eastAsia"/>
                <w:color w:val="auto"/>
                <w:highlight w:val="none"/>
                <w:vertAlign w:val="baseline"/>
                <w:lang w:val="en-US" w:eastAsia="zh-CN"/>
              </w:rPr>
              <w:t>2</w:t>
            </w:r>
            <w:r>
              <w:rPr>
                <w:rFonts w:hint="eastAsia"/>
                <w:color w:val="auto"/>
                <w:highlight w:val="none"/>
                <w:lang w:val="en-US" w:eastAsia="zh-CN"/>
              </w:rPr>
              <w:t>%-3%，透明液体喷雾剂，用于清理模具或金属表面油污。</w:t>
            </w:r>
          </w:p>
          <w:p w14:paraId="329015F2">
            <w:pPr>
              <w:pStyle w:val="18"/>
              <w:bidi w:val="0"/>
              <w:rPr>
                <w:rFonts w:hint="default"/>
                <w:color w:val="auto"/>
                <w:highlight w:val="none"/>
                <w:lang w:val="en-US" w:eastAsia="zh-CN"/>
              </w:rPr>
            </w:pPr>
            <w:r>
              <w:rPr>
                <w:rFonts w:hint="eastAsia"/>
                <w:color w:val="auto"/>
                <w:highlight w:val="none"/>
                <w:lang w:val="en-US" w:eastAsia="zh-CN"/>
              </w:rPr>
              <w:t>根据MSDS，项目清洗剂密度约为0.7~0.8g/cm</w:t>
            </w:r>
            <w:r>
              <w:rPr>
                <w:rFonts w:hint="eastAsia"/>
                <w:color w:val="auto"/>
                <w:highlight w:val="none"/>
                <w:vertAlign w:val="superscript"/>
                <w:lang w:val="en-US" w:eastAsia="zh-CN"/>
              </w:rPr>
              <w:t>3</w:t>
            </w:r>
            <w:r>
              <w:rPr>
                <w:rFonts w:hint="eastAsia"/>
                <w:color w:val="auto"/>
                <w:highlight w:val="none"/>
                <w:lang w:val="en-US" w:eastAsia="zh-CN"/>
              </w:rPr>
              <w:t>，清洗剂中CO</w:t>
            </w:r>
            <w:r>
              <w:rPr>
                <w:rFonts w:hint="eastAsia"/>
                <w:color w:val="auto"/>
                <w:highlight w:val="none"/>
                <w:vertAlign w:val="subscript"/>
                <w:lang w:val="en-US" w:eastAsia="zh-CN"/>
              </w:rPr>
              <w:t>2</w:t>
            </w:r>
            <w:r>
              <w:rPr>
                <w:rFonts w:hint="eastAsia"/>
                <w:color w:val="auto"/>
                <w:highlight w:val="none"/>
                <w:vertAlign w:val="baseline"/>
                <w:lang w:val="en-US" w:eastAsia="zh-CN"/>
              </w:rPr>
              <w:t>占比2</w:t>
            </w:r>
            <w:r>
              <w:rPr>
                <w:rFonts w:hint="eastAsia"/>
                <w:color w:val="auto"/>
                <w:highlight w:val="none"/>
                <w:lang w:val="en-US" w:eastAsia="zh-CN"/>
              </w:rPr>
              <w:t>%-3%，挥发性有机物占比98%计，VOC含量最大约为784g/L，满足《清洗剂挥发性有机化合物含量限值》（GB 38508-2020）表1有机溶剂清洗剂VOC含量≤900g/L的限值，清洗剂不含氯甲烷、三氯甲烷、三氯乙烯、四氯乙烯，苯、甲苯、乙苯和二甲苯。</w:t>
            </w:r>
          </w:p>
          <w:p w14:paraId="07DB4E71">
            <w:pPr>
              <w:pStyle w:val="18"/>
              <w:bidi w:val="0"/>
              <w:rPr>
                <w:rFonts w:hint="default"/>
                <w:color w:val="auto"/>
                <w:highlight w:val="none"/>
                <w:lang w:val="en-US" w:eastAsia="zh-CN"/>
              </w:rPr>
            </w:pPr>
            <w:r>
              <w:rPr>
                <w:rFonts w:hint="eastAsia"/>
                <w:color w:val="auto"/>
                <w:highlight w:val="none"/>
                <w:lang w:val="en-US" w:eastAsia="zh-CN"/>
              </w:rPr>
              <w:t>脱模剂：主要成分为2-甲基戊烷15%-25%，2,3-二甲基丁烷5%-10%，二甲基硅氧烷与聚硅氧烷0.2%-2%，LPG60%-75%，透明液体喷雾剂，用于模具脱模。</w:t>
            </w:r>
          </w:p>
          <w:p w14:paraId="6E61A9E2">
            <w:pPr>
              <w:pStyle w:val="18"/>
              <w:bidi w:val="0"/>
              <w:rPr>
                <w:rFonts w:hint="default"/>
                <w:b/>
                <w:bCs/>
                <w:color w:val="auto"/>
                <w:highlight w:val="none"/>
                <w:lang w:val="en-US" w:eastAsia="zh-CN"/>
              </w:rPr>
            </w:pPr>
            <w:r>
              <w:rPr>
                <w:rFonts w:hint="eastAsia"/>
                <w:b/>
                <w:bCs/>
                <w:color w:val="auto"/>
                <w:highlight w:val="none"/>
                <w:lang w:val="en-US" w:eastAsia="zh-CN"/>
              </w:rPr>
              <w:t>主要原料物料平衡分析：</w:t>
            </w:r>
          </w:p>
          <w:p w14:paraId="5F69857F">
            <w:pPr>
              <w:pStyle w:val="18"/>
              <w:bidi w:val="0"/>
              <w:rPr>
                <w:rFonts w:hint="eastAsia"/>
                <w:color w:val="auto"/>
                <w:highlight w:val="none"/>
              </w:rPr>
            </w:pPr>
            <w:r>
              <w:rPr>
                <w:rFonts w:hint="eastAsia"/>
                <w:color w:val="auto"/>
                <w:highlight w:val="none"/>
              </w:rPr>
              <w:t>项目主要</w:t>
            </w:r>
            <w:r>
              <w:rPr>
                <w:rFonts w:hint="eastAsia"/>
                <w:color w:val="auto"/>
                <w:highlight w:val="none"/>
                <w:lang w:val="en-US" w:eastAsia="zh-CN"/>
              </w:rPr>
              <w:t>塑料</w:t>
            </w:r>
            <w:r>
              <w:rPr>
                <w:rFonts w:hint="eastAsia"/>
                <w:color w:val="auto"/>
                <w:highlight w:val="none"/>
              </w:rPr>
              <w:t>原材料</w:t>
            </w:r>
            <w:r>
              <w:rPr>
                <w:rFonts w:hint="eastAsia"/>
                <w:color w:val="auto"/>
                <w:highlight w:val="none"/>
                <w:lang w:val="en-US" w:eastAsia="zh-CN"/>
              </w:rPr>
              <w:t>物料平衡分析</w:t>
            </w:r>
            <w:r>
              <w:rPr>
                <w:rFonts w:hint="eastAsia"/>
                <w:color w:val="auto"/>
                <w:highlight w:val="none"/>
              </w:rPr>
              <w:t>一览表见</w:t>
            </w:r>
            <w:r>
              <w:rPr>
                <w:rFonts w:hint="eastAsia"/>
                <w:color w:val="auto"/>
                <w:highlight w:val="none"/>
              </w:rPr>
              <w:fldChar w:fldCharType="begin"/>
            </w:r>
            <w:r>
              <w:rPr>
                <w:rFonts w:hint="eastAsia"/>
                <w:color w:val="auto"/>
                <w:highlight w:val="none"/>
              </w:rPr>
              <w:instrText xml:space="preserve"> REF _Ref30884 \h </w:instrText>
            </w:r>
            <w:r>
              <w:rPr>
                <w:rFonts w:hint="eastAsia"/>
                <w:color w:val="auto"/>
                <w:highlight w:val="none"/>
              </w:rPr>
              <w:fldChar w:fldCharType="separate"/>
            </w:r>
            <w:r>
              <w:rPr>
                <w:color w:val="auto"/>
                <w:highlight w:val="none"/>
              </w:rPr>
              <w:t>表2-6</w:t>
            </w:r>
            <w:r>
              <w:rPr>
                <w:rFonts w:hint="eastAsia"/>
                <w:color w:val="auto"/>
                <w:highlight w:val="none"/>
              </w:rPr>
              <w:fldChar w:fldCharType="end"/>
            </w:r>
            <w:r>
              <w:rPr>
                <w:rFonts w:hint="eastAsia"/>
                <w:color w:val="auto"/>
                <w:highlight w:val="none"/>
              </w:rPr>
              <w:t>。</w:t>
            </w:r>
          </w:p>
          <w:p w14:paraId="7BD468C6">
            <w:pPr>
              <w:pStyle w:val="19"/>
              <w:bidi w:val="0"/>
              <w:rPr>
                <w:rFonts w:hint="eastAsia"/>
                <w:color w:val="auto"/>
                <w:highlight w:val="none"/>
              </w:rPr>
            </w:pPr>
            <w:bookmarkStart w:id="18" w:name="_Ref30884"/>
            <w:r>
              <w:rPr>
                <w:color w:val="auto"/>
                <w:highlight w:val="none"/>
              </w:rPr>
              <w:t>表2-</w:t>
            </w:r>
            <w:r>
              <w:rPr>
                <w:color w:val="auto"/>
                <w:highlight w:val="none"/>
              </w:rPr>
              <w:fldChar w:fldCharType="begin"/>
            </w:r>
            <w:r>
              <w:rPr>
                <w:color w:val="auto"/>
                <w:highlight w:val="none"/>
              </w:rPr>
              <w:instrText xml:space="preserve"> SEQ 表2- \* ARABIC </w:instrText>
            </w:r>
            <w:r>
              <w:rPr>
                <w:color w:val="auto"/>
                <w:highlight w:val="none"/>
              </w:rPr>
              <w:fldChar w:fldCharType="separate"/>
            </w:r>
            <w:r>
              <w:rPr>
                <w:color w:val="auto"/>
                <w:highlight w:val="none"/>
              </w:rPr>
              <w:t>6</w:t>
            </w:r>
            <w:r>
              <w:rPr>
                <w:color w:val="auto"/>
                <w:highlight w:val="none"/>
              </w:rPr>
              <w:fldChar w:fldCharType="end"/>
            </w:r>
            <w:bookmarkEnd w:id="18"/>
            <w:r>
              <w:rPr>
                <w:rFonts w:hint="eastAsia"/>
                <w:color w:val="auto"/>
                <w:highlight w:val="none"/>
              </w:rPr>
              <w:t xml:space="preserve"> 主要塑料原材料物料平衡分析一览表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28"/>
              <w:gridCol w:w="1366"/>
              <w:gridCol w:w="1719"/>
              <w:gridCol w:w="1143"/>
              <w:gridCol w:w="3476"/>
            </w:tblGrid>
            <w:tr w14:paraId="14A5F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628" w:type="dxa"/>
                  <w:vMerge w:val="restart"/>
                  <w:vAlign w:val="center"/>
                </w:tcPr>
                <w:p w14:paraId="758AD2D8">
                  <w:pPr>
                    <w:pStyle w:val="20"/>
                    <w:bidi w:val="0"/>
                    <w:rPr>
                      <w:rFonts w:hint="default"/>
                      <w:b/>
                      <w:bCs/>
                      <w:color w:val="auto"/>
                      <w:highlight w:val="none"/>
                      <w:lang w:val="en-US" w:eastAsia="zh-CN"/>
                    </w:rPr>
                  </w:pPr>
                  <w:r>
                    <w:rPr>
                      <w:rFonts w:hint="eastAsia"/>
                      <w:b/>
                      <w:bCs/>
                      <w:color w:val="auto"/>
                      <w:highlight w:val="none"/>
                      <w:lang w:val="en-US" w:eastAsia="zh-CN"/>
                    </w:rPr>
                    <w:t>项目</w:t>
                  </w:r>
                </w:p>
              </w:tc>
              <w:tc>
                <w:tcPr>
                  <w:tcW w:w="1366" w:type="dxa"/>
                  <w:vMerge w:val="restart"/>
                  <w:tcBorders>
                    <w:right w:val="single" w:color="auto" w:sz="12" w:space="0"/>
                  </w:tcBorders>
                  <w:vAlign w:val="center"/>
                </w:tcPr>
                <w:p w14:paraId="35F5F64B">
                  <w:pPr>
                    <w:pStyle w:val="20"/>
                    <w:bidi w:val="0"/>
                    <w:rPr>
                      <w:rFonts w:hint="default"/>
                      <w:b/>
                      <w:bCs/>
                      <w:color w:val="auto"/>
                      <w:highlight w:val="none"/>
                      <w:lang w:val="en-US" w:eastAsia="zh-CN"/>
                    </w:rPr>
                  </w:pPr>
                  <w:r>
                    <w:rPr>
                      <w:rFonts w:hint="eastAsia"/>
                      <w:b/>
                      <w:bCs/>
                      <w:color w:val="auto"/>
                      <w:highlight w:val="none"/>
                      <w:lang w:val="en-US" w:eastAsia="zh-CN"/>
                    </w:rPr>
                    <w:t>投入（t/a）</w:t>
                  </w:r>
                </w:p>
              </w:tc>
              <w:tc>
                <w:tcPr>
                  <w:tcW w:w="6338" w:type="dxa"/>
                  <w:gridSpan w:val="3"/>
                  <w:tcBorders>
                    <w:left w:val="single" w:color="auto" w:sz="12" w:space="0"/>
                  </w:tcBorders>
                  <w:vAlign w:val="center"/>
                </w:tcPr>
                <w:p w14:paraId="6591D953">
                  <w:pPr>
                    <w:pStyle w:val="20"/>
                    <w:bidi w:val="0"/>
                    <w:rPr>
                      <w:rFonts w:hint="default"/>
                      <w:b/>
                      <w:bCs/>
                      <w:color w:val="auto"/>
                      <w:highlight w:val="none"/>
                      <w:lang w:val="en-US" w:eastAsia="zh-CN"/>
                    </w:rPr>
                  </w:pPr>
                  <w:r>
                    <w:rPr>
                      <w:rFonts w:hint="eastAsia"/>
                      <w:b/>
                      <w:bCs/>
                      <w:color w:val="auto"/>
                      <w:highlight w:val="none"/>
                      <w:lang w:val="en-US" w:eastAsia="zh-CN"/>
                    </w:rPr>
                    <w:t>产出</w:t>
                  </w:r>
                </w:p>
              </w:tc>
            </w:tr>
            <w:tr w14:paraId="40573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628" w:type="dxa"/>
                  <w:vMerge w:val="continue"/>
                  <w:vAlign w:val="center"/>
                </w:tcPr>
                <w:p w14:paraId="1337B9D7">
                  <w:pPr>
                    <w:pStyle w:val="20"/>
                    <w:bidi w:val="0"/>
                    <w:rPr>
                      <w:rFonts w:hint="eastAsia"/>
                      <w:b/>
                      <w:bCs/>
                      <w:color w:val="auto"/>
                      <w:highlight w:val="none"/>
                      <w:lang w:val="en-US" w:eastAsia="zh-CN"/>
                    </w:rPr>
                  </w:pPr>
                </w:p>
              </w:tc>
              <w:tc>
                <w:tcPr>
                  <w:tcW w:w="1366" w:type="dxa"/>
                  <w:vMerge w:val="continue"/>
                  <w:tcBorders>
                    <w:right w:val="single" w:color="auto" w:sz="12" w:space="0"/>
                  </w:tcBorders>
                  <w:vAlign w:val="center"/>
                </w:tcPr>
                <w:p w14:paraId="306B4F0E">
                  <w:pPr>
                    <w:pStyle w:val="20"/>
                    <w:bidi w:val="0"/>
                    <w:rPr>
                      <w:rFonts w:hint="eastAsia"/>
                      <w:b/>
                      <w:bCs/>
                      <w:color w:val="auto"/>
                      <w:highlight w:val="none"/>
                      <w:lang w:val="en-US" w:eastAsia="zh-CN"/>
                    </w:rPr>
                  </w:pPr>
                </w:p>
              </w:tc>
              <w:tc>
                <w:tcPr>
                  <w:tcW w:w="1719" w:type="dxa"/>
                  <w:tcBorders>
                    <w:left w:val="single" w:color="auto" w:sz="12" w:space="0"/>
                  </w:tcBorders>
                  <w:vAlign w:val="center"/>
                </w:tcPr>
                <w:p w14:paraId="6ADF0BB5">
                  <w:pPr>
                    <w:pStyle w:val="20"/>
                    <w:bidi w:val="0"/>
                    <w:rPr>
                      <w:rFonts w:hint="default"/>
                      <w:b/>
                      <w:bCs/>
                      <w:color w:val="auto"/>
                      <w:highlight w:val="none"/>
                      <w:lang w:val="en-US" w:eastAsia="zh-CN"/>
                    </w:rPr>
                  </w:pPr>
                  <w:r>
                    <w:rPr>
                      <w:rFonts w:hint="eastAsia"/>
                      <w:b/>
                      <w:bCs/>
                      <w:color w:val="auto"/>
                      <w:highlight w:val="none"/>
                      <w:lang w:val="en-US" w:eastAsia="zh-CN"/>
                    </w:rPr>
                    <w:t>项目</w:t>
                  </w:r>
                </w:p>
              </w:tc>
              <w:tc>
                <w:tcPr>
                  <w:tcW w:w="1143" w:type="dxa"/>
                  <w:vAlign w:val="center"/>
                </w:tcPr>
                <w:p w14:paraId="48B9B912">
                  <w:pPr>
                    <w:pStyle w:val="20"/>
                    <w:bidi w:val="0"/>
                    <w:rPr>
                      <w:rFonts w:hint="default"/>
                      <w:b/>
                      <w:bCs/>
                      <w:color w:val="auto"/>
                      <w:highlight w:val="none"/>
                      <w:lang w:val="en-US" w:eastAsia="zh-CN"/>
                    </w:rPr>
                  </w:pPr>
                  <w:r>
                    <w:rPr>
                      <w:rFonts w:hint="eastAsia"/>
                      <w:b/>
                      <w:bCs/>
                      <w:color w:val="auto"/>
                      <w:highlight w:val="none"/>
                      <w:lang w:val="en-US" w:eastAsia="zh-CN"/>
                    </w:rPr>
                    <w:t>重量（t/a）</w:t>
                  </w:r>
                </w:p>
              </w:tc>
              <w:tc>
                <w:tcPr>
                  <w:tcW w:w="3476" w:type="dxa"/>
                  <w:vAlign w:val="center"/>
                </w:tcPr>
                <w:p w14:paraId="6980A264">
                  <w:pPr>
                    <w:pStyle w:val="20"/>
                    <w:bidi w:val="0"/>
                    <w:rPr>
                      <w:rFonts w:hint="default"/>
                      <w:b/>
                      <w:bCs/>
                      <w:color w:val="auto"/>
                      <w:highlight w:val="none"/>
                      <w:lang w:val="en-US" w:eastAsia="zh-CN"/>
                    </w:rPr>
                  </w:pPr>
                  <w:r>
                    <w:rPr>
                      <w:rFonts w:hint="eastAsia"/>
                      <w:b/>
                      <w:bCs/>
                      <w:color w:val="auto"/>
                      <w:highlight w:val="none"/>
                      <w:lang w:val="en-US" w:eastAsia="zh-CN"/>
                    </w:rPr>
                    <w:t>系数</w:t>
                  </w:r>
                </w:p>
              </w:tc>
            </w:tr>
            <w:tr w14:paraId="4BDBA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dxa"/>
                  <w:vMerge w:val="restart"/>
                  <w:vAlign w:val="center"/>
                </w:tcPr>
                <w:p w14:paraId="18BE2A27">
                  <w:pPr>
                    <w:pStyle w:val="20"/>
                    <w:bidi w:val="0"/>
                    <w:jc w:val="center"/>
                    <w:rPr>
                      <w:rFonts w:hint="default"/>
                      <w:color w:val="auto"/>
                      <w:highlight w:val="none"/>
                      <w:lang w:val="en-US" w:eastAsia="zh-CN"/>
                    </w:rPr>
                  </w:pPr>
                  <w:r>
                    <w:rPr>
                      <w:rFonts w:hint="eastAsia"/>
                      <w:color w:val="auto"/>
                      <w:highlight w:val="none"/>
                      <w:lang w:val="en-US" w:eastAsia="zh-CN"/>
                    </w:rPr>
                    <w:t>ABS材料产品生产</w:t>
                  </w:r>
                </w:p>
              </w:tc>
              <w:tc>
                <w:tcPr>
                  <w:tcW w:w="1366" w:type="dxa"/>
                  <w:vMerge w:val="restart"/>
                  <w:tcBorders>
                    <w:right w:val="single" w:color="auto" w:sz="12" w:space="0"/>
                  </w:tcBorders>
                  <w:vAlign w:val="center"/>
                </w:tcPr>
                <w:p w14:paraId="60A50EEB">
                  <w:pPr>
                    <w:pStyle w:val="20"/>
                    <w:bidi w:val="0"/>
                    <w:jc w:val="both"/>
                    <w:rPr>
                      <w:rFonts w:hint="default"/>
                      <w:color w:val="auto"/>
                      <w:highlight w:val="none"/>
                      <w:lang w:val="en-US" w:eastAsia="zh-CN"/>
                    </w:rPr>
                  </w:pPr>
                  <w:r>
                    <w:rPr>
                      <w:rFonts w:hint="eastAsia"/>
                      <w:color w:val="auto"/>
                      <w:highlight w:val="none"/>
                      <w:lang w:val="en-US" w:eastAsia="zh-CN"/>
                    </w:rPr>
                    <w:t>新料 252.709</w:t>
                  </w:r>
                </w:p>
              </w:tc>
              <w:tc>
                <w:tcPr>
                  <w:tcW w:w="1719" w:type="dxa"/>
                  <w:tcBorders>
                    <w:left w:val="single" w:color="auto" w:sz="12" w:space="0"/>
                  </w:tcBorders>
                  <w:vAlign w:val="center"/>
                </w:tcPr>
                <w:p w14:paraId="69A2DB8D">
                  <w:pPr>
                    <w:pStyle w:val="20"/>
                    <w:bidi w:val="0"/>
                    <w:rPr>
                      <w:rFonts w:hint="default"/>
                      <w:color w:val="auto"/>
                      <w:highlight w:val="none"/>
                      <w:lang w:val="en-US" w:eastAsia="zh-CN"/>
                    </w:rPr>
                  </w:pPr>
                  <w:r>
                    <w:rPr>
                      <w:rFonts w:hint="eastAsia"/>
                      <w:color w:val="auto"/>
                      <w:highlight w:val="none"/>
                      <w:lang w:val="en-US" w:eastAsia="zh-CN"/>
                    </w:rPr>
                    <w:t>ABS产品</w:t>
                  </w:r>
                </w:p>
              </w:tc>
              <w:tc>
                <w:tcPr>
                  <w:tcW w:w="1143" w:type="dxa"/>
                  <w:vAlign w:val="center"/>
                </w:tcPr>
                <w:p w14:paraId="79148DCA">
                  <w:pPr>
                    <w:pStyle w:val="20"/>
                    <w:bidi w:val="0"/>
                    <w:rPr>
                      <w:rFonts w:hint="default"/>
                      <w:color w:val="auto"/>
                      <w:highlight w:val="none"/>
                      <w:lang w:val="en-US" w:eastAsia="zh-CN"/>
                    </w:rPr>
                  </w:pPr>
                  <w:r>
                    <w:rPr>
                      <w:rFonts w:hint="default"/>
                      <w:color w:val="auto"/>
                      <w:highlight w:val="none"/>
                      <w:lang w:val="en-US" w:eastAsia="zh-CN"/>
                    </w:rPr>
                    <w:t>251.6</w:t>
                  </w:r>
                </w:p>
              </w:tc>
              <w:tc>
                <w:tcPr>
                  <w:tcW w:w="3476" w:type="dxa"/>
                  <w:vAlign w:val="center"/>
                </w:tcPr>
                <w:p w14:paraId="383B2785">
                  <w:pPr>
                    <w:pStyle w:val="20"/>
                    <w:bidi w:val="0"/>
                    <w:rPr>
                      <w:rFonts w:hint="default"/>
                      <w:color w:val="auto"/>
                      <w:highlight w:val="none"/>
                      <w:lang w:val="en-US" w:eastAsia="zh-CN"/>
                    </w:rPr>
                  </w:pPr>
                  <w:r>
                    <w:rPr>
                      <w:rFonts w:hint="eastAsia"/>
                      <w:color w:val="auto"/>
                      <w:highlight w:val="none"/>
                      <w:lang w:val="en-US" w:eastAsia="zh-CN"/>
                    </w:rPr>
                    <w:t>/</w:t>
                  </w:r>
                </w:p>
              </w:tc>
            </w:tr>
            <w:tr w14:paraId="28EF8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dxa"/>
                  <w:vMerge w:val="continue"/>
                  <w:vAlign w:val="center"/>
                </w:tcPr>
                <w:p w14:paraId="3015C346">
                  <w:pPr>
                    <w:pStyle w:val="20"/>
                    <w:bidi w:val="0"/>
                    <w:rPr>
                      <w:rFonts w:hint="eastAsia"/>
                      <w:color w:val="auto"/>
                      <w:highlight w:val="none"/>
                      <w:lang w:val="en-US" w:eastAsia="zh-CN"/>
                    </w:rPr>
                  </w:pPr>
                </w:p>
              </w:tc>
              <w:tc>
                <w:tcPr>
                  <w:tcW w:w="1366" w:type="dxa"/>
                  <w:vMerge w:val="continue"/>
                  <w:tcBorders>
                    <w:right w:val="single" w:color="auto" w:sz="12" w:space="0"/>
                  </w:tcBorders>
                  <w:vAlign w:val="center"/>
                </w:tcPr>
                <w:p w14:paraId="1BD1C341">
                  <w:pPr>
                    <w:pStyle w:val="20"/>
                    <w:bidi w:val="0"/>
                    <w:rPr>
                      <w:rFonts w:hint="eastAsia"/>
                      <w:color w:val="auto"/>
                      <w:highlight w:val="none"/>
                      <w:lang w:val="en-US" w:eastAsia="zh-CN"/>
                    </w:rPr>
                  </w:pPr>
                </w:p>
              </w:tc>
              <w:tc>
                <w:tcPr>
                  <w:tcW w:w="1719" w:type="dxa"/>
                  <w:tcBorders>
                    <w:left w:val="single" w:color="auto" w:sz="12" w:space="0"/>
                  </w:tcBorders>
                  <w:vAlign w:val="center"/>
                </w:tcPr>
                <w:p w14:paraId="2782E5C7">
                  <w:pPr>
                    <w:pStyle w:val="20"/>
                    <w:bidi w:val="0"/>
                    <w:rPr>
                      <w:rFonts w:hint="default"/>
                      <w:color w:val="auto"/>
                      <w:highlight w:val="none"/>
                      <w:lang w:val="en-US" w:eastAsia="zh-CN"/>
                    </w:rPr>
                  </w:pPr>
                  <w:r>
                    <w:rPr>
                      <w:rFonts w:hint="eastAsia"/>
                      <w:color w:val="auto"/>
                      <w:highlight w:val="none"/>
                      <w:lang w:val="en-US" w:eastAsia="zh-CN"/>
                    </w:rPr>
                    <w:t>非甲烷总烃</w:t>
                  </w:r>
                </w:p>
              </w:tc>
              <w:tc>
                <w:tcPr>
                  <w:tcW w:w="1143" w:type="dxa"/>
                  <w:vAlign w:val="center"/>
                </w:tcPr>
                <w:p w14:paraId="34CFBC4D">
                  <w:pPr>
                    <w:pStyle w:val="20"/>
                    <w:bidi w:val="0"/>
                    <w:rPr>
                      <w:rFonts w:hint="default"/>
                      <w:color w:val="auto"/>
                      <w:highlight w:val="none"/>
                      <w:lang w:val="en-US" w:eastAsia="zh-CN"/>
                    </w:rPr>
                  </w:pPr>
                  <w:r>
                    <w:rPr>
                      <w:rFonts w:hint="default"/>
                      <w:color w:val="auto"/>
                      <w:highlight w:val="none"/>
                      <w:lang w:val="en-US" w:eastAsia="zh-CN"/>
                    </w:rPr>
                    <w:t>0.679</w:t>
                  </w:r>
                </w:p>
              </w:tc>
              <w:tc>
                <w:tcPr>
                  <w:tcW w:w="3476" w:type="dxa"/>
                  <w:vAlign w:val="center"/>
                </w:tcPr>
                <w:p w14:paraId="7874989C">
                  <w:pPr>
                    <w:pStyle w:val="20"/>
                    <w:bidi w:val="0"/>
                    <w:rPr>
                      <w:rFonts w:hint="eastAsia"/>
                      <w:color w:val="auto"/>
                      <w:highlight w:val="none"/>
                      <w:lang w:val="en-US" w:eastAsia="zh-CN"/>
                    </w:rPr>
                  </w:pPr>
                  <w:r>
                    <w:rPr>
                      <w:rFonts w:hint="eastAsia"/>
                      <w:color w:val="auto"/>
                      <w:highlight w:val="none"/>
                      <w:lang w:val="en-US" w:eastAsia="zh-CN"/>
                    </w:rPr>
                    <w:t>系数：2.7kg/吨-产品</w:t>
                  </w:r>
                </w:p>
              </w:tc>
            </w:tr>
            <w:tr w14:paraId="374DD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dxa"/>
                  <w:vMerge w:val="continue"/>
                  <w:vAlign w:val="center"/>
                </w:tcPr>
                <w:p w14:paraId="4141ACFE">
                  <w:pPr>
                    <w:pStyle w:val="20"/>
                    <w:bidi w:val="0"/>
                    <w:rPr>
                      <w:rFonts w:hint="default"/>
                      <w:color w:val="auto"/>
                      <w:highlight w:val="none"/>
                      <w:lang w:val="en-US" w:eastAsia="zh-CN"/>
                    </w:rPr>
                  </w:pPr>
                </w:p>
              </w:tc>
              <w:tc>
                <w:tcPr>
                  <w:tcW w:w="1366" w:type="dxa"/>
                  <w:vMerge w:val="continue"/>
                  <w:tcBorders>
                    <w:right w:val="single" w:color="auto" w:sz="12" w:space="0"/>
                  </w:tcBorders>
                  <w:vAlign w:val="center"/>
                </w:tcPr>
                <w:p w14:paraId="3C49F01C">
                  <w:pPr>
                    <w:pStyle w:val="20"/>
                    <w:bidi w:val="0"/>
                    <w:rPr>
                      <w:rFonts w:hint="default"/>
                      <w:color w:val="auto"/>
                      <w:highlight w:val="none"/>
                      <w:lang w:val="en-US" w:eastAsia="zh-CN"/>
                    </w:rPr>
                  </w:pPr>
                </w:p>
              </w:tc>
              <w:tc>
                <w:tcPr>
                  <w:tcW w:w="1719" w:type="dxa"/>
                  <w:tcBorders>
                    <w:left w:val="single" w:color="auto" w:sz="12" w:space="0"/>
                  </w:tcBorders>
                  <w:vAlign w:val="center"/>
                </w:tcPr>
                <w:p w14:paraId="3E92B165">
                  <w:pPr>
                    <w:pStyle w:val="20"/>
                    <w:bidi w:val="0"/>
                    <w:rPr>
                      <w:rFonts w:hint="default"/>
                      <w:color w:val="auto"/>
                      <w:highlight w:val="none"/>
                      <w:lang w:val="en-US" w:eastAsia="zh-CN"/>
                    </w:rPr>
                  </w:pPr>
                  <w:r>
                    <w:rPr>
                      <w:rFonts w:hint="eastAsia"/>
                      <w:color w:val="auto"/>
                      <w:highlight w:val="none"/>
                      <w:lang w:val="en-US" w:eastAsia="zh-CN"/>
                    </w:rPr>
                    <w:t>游离单体排放</w:t>
                  </w:r>
                </w:p>
              </w:tc>
              <w:tc>
                <w:tcPr>
                  <w:tcW w:w="1143" w:type="dxa"/>
                  <w:vAlign w:val="center"/>
                </w:tcPr>
                <w:p w14:paraId="1A4AEF19">
                  <w:pPr>
                    <w:pStyle w:val="20"/>
                    <w:bidi w:val="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345</w:t>
                  </w:r>
                </w:p>
              </w:tc>
              <w:tc>
                <w:tcPr>
                  <w:tcW w:w="3476" w:type="dxa"/>
                  <w:vAlign w:val="center"/>
                </w:tcPr>
                <w:p w14:paraId="76D21597">
                  <w:pPr>
                    <w:pStyle w:val="20"/>
                    <w:bidi w:val="0"/>
                    <w:rPr>
                      <w:rFonts w:hint="default"/>
                      <w:color w:val="auto"/>
                      <w:highlight w:val="none"/>
                      <w:lang w:val="en-US" w:eastAsia="zh-CN"/>
                    </w:rPr>
                  </w:pPr>
                  <w:r>
                    <w:rPr>
                      <w:rFonts w:hint="eastAsia"/>
                      <w:color w:val="auto"/>
                      <w:highlight w:val="none"/>
                      <w:lang w:val="en-US" w:eastAsia="zh-CN"/>
                    </w:rPr>
                    <w:t>1366.01mg/kg-原料，0.136601%原料</w:t>
                  </w:r>
                </w:p>
              </w:tc>
            </w:tr>
            <w:tr w14:paraId="7F4F4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dxa"/>
                  <w:vMerge w:val="continue"/>
                  <w:vAlign w:val="center"/>
                </w:tcPr>
                <w:p w14:paraId="623ACE7C">
                  <w:pPr>
                    <w:pStyle w:val="20"/>
                    <w:bidi w:val="0"/>
                    <w:rPr>
                      <w:rFonts w:hint="default"/>
                      <w:color w:val="auto"/>
                      <w:highlight w:val="none"/>
                      <w:lang w:val="en-US" w:eastAsia="zh-CN"/>
                    </w:rPr>
                  </w:pPr>
                </w:p>
              </w:tc>
              <w:tc>
                <w:tcPr>
                  <w:tcW w:w="1366" w:type="dxa"/>
                  <w:vMerge w:val="continue"/>
                  <w:tcBorders>
                    <w:right w:val="single" w:color="auto" w:sz="12" w:space="0"/>
                  </w:tcBorders>
                  <w:vAlign w:val="center"/>
                </w:tcPr>
                <w:p w14:paraId="65AC8B6F">
                  <w:pPr>
                    <w:pStyle w:val="20"/>
                    <w:bidi w:val="0"/>
                    <w:rPr>
                      <w:rFonts w:hint="default"/>
                      <w:color w:val="auto"/>
                      <w:highlight w:val="none"/>
                      <w:lang w:val="en-US" w:eastAsia="zh-CN"/>
                    </w:rPr>
                  </w:pPr>
                </w:p>
              </w:tc>
              <w:tc>
                <w:tcPr>
                  <w:tcW w:w="1719" w:type="dxa"/>
                  <w:tcBorders>
                    <w:left w:val="single" w:color="auto" w:sz="12" w:space="0"/>
                  </w:tcBorders>
                  <w:vAlign w:val="center"/>
                </w:tcPr>
                <w:p w14:paraId="5ACDE6E4">
                  <w:pPr>
                    <w:pStyle w:val="20"/>
                    <w:bidi w:val="0"/>
                    <w:rPr>
                      <w:rFonts w:hint="default"/>
                      <w:color w:val="auto"/>
                      <w:highlight w:val="none"/>
                      <w:lang w:val="en-US" w:eastAsia="zh-CN"/>
                    </w:rPr>
                  </w:pPr>
                  <w:r>
                    <w:rPr>
                      <w:rFonts w:hint="eastAsia"/>
                      <w:color w:val="auto"/>
                      <w:highlight w:val="none"/>
                      <w:lang w:val="en-US" w:eastAsia="zh-CN"/>
                    </w:rPr>
                    <w:t>不可回用废料</w:t>
                  </w:r>
                </w:p>
              </w:tc>
              <w:tc>
                <w:tcPr>
                  <w:tcW w:w="1143" w:type="dxa"/>
                  <w:vAlign w:val="center"/>
                </w:tcPr>
                <w:p w14:paraId="131D6CD2">
                  <w:pPr>
                    <w:pStyle w:val="20"/>
                    <w:bidi w:val="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76</w:t>
                  </w:r>
                </w:p>
              </w:tc>
              <w:tc>
                <w:tcPr>
                  <w:tcW w:w="3476" w:type="dxa"/>
                  <w:vAlign w:val="center"/>
                </w:tcPr>
                <w:p w14:paraId="388D54D0">
                  <w:pPr>
                    <w:pStyle w:val="20"/>
                    <w:bidi w:val="0"/>
                    <w:rPr>
                      <w:rFonts w:hint="default"/>
                      <w:color w:val="auto"/>
                      <w:highlight w:val="none"/>
                      <w:lang w:val="en-US" w:eastAsia="zh-CN"/>
                    </w:rPr>
                  </w:pPr>
                  <w:r>
                    <w:rPr>
                      <w:rFonts w:hint="eastAsia"/>
                      <w:color w:val="auto"/>
                      <w:highlight w:val="none"/>
                      <w:lang w:val="en-US" w:eastAsia="zh-CN"/>
                    </w:rPr>
                    <w:t>0.03%-原料</w:t>
                  </w:r>
                </w:p>
              </w:tc>
            </w:tr>
            <w:tr w14:paraId="2E529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dxa"/>
                  <w:vMerge w:val="continue"/>
                  <w:vAlign w:val="center"/>
                </w:tcPr>
                <w:p w14:paraId="710C4A3E">
                  <w:pPr>
                    <w:pStyle w:val="20"/>
                    <w:bidi w:val="0"/>
                    <w:rPr>
                      <w:rFonts w:hint="default"/>
                      <w:color w:val="auto"/>
                      <w:highlight w:val="none"/>
                      <w:lang w:val="en-US" w:eastAsia="zh-CN"/>
                    </w:rPr>
                  </w:pPr>
                </w:p>
              </w:tc>
              <w:tc>
                <w:tcPr>
                  <w:tcW w:w="1366" w:type="dxa"/>
                  <w:vMerge w:val="continue"/>
                  <w:tcBorders>
                    <w:right w:val="single" w:color="auto" w:sz="12" w:space="0"/>
                  </w:tcBorders>
                  <w:vAlign w:val="center"/>
                </w:tcPr>
                <w:p w14:paraId="42D0BBD6">
                  <w:pPr>
                    <w:pStyle w:val="20"/>
                    <w:bidi w:val="0"/>
                    <w:rPr>
                      <w:rFonts w:hint="default"/>
                      <w:color w:val="auto"/>
                      <w:highlight w:val="none"/>
                      <w:lang w:val="en-US" w:eastAsia="zh-CN"/>
                    </w:rPr>
                  </w:pPr>
                </w:p>
              </w:tc>
              <w:tc>
                <w:tcPr>
                  <w:tcW w:w="1719" w:type="dxa"/>
                  <w:tcBorders>
                    <w:left w:val="single" w:color="auto" w:sz="12" w:space="0"/>
                    <w:bottom w:val="double" w:color="auto" w:sz="4" w:space="0"/>
                  </w:tcBorders>
                  <w:vAlign w:val="center"/>
                </w:tcPr>
                <w:p w14:paraId="159413CA">
                  <w:pPr>
                    <w:pStyle w:val="20"/>
                    <w:bidi w:val="0"/>
                    <w:rPr>
                      <w:rFonts w:hint="default"/>
                      <w:color w:val="auto"/>
                      <w:highlight w:val="none"/>
                      <w:lang w:val="en-US" w:eastAsia="zh-CN"/>
                    </w:rPr>
                  </w:pPr>
                  <w:r>
                    <w:rPr>
                      <w:rFonts w:hint="eastAsia"/>
                      <w:color w:val="auto"/>
                      <w:highlight w:val="none"/>
                      <w:lang w:val="en-US" w:eastAsia="zh-CN"/>
                    </w:rPr>
                    <w:t>破碎颗粒物</w:t>
                  </w:r>
                </w:p>
              </w:tc>
              <w:tc>
                <w:tcPr>
                  <w:tcW w:w="1143" w:type="dxa"/>
                  <w:tcBorders>
                    <w:bottom w:val="double" w:color="auto" w:sz="4" w:space="0"/>
                  </w:tcBorders>
                  <w:vAlign w:val="center"/>
                </w:tcPr>
                <w:p w14:paraId="7DD6F1ED">
                  <w:pPr>
                    <w:pStyle w:val="20"/>
                    <w:bidi w:val="0"/>
                    <w:rPr>
                      <w:rFonts w:hint="default"/>
                      <w:color w:val="auto"/>
                      <w:highlight w:val="none"/>
                      <w:lang w:val="en-US" w:eastAsia="zh-CN"/>
                    </w:rPr>
                  </w:pPr>
                  <w:r>
                    <w:rPr>
                      <w:rFonts w:hint="default"/>
                      <w:color w:val="auto"/>
                      <w:highlight w:val="none"/>
                      <w:lang w:val="en-US" w:eastAsia="zh-CN"/>
                    </w:rPr>
                    <w:t>0.009</w:t>
                  </w:r>
                </w:p>
              </w:tc>
              <w:tc>
                <w:tcPr>
                  <w:tcW w:w="3476" w:type="dxa"/>
                  <w:tcBorders>
                    <w:bottom w:val="double" w:color="auto" w:sz="4" w:space="0"/>
                  </w:tcBorders>
                  <w:vAlign w:val="center"/>
                </w:tcPr>
                <w:p w14:paraId="0F99585C">
                  <w:pPr>
                    <w:pStyle w:val="20"/>
                    <w:bidi w:val="0"/>
                    <w:rPr>
                      <w:rFonts w:hint="default"/>
                      <w:color w:val="auto"/>
                      <w:highlight w:val="none"/>
                      <w:lang w:val="en-US" w:eastAsia="zh-CN"/>
                    </w:rPr>
                  </w:pPr>
                  <w:r>
                    <w:rPr>
                      <w:rFonts w:hint="eastAsia"/>
                      <w:color w:val="auto"/>
                      <w:highlight w:val="none"/>
                      <w:lang w:val="en-US" w:eastAsia="zh-CN"/>
                    </w:rPr>
                    <w:t>425g/t-破碎料（边角料+不合格品）</w:t>
                  </w:r>
                </w:p>
              </w:tc>
            </w:tr>
            <w:tr w14:paraId="1EF0E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dxa"/>
                  <w:vMerge w:val="continue"/>
                  <w:vAlign w:val="center"/>
                </w:tcPr>
                <w:p w14:paraId="297C0A92">
                  <w:pPr>
                    <w:pStyle w:val="20"/>
                    <w:bidi w:val="0"/>
                    <w:rPr>
                      <w:rFonts w:hint="default"/>
                      <w:color w:val="auto"/>
                      <w:highlight w:val="none"/>
                      <w:lang w:val="en-US" w:eastAsia="zh-CN"/>
                    </w:rPr>
                  </w:pPr>
                </w:p>
              </w:tc>
              <w:tc>
                <w:tcPr>
                  <w:tcW w:w="1366" w:type="dxa"/>
                  <w:vMerge w:val="continue"/>
                  <w:tcBorders>
                    <w:right w:val="single" w:color="auto" w:sz="12" w:space="0"/>
                  </w:tcBorders>
                  <w:vAlign w:val="center"/>
                </w:tcPr>
                <w:p w14:paraId="7E024634">
                  <w:pPr>
                    <w:pStyle w:val="20"/>
                    <w:bidi w:val="0"/>
                    <w:rPr>
                      <w:rFonts w:hint="default"/>
                      <w:color w:val="auto"/>
                      <w:highlight w:val="none"/>
                      <w:lang w:val="en-US" w:eastAsia="zh-CN"/>
                    </w:rPr>
                  </w:pPr>
                </w:p>
              </w:tc>
              <w:tc>
                <w:tcPr>
                  <w:tcW w:w="1719" w:type="dxa"/>
                  <w:tcBorders>
                    <w:top w:val="double" w:color="auto" w:sz="4" w:space="0"/>
                    <w:left w:val="single" w:color="auto" w:sz="12" w:space="0"/>
                  </w:tcBorders>
                  <w:vAlign w:val="center"/>
                </w:tcPr>
                <w:p w14:paraId="18FD877B">
                  <w:pPr>
                    <w:pStyle w:val="20"/>
                    <w:bidi w:val="0"/>
                    <w:rPr>
                      <w:rFonts w:hint="default"/>
                      <w:color w:val="auto"/>
                      <w:highlight w:val="none"/>
                      <w:lang w:val="en-US" w:eastAsia="zh-CN"/>
                    </w:rPr>
                  </w:pPr>
                  <w:r>
                    <w:rPr>
                      <w:rFonts w:hint="eastAsia"/>
                      <w:color w:val="auto"/>
                      <w:highlight w:val="none"/>
                      <w:lang w:val="en-US" w:eastAsia="zh-CN"/>
                    </w:rPr>
                    <w:t>边角料</w:t>
                  </w:r>
                </w:p>
              </w:tc>
              <w:tc>
                <w:tcPr>
                  <w:tcW w:w="1143" w:type="dxa"/>
                  <w:tcBorders>
                    <w:top w:val="double" w:color="auto" w:sz="4" w:space="0"/>
                  </w:tcBorders>
                  <w:vAlign w:val="center"/>
                </w:tcPr>
                <w:p w14:paraId="58B00F15">
                  <w:pPr>
                    <w:pStyle w:val="20"/>
                    <w:bidi w:val="0"/>
                    <w:rPr>
                      <w:rFonts w:hint="default"/>
                      <w:color w:val="auto"/>
                      <w:highlight w:val="none"/>
                      <w:lang w:val="en-US" w:eastAsia="zh-CN"/>
                    </w:rPr>
                  </w:pPr>
                  <w:r>
                    <w:rPr>
                      <w:rFonts w:hint="eastAsia"/>
                      <w:color w:val="auto"/>
                      <w:highlight w:val="none"/>
                      <w:lang w:val="en-US" w:eastAsia="zh-CN"/>
                    </w:rPr>
                    <w:t>12.635</w:t>
                  </w:r>
                </w:p>
              </w:tc>
              <w:tc>
                <w:tcPr>
                  <w:tcW w:w="3476" w:type="dxa"/>
                  <w:tcBorders>
                    <w:top w:val="double" w:color="auto" w:sz="4" w:space="0"/>
                  </w:tcBorders>
                  <w:vAlign w:val="center"/>
                </w:tcPr>
                <w:p w14:paraId="2D4B3C8A">
                  <w:pPr>
                    <w:pStyle w:val="20"/>
                    <w:bidi w:val="0"/>
                    <w:rPr>
                      <w:rFonts w:hint="eastAsia"/>
                      <w:color w:val="auto"/>
                      <w:highlight w:val="none"/>
                      <w:lang w:val="en-US" w:eastAsia="zh-CN"/>
                    </w:rPr>
                  </w:pPr>
                  <w:r>
                    <w:rPr>
                      <w:rFonts w:hint="eastAsia"/>
                      <w:color w:val="auto"/>
                      <w:highlight w:val="none"/>
                      <w:lang w:val="en-US" w:eastAsia="zh-CN"/>
                    </w:rPr>
                    <w:t>5%-原料</w:t>
                  </w:r>
                </w:p>
              </w:tc>
            </w:tr>
            <w:tr w14:paraId="6764F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dxa"/>
                  <w:vMerge w:val="continue"/>
                  <w:vAlign w:val="center"/>
                </w:tcPr>
                <w:p w14:paraId="275533A1">
                  <w:pPr>
                    <w:pStyle w:val="20"/>
                    <w:bidi w:val="0"/>
                    <w:rPr>
                      <w:rFonts w:hint="default"/>
                      <w:color w:val="auto"/>
                      <w:highlight w:val="none"/>
                      <w:lang w:val="en-US" w:eastAsia="zh-CN"/>
                    </w:rPr>
                  </w:pPr>
                </w:p>
              </w:tc>
              <w:tc>
                <w:tcPr>
                  <w:tcW w:w="1366" w:type="dxa"/>
                  <w:vMerge w:val="continue"/>
                  <w:tcBorders>
                    <w:right w:val="single" w:color="auto" w:sz="12" w:space="0"/>
                  </w:tcBorders>
                  <w:vAlign w:val="center"/>
                </w:tcPr>
                <w:p w14:paraId="4F3D809C">
                  <w:pPr>
                    <w:pStyle w:val="20"/>
                    <w:bidi w:val="0"/>
                    <w:rPr>
                      <w:rFonts w:hint="default"/>
                      <w:color w:val="auto"/>
                      <w:highlight w:val="none"/>
                      <w:lang w:val="en-US" w:eastAsia="zh-CN"/>
                    </w:rPr>
                  </w:pPr>
                </w:p>
              </w:tc>
              <w:tc>
                <w:tcPr>
                  <w:tcW w:w="1719" w:type="dxa"/>
                  <w:tcBorders>
                    <w:left w:val="single" w:color="auto" w:sz="12" w:space="0"/>
                  </w:tcBorders>
                  <w:vAlign w:val="center"/>
                </w:tcPr>
                <w:p w14:paraId="4DAF764E">
                  <w:pPr>
                    <w:pStyle w:val="20"/>
                    <w:bidi w:val="0"/>
                    <w:rPr>
                      <w:rFonts w:hint="default"/>
                      <w:color w:val="auto"/>
                      <w:highlight w:val="none"/>
                      <w:lang w:val="en-US" w:eastAsia="zh-CN"/>
                    </w:rPr>
                  </w:pPr>
                  <w:r>
                    <w:rPr>
                      <w:rFonts w:hint="eastAsia"/>
                      <w:color w:val="auto"/>
                      <w:highlight w:val="none"/>
                      <w:lang w:val="en-US" w:eastAsia="zh-CN"/>
                    </w:rPr>
                    <w:t>不合格品</w:t>
                  </w:r>
                </w:p>
              </w:tc>
              <w:tc>
                <w:tcPr>
                  <w:tcW w:w="1143" w:type="dxa"/>
                  <w:vAlign w:val="center"/>
                </w:tcPr>
                <w:p w14:paraId="7BE928B2">
                  <w:pPr>
                    <w:pStyle w:val="20"/>
                    <w:bidi w:val="0"/>
                    <w:rPr>
                      <w:rFonts w:hint="default"/>
                      <w:color w:val="auto"/>
                      <w:highlight w:val="none"/>
                      <w:lang w:val="en-US" w:eastAsia="zh-CN"/>
                    </w:rPr>
                  </w:pPr>
                  <w:r>
                    <w:rPr>
                      <w:rFonts w:hint="eastAsia"/>
                      <w:color w:val="auto"/>
                      <w:highlight w:val="none"/>
                      <w:lang w:val="en-US" w:eastAsia="zh-CN"/>
                    </w:rPr>
                    <w:t>7.781</w:t>
                  </w:r>
                </w:p>
              </w:tc>
              <w:tc>
                <w:tcPr>
                  <w:tcW w:w="3476" w:type="dxa"/>
                  <w:vAlign w:val="center"/>
                </w:tcPr>
                <w:p w14:paraId="6BDD61D7">
                  <w:pPr>
                    <w:pStyle w:val="20"/>
                    <w:bidi w:val="0"/>
                    <w:rPr>
                      <w:rFonts w:hint="eastAsia"/>
                      <w:color w:val="auto"/>
                      <w:highlight w:val="none"/>
                      <w:lang w:val="en-US" w:eastAsia="zh-CN"/>
                    </w:rPr>
                  </w:pPr>
                  <w:r>
                    <w:rPr>
                      <w:rFonts w:hint="eastAsia"/>
                      <w:color w:val="auto"/>
                      <w:highlight w:val="none"/>
                      <w:lang w:val="en-US" w:eastAsia="zh-CN"/>
                    </w:rPr>
                    <w:t>合格率97%，不合格产品251.6/0.97*0.03=7.781</w:t>
                  </w:r>
                </w:p>
              </w:tc>
            </w:tr>
            <w:tr w14:paraId="70B8D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dxa"/>
                  <w:tcBorders>
                    <w:bottom w:val="double" w:color="auto" w:sz="4" w:space="0"/>
                  </w:tcBorders>
                  <w:vAlign w:val="center"/>
                </w:tcPr>
                <w:p w14:paraId="3F8782E1">
                  <w:pPr>
                    <w:pStyle w:val="20"/>
                    <w:bidi w:val="0"/>
                    <w:rPr>
                      <w:rFonts w:hint="default"/>
                      <w:color w:val="auto"/>
                      <w:highlight w:val="none"/>
                      <w:lang w:val="en-US" w:eastAsia="zh-CN"/>
                    </w:rPr>
                  </w:pPr>
                  <w:r>
                    <w:rPr>
                      <w:rFonts w:hint="eastAsia"/>
                      <w:color w:val="auto"/>
                      <w:highlight w:val="none"/>
                      <w:lang w:val="en-US" w:eastAsia="zh-CN"/>
                    </w:rPr>
                    <w:t>合计</w:t>
                  </w:r>
                </w:p>
              </w:tc>
              <w:tc>
                <w:tcPr>
                  <w:tcW w:w="1366" w:type="dxa"/>
                  <w:tcBorders>
                    <w:bottom w:val="double" w:color="auto" w:sz="4" w:space="0"/>
                    <w:right w:val="single" w:color="auto" w:sz="12" w:space="0"/>
                  </w:tcBorders>
                  <w:vAlign w:val="center"/>
                </w:tcPr>
                <w:p w14:paraId="06F4235E">
                  <w:pPr>
                    <w:pStyle w:val="20"/>
                    <w:bidi w:val="0"/>
                    <w:rPr>
                      <w:rFonts w:hint="default"/>
                      <w:color w:val="auto"/>
                      <w:highlight w:val="none"/>
                      <w:lang w:val="en-US" w:eastAsia="zh-CN"/>
                    </w:rPr>
                  </w:pPr>
                  <w:r>
                    <w:rPr>
                      <w:rFonts w:hint="eastAsia"/>
                      <w:color w:val="auto"/>
                      <w:highlight w:val="none"/>
                      <w:lang w:val="en-US" w:eastAsia="zh-CN"/>
                    </w:rPr>
                    <w:t>252.709</w:t>
                  </w:r>
                </w:p>
              </w:tc>
              <w:tc>
                <w:tcPr>
                  <w:tcW w:w="1719" w:type="dxa"/>
                  <w:tcBorders>
                    <w:left w:val="single" w:color="auto" w:sz="12" w:space="0"/>
                    <w:bottom w:val="double" w:color="auto" w:sz="4" w:space="0"/>
                  </w:tcBorders>
                  <w:vAlign w:val="center"/>
                </w:tcPr>
                <w:p w14:paraId="411F8995">
                  <w:pPr>
                    <w:pStyle w:val="20"/>
                    <w:bidi w:val="0"/>
                    <w:rPr>
                      <w:rFonts w:hint="default"/>
                      <w:color w:val="auto"/>
                      <w:highlight w:val="none"/>
                      <w:lang w:val="en-US" w:eastAsia="zh-CN"/>
                    </w:rPr>
                  </w:pPr>
                  <w:r>
                    <w:rPr>
                      <w:rFonts w:hint="eastAsia"/>
                      <w:color w:val="auto"/>
                      <w:highlight w:val="none"/>
                      <w:lang w:val="en-US" w:eastAsia="zh-CN"/>
                    </w:rPr>
                    <w:t>/</w:t>
                  </w:r>
                </w:p>
              </w:tc>
              <w:tc>
                <w:tcPr>
                  <w:tcW w:w="1143" w:type="dxa"/>
                  <w:tcBorders>
                    <w:bottom w:val="double" w:color="auto" w:sz="4" w:space="0"/>
                  </w:tcBorders>
                  <w:vAlign w:val="center"/>
                </w:tcPr>
                <w:p w14:paraId="1ACC22FB">
                  <w:pPr>
                    <w:pStyle w:val="20"/>
                    <w:bidi w:val="0"/>
                    <w:rPr>
                      <w:rFonts w:hint="default"/>
                      <w:color w:val="auto"/>
                      <w:highlight w:val="none"/>
                      <w:lang w:val="en-US" w:eastAsia="zh-CN"/>
                    </w:rPr>
                  </w:pPr>
                  <w:r>
                    <w:rPr>
                      <w:rFonts w:hint="eastAsia"/>
                      <w:color w:val="auto"/>
                      <w:highlight w:val="none"/>
                      <w:lang w:val="en-US" w:eastAsia="zh-CN"/>
                    </w:rPr>
                    <w:t>252.709</w:t>
                  </w:r>
                </w:p>
              </w:tc>
              <w:tc>
                <w:tcPr>
                  <w:tcW w:w="3476" w:type="dxa"/>
                  <w:tcBorders>
                    <w:bottom w:val="double" w:color="auto" w:sz="4" w:space="0"/>
                  </w:tcBorders>
                  <w:vAlign w:val="center"/>
                </w:tcPr>
                <w:p w14:paraId="264E520F">
                  <w:pPr>
                    <w:pStyle w:val="20"/>
                    <w:bidi w:val="0"/>
                    <w:rPr>
                      <w:rFonts w:hint="default"/>
                      <w:color w:val="auto"/>
                      <w:highlight w:val="none"/>
                      <w:lang w:val="en-US" w:eastAsia="zh-CN"/>
                    </w:rPr>
                  </w:pPr>
                  <w:r>
                    <w:rPr>
                      <w:rFonts w:hint="eastAsia"/>
                      <w:color w:val="auto"/>
                      <w:highlight w:val="none"/>
                      <w:lang w:val="en-US" w:eastAsia="zh-CN"/>
                    </w:rPr>
                    <w:t>注：边角料、不合格品回用，最终进入产品，不计入产出</w:t>
                  </w:r>
                </w:p>
              </w:tc>
            </w:tr>
            <w:tr w14:paraId="74019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dxa"/>
                  <w:vMerge w:val="restart"/>
                  <w:tcBorders>
                    <w:top w:val="double" w:color="auto" w:sz="4" w:space="0"/>
                  </w:tcBorders>
                  <w:vAlign w:val="center"/>
                </w:tcPr>
                <w:p w14:paraId="300B31A3">
                  <w:pPr>
                    <w:pStyle w:val="20"/>
                    <w:bidi w:val="0"/>
                    <w:jc w:val="center"/>
                    <w:rPr>
                      <w:rFonts w:hint="eastAsia"/>
                      <w:color w:val="auto"/>
                      <w:highlight w:val="none"/>
                      <w:lang w:val="en-US" w:eastAsia="zh-CN"/>
                    </w:rPr>
                  </w:pPr>
                  <w:r>
                    <w:rPr>
                      <w:rFonts w:hint="eastAsia"/>
                      <w:color w:val="auto"/>
                      <w:highlight w:val="none"/>
                      <w:lang w:val="en-US" w:eastAsia="zh-CN"/>
                    </w:rPr>
                    <w:t>ASA材料产品生产</w:t>
                  </w:r>
                </w:p>
              </w:tc>
              <w:tc>
                <w:tcPr>
                  <w:tcW w:w="1366" w:type="dxa"/>
                  <w:vMerge w:val="restart"/>
                  <w:tcBorders>
                    <w:top w:val="double" w:color="auto" w:sz="4" w:space="0"/>
                    <w:right w:val="single" w:color="auto" w:sz="12" w:space="0"/>
                  </w:tcBorders>
                  <w:vAlign w:val="center"/>
                </w:tcPr>
                <w:p w14:paraId="74FBD526">
                  <w:pPr>
                    <w:pStyle w:val="20"/>
                    <w:bidi w:val="0"/>
                    <w:jc w:val="both"/>
                    <w:rPr>
                      <w:rFonts w:hint="default"/>
                      <w:color w:val="auto"/>
                      <w:highlight w:val="none"/>
                      <w:lang w:val="en-US" w:eastAsia="zh-CN"/>
                    </w:rPr>
                  </w:pPr>
                  <w:r>
                    <w:rPr>
                      <w:rFonts w:hint="eastAsia"/>
                      <w:color w:val="auto"/>
                      <w:highlight w:val="none"/>
                      <w:lang w:val="en-US" w:eastAsia="zh-CN"/>
                    </w:rPr>
                    <w:t>新料 259.325</w:t>
                  </w:r>
                </w:p>
              </w:tc>
              <w:tc>
                <w:tcPr>
                  <w:tcW w:w="1719" w:type="dxa"/>
                  <w:tcBorders>
                    <w:top w:val="double" w:color="auto" w:sz="4" w:space="0"/>
                    <w:left w:val="single" w:color="auto" w:sz="12" w:space="0"/>
                  </w:tcBorders>
                  <w:shd w:val="clear" w:color="auto" w:fill="auto"/>
                  <w:vAlign w:val="center"/>
                </w:tcPr>
                <w:p w14:paraId="4B342ADE">
                  <w:pPr>
                    <w:pStyle w:val="20"/>
                    <w:bidi w:val="0"/>
                    <w:rPr>
                      <w:rFonts w:hint="eastAsia"/>
                      <w:color w:val="auto"/>
                      <w:highlight w:val="none"/>
                      <w:lang w:val="en-US" w:eastAsia="zh-CN"/>
                    </w:rPr>
                  </w:pPr>
                  <w:r>
                    <w:rPr>
                      <w:rFonts w:hint="eastAsia"/>
                      <w:color w:val="auto"/>
                      <w:highlight w:val="none"/>
                      <w:lang w:val="en-US" w:eastAsia="zh-CN"/>
                    </w:rPr>
                    <w:t>ABS产品</w:t>
                  </w:r>
                </w:p>
              </w:tc>
              <w:tc>
                <w:tcPr>
                  <w:tcW w:w="1143" w:type="dxa"/>
                  <w:tcBorders>
                    <w:top w:val="double" w:color="auto" w:sz="4" w:space="0"/>
                  </w:tcBorders>
                  <w:shd w:val="clear" w:color="auto" w:fill="auto"/>
                  <w:vAlign w:val="center"/>
                </w:tcPr>
                <w:p w14:paraId="7BC676C1">
                  <w:pPr>
                    <w:pStyle w:val="20"/>
                    <w:bidi w:val="0"/>
                    <w:rPr>
                      <w:rFonts w:hint="default"/>
                      <w:color w:val="auto"/>
                      <w:highlight w:val="none"/>
                      <w:lang w:val="en-US" w:eastAsia="zh-CN"/>
                    </w:rPr>
                  </w:pPr>
                  <w:r>
                    <w:rPr>
                      <w:rFonts w:hint="default"/>
                      <w:color w:val="auto"/>
                      <w:highlight w:val="none"/>
                      <w:lang w:val="en-US" w:eastAsia="zh-CN"/>
                    </w:rPr>
                    <w:t>257.6</w:t>
                  </w:r>
                </w:p>
              </w:tc>
              <w:tc>
                <w:tcPr>
                  <w:tcW w:w="3476" w:type="dxa"/>
                  <w:tcBorders>
                    <w:top w:val="double" w:color="auto" w:sz="4" w:space="0"/>
                  </w:tcBorders>
                  <w:shd w:val="clear" w:color="auto" w:fill="auto"/>
                  <w:vAlign w:val="center"/>
                </w:tcPr>
                <w:p w14:paraId="48C69530">
                  <w:pPr>
                    <w:pStyle w:val="20"/>
                    <w:bidi w:val="0"/>
                    <w:rPr>
                      <w:rFonts w:hint="eastAsia"/>
                      <w:color w:val="auto"/>
                      <w:highlight w:val="none"/>
                      <w:lang w:val="en-US" w:eastAsia="zh-CN"/>
                    </w:rPr>
                  </w:pPr>
                  <w:r>
                    <w:rPr>
                      <w:rFonts w:hint="eastAsia"/>
                      <w:color w:val="auto"/>
                      <w:highlight w:val="none"/>
                      <w:lang w:val="en-US" w:eastAsia="zh-CN"/>
                    </w:rPr>
                    <w:t>/</w:t>
                  </w:r>
                </w:p>
              </w:tc>
            </w:tr>
            <w:tr w14:paraId="0C714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dxa"/>
                  <w:vMerge w:val="continue"/>
                  <w:vAlign w:val="center"/>
                </w:tcPr>
                <w:p w14:paraId="61CADABD">
                  <w:pPr>
                    <w:pStyle w:val="20"/>
                    <w:bidi w:val="0"/>
                    <w:rPr>
                      <w:rFonts w:hint="eastAsia"/>
                      <w:color w:val="auto"/>
                      <w:highlight w:val="none"/>
                      <w:lang w:val="en-US" w:eastAsia="zh-CN"/>
                    </w:rPr>
                  </w:pPr>
                </w:p>
              </w:tc>
              <w:tc>
                <w:tcPr>
                  <w:tcW w:w="1366" w:type="dxa"/>
                  <w:vMerge w:val="continue"/>
                  <w:tcBorders>
                    <w:right w:val="single" w:color="auto" w:sz="12" w:space="0"/>
                  </w:tcBorders>
                  <w:vAlign w:val="center"/>
                </w:tcPr>
                <w:p w14:paraId="5B5660FC">
                  <w:pPr>
                    <w:pStyle w:val="20"/>
                    <w:bidi w:val="0"/>
                    <w:rPr>
                      <w:rFonts w:hint="eastAsia"/>
                      <w:color w:val="auto"/>
                      <w:highlight w:val="none"/>
                      <w:lang w:val="en-US" w:eastAsia="zh-CN"/>
                    </w:rPr>
                  </w:pPr>
                </w:p>
              </w:tc>
              <w:tc>
                <w:tcPr>
                  <w:tcW w:w="1719" w:type="dxa"/>
                  <w:tcBorders>
                    <w:left w:val="single" w:color="auto" w:sz="12" w:space="0"/>
                  </w:tcBorders>
                  <w:shd w:val="clear" w:color="auto" w:fill="auto"/>
                  <w:vAlign w:val="center"/>
                </w:tcPr>
                <w:p w14:paraId="5937C6B1">
                  <w:pPr>
                    <w:pStyle w:val="20"/>
                    <w:bidi w:val="0"/>
                    <w:rPr>
                      <w:rFonts w:hint="eastAsia"/>
                      <w:color w:val="auto"/>
                      <w:highlight w:val="none"/>
                      <w:lang w:val="en-US" w:eastAsia="zh-CN"/>
                    </w:rPr>
                  </w:pPr>
                  <w:r>
                    <w:rPr>
                      <w:rFonts w:hint="eastAsia"/>
                      <w:color w:val="auto"/>
                      <w:highlight w:val="none"/>
                      <w:lang w:val="en-US" w:eastAsia="zh-CN"/>
                    </w:rPr>
                    <w:t>非甲烷总烃</w:t>
                  </w:r>
                </w:p>
              </w:tc>
              <w:tc>
                <w:tcPr>
                  <w:tcW w:w="1143" w:type="dxa"/>
                  <w:shd w:val="clear" w:color="auto" w:fill="auto"/>
                  <w:vAlign w:val="center"/>
                </w:tcPr>
                <w:p w14:paraId="69D57372">
                  <w:pPr>
                    <w:pStyle w:val="20"/>
                    <w:bidi w:val="0"/>
                    <w:rPr>
                      <w:rFonts w:hint="default"/>
                      <w:color w:val="auto"/>
                      <w:highlight w:val="none"/>
                      <w:lang w:val="en-US" w:eastAsia="zh-CN"/>
                    </w:rPr>
                  </w:pPr>
                  <w:r>
                    <w:rPr>
                      <w:rFonts w:hint="default"/>
                      <w:color w:val="auto"/>
                      <w:highlight w:val="none"/>
                      <w:lang w:val="en-US" w:eastAsia="zh-CN"/>
                    </w:rPr>
                    <w:t>0.696</w:t>
                  </w:r>
                </w:p>
              </w:tc>
              <w:tc>
                <w:tcPr>
                  <w:tcW w:w="3476" w:type="dxa"/>
                  <w:shd w:val="clear" w:color="auto" w:fill="auto"/>
                  <w:vAlign w:val="center"/>
                </w:tcPr>
                <w:p w14:paraId="0C33147F">
                  <w:pPr>
                    <w:pStyle w:val="20"/>
                    <w:bidi w:val="0"/>
                    <w:rPr>
                      <w:rFonts w:hint="eastAsia"/>
                      <w:color w:val="auto"/>
                      <w:highlight w:val="none"/>
                      <w:lang w:val="en-US" w:eastAsia="zh-CN"/>
                    </w:rPr>
                  </w:pPr>
                  <w:r>
                    <w:rPr>
                      <w:rFonts w:hint="eastAsia"/>
                      <w:color w:val="auto"/>
                      <w:highlight w:val="none"/>
                      <w:lang w:val="en-US" w:eastAsia="zh-CN"/>
                    </w:rPr>
                    <w:t>系数：2.7kg/吨-产品</w:t>
                  </w:r>
                </w:p>
              </w:tc>
            </w:tr>
            <w:tr w14:paraId="1E513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dxa"/>
                  <w:vMerge w:val="continue"/>
                  <w:vAlign w:val="center"/>
                </w:tcPr>
                <w:p w14:paraId="65F609E0">
                  <w:pPr>
                    <w:pStyle w:val="20"/>
                    <w:bidi w:val="0"/>
                    <w:rPr>
                      <w:rFonts w:hint="eastAsia"/>
                      <w:color w:val="auto"/>
                      <w:highlight w:val="none"/>
                      <w:lang w:val="en-US" w:eastAsia="zh-CN"/>
                    </w:rPr>
                  </w:pPr>
                </w:p>
              </w:tc>
              <w:tc>
                <w:tcPr>
                  <w:tcW w:w="1366" w:type="dxa"/>
                  <w:vMerge w:val="continue"/>
                  <w:tcBorders>
                    <w:right w:val="single" w:color="auto" w:sz="12" w:space="0"/>
                  </w:tcBorders>
                  <w:vAlign w:val="center"/>
                </w:tcPr>
                <w:p w14:paraId="34977449">
                  <w:pPr>
                    <w:pStyle w:val="20"/>
                    <w:bidi w:val="0"/>
                    <w:rPr>
                      <w:rFonts w:hint="eastAsia"/>
                      <w:color w:val="auto"/>
                      <w:highlight w:val="none"/>
                      <w:lang w:val="en-US" w:eastAsia="zh-CN"/>
                    </w:rPr>
                  </w:pPr>
                </w:p>
              </w:tc>
              <w:tc>
                <w:tcPr>
                  <w:tcW w:w="1719" w:type="dxa"/>
                  <w:tcBorders>
                    <w:left w:val="single" w:color="auto" w:sz="12" w:space="0"/>
                  </w:tcBorders>
                  <w:shd w:val="clear" w:color="auto" w:fill="auto"/>
                  <w:vAlign w:val="center"/>
                </w:tcPr>
                <w:p w14:paraId="747ABEA9">
                  <w:pPr>
                    <w:pStyle w:val="20"/>
                    <w:bidi w:val="0"/>
                    <w:rPr>
                      <w:rFonts w:hint="eastAsia"/>
                      <w:color w:val="auto"/>
                      <w:highlight w:val="none"/>
                      <w:lang w:val="en-US" w:eastAsia="zh-CN"/>
                    </w:rPr>
                  </w:pPr>
                  <w:r>
                    <w:rPr>
                      <w:rFonts w:hint="eastAsia"/>
                      <w:color w:val="auto"/>
                      <w:highlight w:val="none"/>
                      <w:lang w:val="en-US" w:eastAsia="zh-CN"/>
                    </w:rPr>
                    <w:t>游离单体排放</w:t>
                  </w:r>
                </w:p>
              </w:tc>
              <w:tc>
                <w:tcPr>
                  <w:tcW w:w="1143" w:type="dxa"/>
                  <w:shd w:val="clear" w:color="auto" w:fill="auto"/>
                  <w:vAlign w:val="center"/>
                </w:tcPr>
                <w:p w14:paraId="3643A622">
                  <w:pPr>
                    <w:pStyle w:val="20"/>
                    <w:bidi w:val="0"/>
                    <w:rPr>
                      <w:rFonts w:hint="default"/>
                      <w:color w:val="auto"/>
                      <w:highlight w:val="none"/>
                      <w:lang w:val="en-US" w:eastAsia="zh-CN"/>
                    </w:rPr>
                  </w:pPr>
                  <w:r>
                    <w:rPr>
                      <w:rFonts w:hint="eastAsia"/>
                      <w:color w:val="auto"/>
                      <w:highlight w:val="none"/>
                      <w:lang w:val="en-US" w:eastAsia="zh-CN"/>
                    </w:rPr>
                    <w:t>0.942</w:t>
                  </w:r>
                </w:p>
              </w:tc>
              <w:tc>
                <w:tcPr>
                  <w:tcW w:w="3476" w:type="dxa"/>
                  <w:shd w:val="clear" w:color="auto" w:fill="auto"/>
                  <w:vAlign w:val="center"/>
                </w:tcPr>
                <w:p w14:paraId="138322CF">
                  <w:pPr>
                    <w:pStyle w:val="20"/>
                    <w:bidi w:val="0"/>
                    <w:rPr>
                      <w:rFonts w:hint="eastAsia"/>
                      <w:color w:val="auto"/>
                      <w:highlight w:val="none"/>
                      <w:lang w:val="en-US" w:eastAsia="zh-CN"/>
                    </w:rPr>
                  </w:pPr>
                  <w:r>
                    <w:rPr>
                      <w:rFonts w:hint="eastAsia"/>
                      <w:color w:val="auto"/>
                      <w:highlight w:val="none"/>
                      <w:lang w:val="en-US" w:eastAsia="zh-CN"/>
                    </w:rPr>
                    <w:t>3633.94mg/kg-原料，0.363394%-原料</w:t>
                  </w:r>
                </w:p>
              </w:tc>
            </w:tr>
            <w:tr w14:paraId="75722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dxa"/>
                  <w:vMerge w:val="continue"/>
                  <w:vAlign w:val="center"/>
                </w:tcPr>
                <w:p w14:paraId="4E8F52F2">
                  <w:pPr>
                    <w:pStyle w:val="20"/>
                    <w:bidi w:val="0"/>
                    <w:rPr>
                      <w:rFonts w:hint="eastAsia"/>
                      <w:color w:val="auto"/>
                      <w:highlight w:val="none"/>
                      <w:lang w:val="en-US" w:eastAsia="zh-CN"/>
                    </w:rPr>
                  </w:pPr>
                </w:p>
              </w:tc>
              <w:tc>
                <w:tcPr>
                  <w:tcW w:w="1366" w:type="dxa"/>
                  <w:vMerge w:val="continue"/>
                  <w:tcBorders>
                    <w:right w:val="single" w:color="auto" w:sz="12" w:space="0"/>
                  </w:tcBorders>
                  <w:vAlign w:val="center"/>
                </w:tcPr>
                <w:p w14:paraId="17F36F50">
                  <w:pPr>
                    <w:pStyle w:val="20"/>
                    <w:bidi w:val="0"/>
                    <w:rPr>
                      <w:rFonts w:hint="eastAsia"/>
                      <w:color w:val="auto"/>
                      <w:highlight w:val="none"/>
                      <w:lang w:val="en-US" w:eastAsia="zh-CN"/>
                    </w:rPr>
                  </w:pPr>
                </w:p>
              </w:tc>
              <w:tc>
                <w:tcPr>
                  <w:tcW w:w="1719" w:type="dxa"/>
                  <w:tcBorders>
                    <w:left w:val="single" w:color="auto" w:sz="12" w:space="0"/>
                  </w:tcBorders>
                  <w:shd w:val="clear" w:color="auto" w:fill="auto"/>
                  <w:vAlign w:val="center"/>
                </w:tcPr>
                <w:p w14:paraId="4E5BE2BB">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不可回用废料</w:t>
                  </w:r>
                </w:p>
              </w:tc>
              <w:tc>
                <w:tcPr>
                  <w:tcW w:w="1143" w:type="dxa"/>
                  <w:shd w:val="clear" w:color="auto" w:fill="auto"/>
                  <w:vAlign w:val="center"/>
                </w:tcPr>
                <w:p w14:paraId="4F21992F">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0.078</w:t>
                  </w:r>
                </w:p>
              </w:tc>
              <w:tc>
                <w:tcPr>
                  <w:tcW w:w="3476" w:type="dxa"/>
                  <w:shd w:val="clear" w:color="auto" w:fill="auto"/>
                  <w:vAlign w:val="center"/>
                </w:tcPr>
                <w:p w14:paraId="2EAE6D1B">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0.03%-原料</w:t>
                  </w:r>
                </w:p>
              </w:tc>
            </w:tr>
            <w:tr w14:paraId="64E5E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dxa"/>
                  <w:vMerge w:val="continue"/>
                  <w:vAlign w:val="center"/>
                </w:tcPr>
                <w:p w14:paraId="1E44FA31">
                  <w:pPr>
                    <w:pStyle w:val="20"/>
                    <w:bidi w:val="0"/>
                    <w:rPr>
                      <w:rFonts w:hint="eastAsia"/>
                      <w:color w:val="auto"/>
                      <w:highlight w:val="none"/>
                      <w:lang w:val="en-US" w:eastAsia="zh-CN"/>
                    </w:rPr>
                  </w:pPr>
                </w:p>
              </w:tc>
              <w:tc>
                <w:tcPr>
                  <w:tcW w:w="1366" w:type="dxa"/>
                  <w:vMerge w:val="continue"/>
                  <w:tcBorders>
                    <w:right w:val="single" w:color="auto" w:sz="12" w:space="0"/>
                  </w:tcBorders>
                  <w:vAlign w:val="center"/>
                </w:tcPr>
                <w:p w14:paraId="23C42320">
                  <w:pPr>
                    <w:pStyle w:val="20"/>
                    <w:bidi w:val="0"/>
                    <w:rPr>
                      <w:rFonts w:hint="eastAsia"/>
                      <w:color w:val="auto"/>
                      <w:highlight w:val="none"/>
                      <w:lang w:val="en-US" w:eastAsia="zh-CN"/>
                    </w:rPr>
                  </w:pPr>
                </w:p>
              </w:tc>
              <w:tc>
                <w:tcPr>
                  <w:tcW w:w="1719" w:type="dxa"/>
                  <w:tcBorders>
                    <w:left w:val="single" w:color="auto" w:sz="12" w:space="0"/>
                    <w:bottom w:val="double" w:color="auto" w:sz="4" w:space="0"/>
                  </w:tcBorders>
                  <w:shd w:val="clear" w:color="auto" w:fill="auto"/>
                  <w:vAlign w:val="center"/>
                </w:tcPr>
                <w:p w14:paraId="06F4C0BA">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破碎颗粒物</w:t>
                  </w:r>
                </w:p>
              </w:tc>
              <w:tc>
                <w:tcPr>
                  <w:tcW w:w="1143" w:type="dxa"/>
                  <w:tcBorders>
                    <w:bottom w:val="double" w:color="auto" w:sz="4" w:space="0"/>
                  </w:tcBorders>
                  <w:shd w:val="clear" w:color="auto" w:fill="auto"/>
                  <w:vAlign w:val="center"/>
                </w:tcPr>
                <w:p w14:paraId="3E4DBDB3">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0.009</w:t>
                  </w:r>
                </w:p>
              </w:tc>
              <w:tc>
                <w:tcPr>
                  <w:tcW w:w="3476" w:type="dxa"/>
                  <w:tcBorders>
                    <w:bottom w:val="double" w:color="auto" w:sz="4" w:space="0"/>
                  </w:tcBorders>
                  <w:shd w:val="clear" w:color="auto" w:fill="auto"/>
                  <w:vAlign w:val="center"/>
                </w:tcPr>
                <w:p w14:paraId="7319E16B">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425g/t-破碎料（边角料+不合格品）</w:t>
                  </w:r>
                </w:p>
              </w:tc>
            </w:tr>
            <w:tr w14:paraId="156EC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dxa"/>
                  <w:vMerge w:val="continue"/>
                  <w:vAlign w:val="center"/>
                </w:tcPr>
                <w:p w14:paraId="157E62D0">
                  <w:pPr>
                    <w:pStyle w:val="20"/>
                    <w:bidi w:val="0"/>
                    <w:rPr>
                      <w:rFonts w:hint="eastAsia"/>
                      <w:color w:val="auto"/>
                      <w:highlight w:val="none"/>
                      <w:lang w:val="en-US" w:eastAsia="zh-CN"/>
                    </w:rPr>
                  </w:pPr>
                </w:p>
              </w:tc>
              <w:tc>
                <w:tcPr>
                  <w:tcW w:w="1366" w:type="dxa"/>
                  <w:vMerge w:val="continue"/>
                  <w:tcBorders>
                    <w:right w:val="single" w:color="auto" w:sz="12" w:space="0"/>
                  </w:tcBorders>
                  <w:vAlign w:val="center"/>
                </w:tcPr>
                <w:p w14:paraId="648A1180">
                  <w:pPr>
                    <w:pStyle w:val="20"/>
                    <w:bidi w:val="0"/>
                    <w:rPr>
                      <w:rFonts w:hint="eastAsia"/>
                      <w:color w:val="auto"/>
                      <w:highlight w:val="none"/>
                      <w:lang w:val="en-US" w:eastAsia="zh-CN"/>
                    </w:rPr>
                  </w:pPr>
                </w:p>
              </w:tc>
              <w:tc>
                <w:tcPr>
                  <w:tcW w:w="1719" w:type="dxa"/>
                  <w:tcBorders>
                    <w:top w:val="double" w:color="auto" w:sz="4" w:space="0"/>
                    <w:left w:val="single" w:color="auto" w:sz="12" w:space="0"/>
                  </w:tcBorders>
                  <w:shd w:val="clear" w:color="auto" w:fill="auto"/>
                  <w:vAlign w:val="center"/>
                </w:tcPr>
                <w:p w14:paraId="6F3FE7E3">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边角料</w:t>
                  </w:r>
                </w:p>
              </w:tc>
              <w:tc>
                <w:tcPr>
                  <w:tcW w:w="1143" w:type="dxa"/>
                  <w:tcBorders>
                    <w:top w:val="double" w:color="auto" w:sz="4" w:space="0"/>
                  </w:tcBorders>
                  <w:shd w:val="clear" w:color="auto" w:fill="auto"/>
                  <w:vAlign w:val="center"/>
                </w:tcPr>
                <w:p w14:paraId="509881C2">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12.966</w:t>
                  </w:r>
                </w:p>
              </w:tc>
              <w:tc>
                <w:tcPr>
                  <w:tcW w:w="3476" w:type="dxa"/>
                  <w:tcBorders>
                    <w:top w:val="double" w:color="auto" w:sz="4" w:space="0"/>
                  </w:tcBorders>
                  <w:shd w:val="clear" w:color="auto" w:fill="auto"/>
                  <w:vAlign w:val="center"/>
                </w:tcPr>
                <w:p w14:paraId="79FA7C7F">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5%-原料</w:t>
                  </w:r>
                </w:p>
              </w:tc>
            </w:tr>
            <w:tr w14:paraId="5C383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dxa"/>
                  <w:vMerge w:val="continue"/>
                  <w:vAlign w:val="center"/>
                </w:tcPr>
                <w:p w14:paraId="32940C95">
                  <w:pPr>
                    <w:pStyle w:val="20"/>
                    <w:bidi w:val="0"/>
                    <w:rPr>
                      <w:rFonts w:hint="default"/>
                      <w:color w:val="auto"/>
                      <w:highlight w:val="none"/>
                      <w:lang w:val="en-US" w:eastAsia="zh-CN"/>
                    </w:rPr>
                  </w:pPr>
                </w:p>
              </w:tc>
              <w:tc>
                <w:tcPr>
                  <w:tcW w:w="1366" w:type="dxa"/>
                  <w:vMerge w:val="continue"/>
                  <w:tcBorders>
                    <w:right w:val="single" w:color="auto" w:sz="12" w:space="0"/>
                  </w:tcBorders>
                  <w:vAlign w:val="center"/>
                </w:tcPr>
                <w:p w14:paraId="013A2BD0">
                  <w:pPr>
                    <w:pStyle w:val="20"/>
                    <w:bidi w:val="0"/>
                    <w:rPr>
                      <w:rFonts w:hint="eastAsia"/>
                      <w:color w:val="auto"/>
                      <w:highlight w:val="none"/>
                      <w:lang w:val="en-US" w:eastAsia="zh-CN"/>
                    </w:rPr>
                  </w:pPr>
                </w:p>
              </w:tc>
              <w:tc>
                <w:tcPr>
                  <w:tcW w:w="1719" w:type="dxa"/>
                  <w:tcBorders>
                    <w:left w:val="single" w:color="auto" w:sz="12" w:space="0"/>
                  </w:tcBorders>
                  <w:shd w:val="clear" w:color="auto" w:fill="auto"/>
                  <w:vAlign w:val="center"/>
                </w:tcPr>
                <w:p w14:paraId="149FA4A2">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不合格品</w:t>
                  </w:r>
                </w:p>
              </w:tc>
              <w:tc>
                <w:tcPr>
                  <w:tcW w:w="1143" w:type="dxa"/>
                  <w:shd w:val="clear" w:color="auto" w:fill="auto"/>
                  <w:vAlign w:val="center"/>
                </w:tcPr>
                <w:p w14:paraId="6CD3AEBB">
                  <w:pPr>
                    <w:pStyle w:val="20"/>
                    <w:bidi w:val="0"/>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7.967</w:t>
                  </w:r>
                </w:p>
              </w:tc>
              <w:tc>
                <w:tcPr>
                  <w:tcW w:w="3476" w:type="dxa"/>
                  <w:shd w:val="clear" w:color="auto" w:fill="auto"/>
                  <w:vAlign w:val="center"/>
                </w:tcPr>
                <w:p w14:paraId="1A51A0E6">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合格率97%，不合格产品257.6/0.97*0.03=7.967</w:t>
                  </w:r>
                </w:p>
              </w:tc>
            </w:tr>
            <w:tr w14:paraId="33581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dxa"/>
                  <w:tcBorders>
                    <w:bottom w:val="double" w:color="auto" w:sz="4" w:space="0"/>
                  </w:tcBorders>
                  <w:vAlign w:val="center"/>
                </w:tcPr>
                <w:p w14:paraId="04AD12FF">
                  <w:pPr>
                    <w:pStyle w:val="20"/>
                    <w:bidi w:val="0"/>
                    <w:rPr>
                      <w:rFonts w:hint="default"/>
                      <w:color w:val="auto"/>
                      <w:highlight w:val="none"/>
                      <w:lang w:val="en-US" w:eastAsia="zh-CN"/>
                    </w:rPr>
                  </w:pPr>
                  <w:r>
                    <w:rPr>
                      <w:rFonts w:hint="eastAsia"/>
                      <w:color w:val="auto"/>
                      <w:highlight w:val="none"/>
                      <w:lang w:val="en-US" w:eastAsia="zh-CN"/>
                    </w:rPr>
                    <w:t>合计</w:t>
                  </w:r>
                </w:p>
              </w:tc>
              <w:tc>
                <w:tcPr>
                  <w:tcW w:w="1366" w:type="dxa"/>
                  <w:tcBorders>
                    <w:bottom w:val="double" w:color="auto" w:sz="4" w:space="0"/>
                    <w:right w:val="single" w:color="auto" w:sz="12" w:space="0"/>
                  </w:tcBorders>
                  <w:vAlign w:val="center"/>
                </w:tcPr>
                <w:p w14:paraId="22E0E083">
                  <w:pPr>
                    <w:pStyle w:val="20"/>
                    <w:bidi w:val="0"/>
                    <w:rPr>
                      <w:rFonts w:hint="default"/>
                      <w:color w:val="auto"/>
                      <w:highlight w:val="none"/>
                      <w:lang w:val="en-US" w:eastAsia="zh-CN"/>
                    </w:rPr>
                  </w:pPr>
                  <w:r>
                    <w:rPr>
                      <w:rFonts w:hint="eastAsia"/>
                      <w:color w:val="auto"/>
                      <w:highlight w:val="none"/>
                      <w:lang w:val="en-US" w:eastAsia="zh-CN"/>
                    </w:rPr>
                    <w:t>259.325</w:t>
                  </w:r>
                </w:p>
              </w:tc>
              <w:tc>
                <w:tcPr>
                  <w:tcW w:w="1719" w:type="dxa"/>
                  <w:tcBorders>
                    <w:left w:val="single" w:color="auto" w:sz="12" w:space="0"/>
                    <w:bottom w:val="double" w:color="auto" w:sz="4" w:space="0"/>
                  </w:tcBorders>
                  <w:shd w:val="clear" w:color="auto" w:fill="auto"/>
                  <w:vAlign w:val="center"/>
                </w:tcPr>
                <w:p w14:paraId="4B6FF72F">
                  <w:pPr>
                    <w:pStyle w:val="20"/>
                    <w:bidi w:val="0"/>
                    <w:rPr>
                      <w:rFonts w:hint="default"/>
                      <w:color w:val="auto"/>
                      <w:highlight w:val="none"/>
                      <w:lang w:val="en-US" w:eastAsia="zh-CN"/>
                    </w:rPr>
                  </w:pPr>
                  <w:r>
                    <w:rPr>
                      <w:rFonts w:hint="eastAsia"/>
                      <w:color w:val="auto"/>
                      <w:highlight w:val="none"/>
                      <w:lang w:val="en-US" w:eastAsia="zh-CN"/>
                    </w:rPr>
                    <w:t>/</w:t>
                  </w:r>
                </w:p>
              </w:tc>
              <w:tc>
                <w:tcPr>
                  <w:tcW w:w="1143" w:type="dxa"/>
                  <w:tcBorders>
                    <w:bottom w:val="double" w:color="auto" w:sz="4" w:space="0"/>
                  </w:tcBorders>
                  <w:shd w:val="clear" w:color="auto" w:fill="auto"/>
                  <w:vAlign w:val="center"/>
                </w:tcPr>
                <w:p w14:paraId="74502958">
                  <w:pPr>
                    <w:pStyle w:val="20"/>
                    <w:bidi w:val="0"/>
                    <w:rPr>
                      <w:rFonts w:hint="default"/>
                      <w:color w:val="auto"/>
                      <w:highlight w:val="none"/>
                      <w:lang w:val="en-US" w:eastAsia="zh-CN"/>
                    </w:rPr>
                  </w:pPr>
                  <w:r>
                    <w:rPr>
                      <w:rFonts w:hint="eastAsia"/>
                      <w:color w:val="auto"/>
                      <w:highlight w:val="none"/>
                      <w:lang w:val="en-US" w:eastAsia="zh-CN"/>
                    </w:rPr>
                    <w:t>259.325</w:t>
                  </w:r>
                </w:p>
              </w:tc>
              <w:tc>
                <w:tcPr>
                  <w:tcW w:w="3476" w:type="dxa"/>
                  <w:tcBorders>
                    <w:bottom w:val="double" w:color="auto" w:sz="4" w:space="0"/>
                  </w:tcBorders>
                  <w:shd w:val="clear" w:color="auto" w:fill="auto"/>
                  <w:vAlign w:val="center"/>
                </w:tcPr>
                <w:p w14:paraId="48C7A889">
                  <w:pPr>
                    <w:pStyle w:val="20"/>
                    <w:bidi w:val="0"/>
                    <w:rPr>
                      <w:rFonts w:hint="default"/>
                      <w:color w:val="auto"/>
                      <w:highlight w:val="none"/>
                      <w:lang w:val="en-US" w:eastAsia="zh-CN"/>
                    </w:rPr>
                  </w:pPr>
                  <w:r>
                    <w:rPr>
                      <w:rFonts w:hint="eastAsia"/>
                      <w:color w:val="auto"/>
                      <w:highlight w:val="none"/>
                      <w:lang w:val="en-US" w:eastAsia="zh-CN"/>
                    </w:rPr>
                    <w:t>注：边角料、不合格品回用，最终进入产品，不计入产出</w:t>
                  </w:r>
                </w:p>
              </w:tc>
            </w:tr>
            <w:tr w14:paraId="4D439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dxa"/>
                  <w:vMerge w:val="restart"/>
                  <w:tcBorders>
                    <w:top w:val="double" w:color="auto" w:sz="4" w:space="0"/>
                    <w:left w:val="single" w:color="auto" w:sz="4" w:space="0"/>
                    <w:right w:val="single" w:color="auto" w:sz="4" w:space="0"/>
                  </w:tcBorders>
                  <w:vAlign w:val="center"/>
                </w:tcPr>
                <w:p w14:paraId="77201A61">
                  <w:pPr>
                    <w:pStyle w:val="20"/>
                    <w:bidi w:val="0"/>
                    <w:rPr>
                      <w:rFonts w:hint="eastAsia"/>
                      <w:color w:val="auto"/>
                      <w:highlight w:val="none"/>
                      <w:lang w:val="en-US" w:eastAsia="zh-CN"/>
                    </w:rPr>
                  </w:pPr>
                  <w:r>
                    <w:rPr>
                      <w:rFonts w:hint="eastAsia"/>
                      <w:color w:val="auto"/>
                      <w:highlight w:val="none"/>
                      <w:lang w:val="en-US" w:eastAsia="zh-CN"/>
                    </w:rPr>
                    <w:t>PP材料产品生产</w:t>
                  </w:r>
                </w:p>
              </w:tc>
              <w:tc>
                <w:tcPr>
                  <w:tcW w:w="1366" w:type="dxa"/>
                  <w:vMerge w:val="restart"/>
                  <w:tcBorders>
                    <w:top w:val="double" w:color="auto" w:sz="4" w:space="0"/>
                    <w:left w:val="single" w:color="auto" w:sz="4" w:space="0"/>
                    <w:right w:val="single" w:color="auto" w:sz="12" w:space="0"/>
                  </w:tcBorders>
                  <w:vAlign w:val="center"/>
                </w:tcPr>
                <w:p w14:paraId="0DB16801">
                  <w:pPr>
                    <w:pStyle w:val="20"/>
                    <w:bidi w:val="0"/>
                    <w:jc w:val="both"/>
                    <w:rPr>
                      <w:rFonts w:hint="default"/>
                      <w:color w:val="auto"/>
                      <w:highlight w:val="none"/>
                      <w:lang w:val="en-US" w:eastAsia="zh-CN"/>
                    </w:rPr>
                  </w:pPr>
                  <w:r>
                    <w:rPr>
                      <w:rFonts w:hint="eastAsia"/>
                      <w:color w:val="auto"/>
                      <w:highlight w:val="none"/>
                      <w:lang w:val="en-US" w:eastAsia="zh-CN"/>
                    </w:rPr>
                    <w:t>新料188.973</w:t>
                  </w:r>
                </w:p>
                <w:p w14:paraId="090EB58B">
                  <w:pPr>
                    <w:pStyle w:val="20"/>
                    <w:bidi w:val="0"/>
                    <w:jc w:val="both"/>
                    <w:rPr>
                      <w:rFonts w:hint="default"/>
                      <w:color w:val="auto"/>
                      <w:highlight w:val="none"/>
                      <w:lang w:val="en-US" w:eastAsia="zh-CN"/>
                    </w:rPr>
                  </w:pPr>
                </w:p>
              </w:tc>
              <w:tc>
                <w:tcPr>
                  <w:tcW w:w="1719" w:type="dxa"/>
                  <w:tcBorders>
                    <w:top w:val="double" w:color="auto" w:sz="4" w:space="0"/>
                    <w:left w:val="single" w:color="auto" w:sz="12" w:space="0"/>
                    <w:bottom w:val="single" w:color="auto" w:sz="4" w:space="0"/>
                    <w:right w:val="single" w:color="auto" w:sz="4" w:space="0"/>
                  </w:tcBorders>
                  <w:vAlign w:val="center"/>
                </w:tcPr>
                <w:p w14:paraId="65F06611">
                  <w:pPr>
                    <w:pStyle w:val="20"/>
                    <w:bidi w:val="0"/>
                    <w:rPr>
                      <w:rFonts w:hint="default"/>
                      <w:color w:val="auto"/>
                      <w:highlight w:val="none"/>
                      <w:lang w:val="en-US" w:eastAsia="zh-CN"/>
                    </w:rPr>
                  </w:pPr>
                  <w:r>
                    <w:rPr>
                      <w:rFonts w:hint="eastAsia"/>
                      <w:color w:val="auto"/>
                      <w:highlight w:val="none"/>
                      <w:lang w:val="en-US" w:eastAsia="zh-CN"/>
                    </w:rPr>
                    <w:t>PP产品</w:t>
                  </w:r>
                </w:p>
              </w:tc>
              <w:tc>
                <w:tcPr>
                  <w:tcW w:w="1143" w:type="dxa"/>
                  <w:tcBorders>
                    <w:top w:val="double" w:color="auto" w:sz="4" w:space="0"/>
                    <w:left w:val="single" w:color="auto" w:sz="4" w:space="0"/>
                    <w:bottom w:val="single" w:color="auto" w:sz="4" w:space="0"/>
                    <w:right w:val="single" w:color="auto" w:sz="4" w:space="0"/>
                  </w:tcBorders>
                  <w:vAlign w:val="center"/>
                </w:tcPr>
                <w:p w14:paraId="3B38C104">
                  <w:pPr>
                    <w:pStyle w:val="20"/>
                    <w:bidi w:val="0"/>
                    <w:rPr>
                      <w:rFonts w:hint="default"/>
                      <w:color w:val="auto"/>
                      <w:highlight w:val="none"/>
                      <w:lang w:val="en-US" w:eastAsia="zh-CN"/>
                    </w:rPr>
                  </w:pPr>
                  <w:r>
                    <w:rPr>
                      <w:rFonts w:hint="eastAsia"/>
                      <w:color w:val="auto"/>
                      <w:highlight w:val="none"/>
                      <w:lang w:val="en-US" w:eastAsia="zh-CN"/>
                    </w:rPr>
                    <w:t>188.4</w:t>
                  </w:r>
                </w:p>
              </w:tc>
              <w:tc>
                <w:tcPr>
                  <w:tcW w:w="3476" w:type="dxa"/>
                  <w:tcBorders>
                    <w:top w:val="double" w:color="auto" w:sz="4" w:space="0"/>
                    <w:left w:val="single" w:color="auto" w:sz="4" w:space="0"/>
                    <w:bottom w:val="single" w:color="auto" w:sz="4" w:space="0"/>
                    <w:right w:val="single" w:color="auto" w:sz="4" w:space="0"/>
                  </w:tcBorders>
                  <w:vAlign w:val="center"/>
                </w:tcPr>
                <w:p w14:paraId="3D567D71">
                  <w:pPr>
                    <w:pStyle w:val="20"/>
                    <w:bidi w:val="0"/>
                    <w:rPr>
                      <w:rFonts w:hint="eastAsia"/>
                      <w:color w:val="auto"/>
                      <w:highlight w:val="none"/>
                      <w:lang w:val="en-US" w:eastAsia="zh-CN"/>
                    </w:rPr>
                  </w:pPr>
                  <w:r>
                    <w:rPr>
                      <w:rFonts w:hint="eastAsia"/>
                      <w:color w:val="auto"/>
                      <w:highlight w:val="none"/>
                      <w:lang w:val="en-US" w:eastAsia="zh-CN"/>
                    </w:rPr>
                    <w:t>/</w:t>
                  </w:r>
                </w:p>
              </w:tc>
            </w:tr>
            <w:tr w14:paraId="09A8C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dxa"/>
                  <w:vMerge w:val="continue"/>
                  <w:tcBorders>
                    <w:left w:val="single" w:color="auto" w:sz="4" w:space="0"/>
                    <w:right w:val="single" w:color="auto" w:sz="4" w:space="0"/>
                  </w:tcBorders>
                  <w:vAlign w:val="center"/>
                </w:tcPr>
                <w:p w14:paraId="41CD4C7F">
                  <w:pPr>
                    <w:pStyle w:val="20"/>
                    <w:bidi w:val="0"/>
                    <w:rPr>
                      <w:rFonts w:hint="eastAsia"/>
                      <w:color w:val="auto"/>
                      <w:highlight w:val="none"/>
                      <w:lang w:val="en-US" w:eastAsia="zh-CN"/>
                    </w:rPr>
                  </w:pPr>
                </w:p>
              </w:tc>
              <w:tc>
                <w:tcPr>
                  <w:tcW w:w="1366" w:type="dxa"/>
                  <w:vMerge w:val="continue"/>
                  <w:tcBorders>
                    <w:left w:val="single" w:color="auto" w:sz="4" w:space="0"/>
                    <w:right w:val="single" w:color="auto" w:sz="12" w:space="0"/>
                  </w:tcBorders>
                  <w:vAlign w:val="center"/>
                </w:tcPr>
                <w:p w14:paraId="0D05F42B">
                  <w:pPr>
                    <w:pStyle w:val="20"/>
                    <w:bidi w:val="0"/>
                    <w:rPr>
                      <w:rFonts w:hint="eastAsia"/>
                      <w:color w:val="auto"/>
                      <w:highlight w:val="none"/>
                      <w:lang w:val="en-US" w:eastAsia="zh-CN"/>
                    </w:rPr>
                  </w:pPr>
                </w:p>
              </w:tc>
              <w:tc>
                <w:tcPr>
                  <w:tcW w:w="1719" w:type="dxa"/>
                  <w:tcBorders>
                    <w:top w:val="single" w:color="auto" w:sz="4" w:space="0"/>
                    <w:left w:val="single" w:color="auto" w:sz="12" w:space="0"/>
                    <w:bottom w:val="single" w:color="auto" w:sz="4" w:space="0"/>
                    <w:right w:val="single" w:color="auto" w:sz="4" w:space="0"/>
                  </w:tcBorders>
                  <w:vAlign w:val="center"/>
                </w:tcPr>
                <w:p w14:paraId="2B50AA26">
                  <w:pPr>
                    <w:pStyle w:val="20"/>
                    <w:bidi w:val="0"/>
                    <w:rPr>
                      <w:rFonts w:hint="eastAsia"/>
                      <w:i w:val="0"/>
                      <w:iCs w:val="0"/>
                      <w:color w:val="auto"/>
                      <w:highlight w:val="none"/>
                      <w:lang w:val="en-US" w:eastAsia="zh-CN"/>
                    </w:rPr>
                  </w:pPr>
                  <w:r>
                    <w:rPr>
                      <w:rFonts w:hint="eastAsia"/>
                      <w:i w:val="0"/>
                      <w:iCs w:val="0"/>
                      <w:color w:val="auto"/>
                      <w:highlight w:val="none"/>
                      <w:lang w:val="en-US" w:eastAsia="zh-CN"/>
                    </w:rPr>
                    <w:t>非甲烷总烃</w:t>
                  </w:r>
                </w:p>
              </w:tc>
              <w:tc>
                <w:tcPr>
                  <w:tcW w:w="1143" w:type="dxa"/>
                  <w:tcBorders>
                    <w:top w:val="single" w:color="auto" w:sz="4" w:space="0"/>
                    <w:left w:val="single" w:color="auto" w:sz="4" w:space="0"/>
                    <w:bottom w:val="single" w:color="auto" w:sz="4" w:space="0"/>
                    <w:right w:val="single" w:color="auto" w:sz="4" w:space="0"/>
                  </w:tcBorders>
                  <w:vAlign w:val="center"/>
                </w:tcPr>
                <w:p w14:paraId="26A0388A">
                  <w:pPr>
                    <w:pStyle w:val="20"/>
                    <w:bidi w:val="0"/>
                    <w:rPr>
                      <w:rFonts w:hint="default"/>
                      <w:i w:val="0"/>
                      <w:iCs w:val="0"/>
                      <w:color w:val="auto"/>
                      <w:highlight w:val="none"/>
                      <w:lang w:val="en-US" w:eastAsia="zh-CN"/>
                    </w:rPr>
                  </w:pPr>
                  <w:r>
                    <w:rPr>
                      <w:rFonts w:hint="eastAsia"/>
                      <w:i w:val="0"/>
                      <w:iCs w:val="0"/>
                      <w:color w:val="auto"/>
                      <w:highlight w:val="none"/>
                      <w:lang w:val="en-US" w:eastAsia="zh-CN"/>
                    </w:rPr>
                    <w:t>0.509</w:t>
                  </w:r>
                </w:p>
              </w:tc>
              <w:tc>
                <w:tcPr>
                  <w:tcW w:w="3476" w:type="dxa"/>
                  <w:tcBorders>
                    <w:top w:val="single" w:color="auto" w:sz="4" w:space="0"/>
                    <w:left w:val="single" w:color="auto" w:sz="4" w:space="0"/>
                    <w:bottom w:val="single" w:color="auto" w:sz="4" w:space="0"/>
                    <w:right w:val="single" w:color="auto" w:sz="4" w:space="0"/>
                  </w:tcBorders>
                  <w:vAlign w:val="center"/>
                </w:tcPr>
                <w:p w14:paraId="1FD9B57C">
                  <w:pPr>
                    <w:pStyle w:val="20"/>
                    <w:bidi w:val="0"/>
                    <w:rPr>
                      <w:rFonts w:hint="eastAsia"/>
                      <w:i w:val="0"/>
                      <w:iCs w:val="0"/>
                      <w:color w:val="auto"/>
                      <w:highlight w:val="none"/>
                      <w:lang w:val="en-US" w:eastAsia="zh-CN"/>
                    </w:rPr>
                  </w:pPr>
                  <w:r>
                    <w:rPr>
                      <w:rFonts w:hint="eastAsia"/>
                      <w:i w:val="0"/>
                      <w:iCs w:val="0"/>
                      <w:color w:val="auto"/>
                      <w:highlight w:val="none"/>
                      <w:lang w:val="en-US" w:eastAsia="zh-CN"/>
                    </w:rPr>
                    <w:t>系数：2.7kg/吨-产品</w:t>
                  </w:r>
                </w:p>
              </w:tc>
            </w:tr>
            <w:tr w14:paraId="18441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dxa"/>
                  <w:vMerge w:val="continue"/>
                  <w:tcBorders>
                    <w:left w:val="single" w:color="auto" w:sz="4" w:space="0"/>
                    <w:right w:val="single" w:color="auto" w:sz="4" w:space="0"/>
                  </w:tcBorders>
                  <w:vAlign w:val="center"/>
                </w:tcPr>
                <w:p w14:paraId="20612DF5">
                  <w:pPr>
                    <w:pStyle w:val="20"/>
                    <w:bidi w:val="0"/>
                    <w:rPr>
                      <w:rFonts w:hint="eastAsia"/>
                      <w:color w:val="auto"/>
                      <w:highlight w:val="none"/>
                      <w:lang w:val="en-US" w:eastAsia="zh-CN"/>
                    </w:rPr>
                  </w:pPr>
                </w:p>
              </w:tc>
              <w:tc>
                <w:tcPr>
                  <w:tcW w:w="1366" w:type="dxa"/>
                  <w:vMerge w:val="continue"/>
                  <w:tcBorders>
                    <w:left w:val="single" w:color="auto" w:sz="4" w:space="0"/>
                    <w:right w:val="single" w:color="auto" w:sz="12" w:space="0"/>
                  </w:tcBorders>
                  <w:vAlign w:val="center"/>
                </w:tcPr>
                <w:p w14:paraId="4466679E">
                  <w:pPr>
                    <w:pStyle w:val="20"/>
                    <w:bidi w:val="0"/>
                    <w:rPr>
                      <w:rFonts w:hint="eastAsia"/>
                      <w:color w:val="auto"/>
                      <w:highlight w:val="none"/>
                      <w:lang w:val="en-US" w:eastAsia="zh-CN"/>
                    </w:rPr>
                  </w:pPr>
                </w:p>
              </w:tc>
              <w:tc>
                <w:tcPr>
                  <w:tcW w:w="1719" w:type="dxa"/>
                  <w:tcBorders>
                    <w:top w:val="single" w:color="auto" w:sz="4" w:space="0"/>
                    <w:left w:val="single" w:color="auto" w:sz="12" w:space="0"/>
                    <w:bottom w:val="single" w:color="auto" w:sz="4" w:space="0"/>
                    <w:right w:val="single" w:color="auto" w:sz="4" w:space="0"/>
                  </w:tcBorders>
                  <w:vAlign w:val="center"/>
                </w:tcPr>
                <w:p w14:paraId="2284525A">
                  <w:pPr>
                    <w:pStyle w:val="20"/>
                    <w:bidi w:val="0"/>
                    <w:rPr>
                      <w:rFonts w:hint="default"/>
                      <w:i w:val="0"/>
                      <w:iCs w:val="0"/>
                      <w:color w:val="auto"/>
                      <w:highlight w:val="none"/>
                      <w:lang w:val="en-US" w:eastAsia="zh-CN"/>
                    </w:rPr>
                  </w:pPr>
                  <w:r>
                    <w:rPr>
                      <w:rFonts w:hint="eastAsia"/>
                      <w:i w:val="0"/>
                      <w:iCs w:val="0"/>
                      <w:color w:val="auto"/>
                      <w:highlight w:val="none"/>
                      <w:lang w:val="en-US" w:eastAsia="zh-CN"/>
                    </w:rPr>
                    <w:t>焊接废气</w:t>
                  </w:r>
                </w:p>
              </w:tc>
              <w:tc>
                <w:tcPr>
                  <w:tcW w:w="1143" w:type="dxa"/>
                  <w:tcBorders>
                    <w:top w:val="single" w:color="auto" w:sz="4" w:space="0"/>
                    <w:left w:val="single" w:color="auto" w:sz="4" w:space="0"/>
                    <w:bottom w:val="single" w:color="auto" w:sz="4" w:space="0"/>
                    <w:right w:val="single" w:color="auto" w:sz="4" w:space="0"/>
                  </w:tcBorders>
                  <w:vAlign w:val="center"/>
                </w:tcPr>
                <w:p w14:paraId="2F678417">
                  <w:pPr>
                    <w:pStyle w:val="20"/>
                    <w:bidi w:val="0"/>
                    <w:rPr>
                      <w:rFonts w:hint="default"/>
                      <w:i w:val="0"/>
                      <w:iCs w:val="0"/>
                      <w:color w:val="auto"/>
                      <w:highlight w:val="none"/>
                      <w:lang w:val="en-US" w:eastAsia="zh-CN"/>
                    </w:rPr>
                  </w:pPr>
                  <w:r>
                    <w:rPr>
                      <w:rFonts w:hint="eastAsia"/>
                      <w:i w:val="0"/>
                      <w:iCs w:val="0"/>
                      <w:color w:val="auto"/>
                      <w:highlight w:val="none"/>
                      <w:lang w:val="en-US" w:eastAsia="zh-CN"/>
                    </w:rPr>
                    <w:t>0.00135</w:t>
                  </w:r>
                </w:p>
              </w:tc>
              <w:tc>
                <w:tcPr>
                  <w:tcW w:w="3476" w:type="dxa"/>
                  <w:tcBorders>
                    <w:top w:val="single" w:color="auto" w:sz="4" w:space="0"/>
                    <w:left w:val="single" w:color="auto" w:sz="4" w:space="0"/>
                    <w:bottom w:val="single" w:color="auto" w:sz="4" w:space="0"/>
                    <w:right w:val="single" w:color="auto" w:sz="4" w:space="0"/>
                  </w:tcBorders>
                  <w:vAlign w:val="center"/>
                </w:tcPr>
                <w:p w14:paraId="3E659529">
                  <w:pPr>
                    <w:pStyle w:val="20"/>
                    <w:bidi w:val="0"/>
                    <w:rPr>
                      <w:rFonts w:hint="default"/>
                      <w:i w:val="0"/>
                      <w:iCs w:val="0"/>
                      <w:color w:val="auto"/>
                      <w:highlight w:val="none"/>
                      <w:lang w:val="en-US" w:eastAsia="zh-CN"/>
                    </w:rPr>
                  </w:pPr>
                  <w:r>
                    <w:rPr>
                      <w:rFonts w:hint="eastAsia"/>
                      <w:i w:val="0"/>
                      <w:iCs w:val="0"/>
                      <w:color w:val="auto"/>
                      <w:highlight w:val="none"/>
                      <w:lang w:val="en-US" w:eastAsia="zh-CN"/>
                    </w:rPr>
                    <w:t>/</w:t>
                  </w:r>
                </w:p>
              </w:tc>
            </w:tr>
            <w:tr w14:paraId="6F7E0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dxa"/>
                  <w:vMerge w:val="continue"/>
                  <w:tcBorders>
                    <w:left w:val="single" w:color="auto" w:sz="4" w:space="0"/>
                    <w:right w:val="single" w:color="auto" w:sz="4" w:space="0"/>
                  </w:tcBorders>
                  <w:vAlign w:val="center"/>
                </w:tcPr>
                <w:p w14:paraId="1BAA4373">
                  <w:pPr>
                    <w:pStyle w:val="20"/>
                    <w:bidi w:val="0"/>
                    <w:rPr>
                      <w:rFonts w:hint="eastAsia"/>
                      <w:color w:val="auto"/>
                      <w:highlight w:val="none"/>
                      <w:lang w:val="en-US" w:eastAsia="zh-CN"/>
                    </w:rPr>
                  </w:pPr>
                </w:p>
              </w:tc>
              <w:tc>
                <w:tcPr>
                  <w:tcW w:w="1366" w:type="dxa"/>
                  <w:vMerge w:val="continue"/>
                  <w:tcBorders>
                    <w:left w:val="single" w:color="auto" w:sz="4" w:space="0"/>
                    <w:right w:val="single" w:color="auto" w:sz="12" w:space="0"/>
                  </w:tcBorders>
                  <w:vAlign w:val="center"/>
                </w:tcPr>
                <w:p w14:paraId="7DB30FD9">
                  <w:pPr>
                    <w:pStyle w:val="20"/>
                    <w:bidi w:val="0"/>
                    <w:rPr>
                      <w:rFonts w:hint="eastAsia"/>
                      <w:color w:val="auto"/>
                      <w:highlight w:val="none"/>
                      <w:lang w:val="en-US" w:eastAsia="zh-CN"/>
                    </w:rPr>
                  </w:pPr>
                </w:p>
              </w:tc>
              <w:tc>
                <w:tcPr>
                  <w:tcW w:w="1719" w:type="dxa"/>
                  <w:tcBorders>
                    <w:top w:val="single" w:color="auto" w:sz="4" w:space="0"/>
                    <w:left w:val="single" w:color="auto" w:sz="12" w:space="0"/>
                    <w:bottom w:val="single" w:color="auto" w:sz="4" w:space="0"/>
                    <w:right w:val="single" w:color="auto" w:sz="4" w:space="0"/>
                  </w:tcBorders>
                  <w:shd w:val="clear" w:color="auto" w:fill="auto"/>
                  <w:vAlign w:val="center"/>
                </w:tcPr>
                <w:p w14:paraId="3750ED0F">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不可回用废料</w:t>
                  </w:r>
                </w:p>
              </w:tc>
              <w:tc>
                <w:tcPr>
                  <w:tcW w:w="1143" w:type="dxa"/>
                  <w:tcBorders>
                    <w:top w:val="single" w:color="auto" w:sz="4" w:space="0"/>
                    <w:left w:val="single" w:color="auto" w:sz="4" w:space="0"/>
                    <w:bottom w:val="single" w:color="auto" w:sz="4" w:space="0"/>
                    <w:right w:val="single" w:color="auto" w:sz="4" w:space="0"/>
                  </w:tcBorders>
                  <w:shd w:val="clear" w:color="auto" w:fill="auto"/>
                  <w:vAlign w:val="center"/>
                </w:tcPr>
                <w:p w14:paraId="2EBF2916">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0.057</w:t>
                  </w:r>
                </w:p>
              </w:tc>
              <w:tc>
                <w:tcPr>
                  <w:tcW w:w="3476" w:type="dxa"/>
                  <w:tcBorders>
                    <w:top w:val="single" w:color="auto" w:sz="4" w:space="0"/>
                    <w:left w:val="single" w:color="auto" w:sz="4" w:space="0"/>
                    <w:bottom w:val="single" w:color="auto" w:sz="4" w:space="0"/>
                    <w:right w:val="single" w:color="auto" w:sz="4" w:space="0"/>
                  </w:tcBorders>
                  <w:shd w:val="clear" w:color="auto" w:fill="auto"/>
                  <w:vAlign w:val="center"/>
                </w:tcPr>
                <w:p w14:paraId="7DBF9082">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0.03%-原料</w:t>
                  </w:r>
                </w:p>
              </w:tc>
            </w:tr>
            <w:tr w14:paraId="48B39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dxa"/>
                  <w:vMerge w:val="continue"/>
                  <w:tcBorders>
                    <w:left w:val="single" w:color="auto" w:sz="4" w:space="0"/>
                    <w:right w:val="single" w:color="auto" w:sz="4" w:space="0"/>
                  </w:tcBorders>
                  <w:vAlign w:val="center"/>
                </w:tcPr>
                <w:p w14:paraId="3BA516DD">
                  <w:pPr>
                    <w:pStyle w:val="20"/>
                    <w:bidi w:val="0"/>
                    <w:rPr>
                      <w:rFonts w:hint="eastAsia"/>
                      <w:color w:val="auto"/>
                      <w:highlight w:val="none"/>
                      <w:lang w:val="en-US" w:eastAsia="zh-CN"/>
                    </w:rPr>
                  </w:pPr>
                </w:p>
              </w:tc>
              <w:tc>
                <w:tcPr>
                  <w:tcW w:w="1366" w:type="dxa"/>
                  <w:vMerge w:val="continue"/>
                  <w:tcBorders>
                    <w:left w:val="single" w:color="auto" w:sz="4" w:space="0"/>
                    <w:right w:val="single" w:color="auto" w:sz="12" w:space="0"/>
                  </w:tcBorders>
                  <w:vAlign w:val="center"/>
                </w:tcPr>
                <w:p w14:paraId="60229DA7">
                  <w:pPr>
                    <w:pStyle w:val="20"/>
                    <w:bidi w:val="0"/>
                    <w:rPr>
                      <w:rFonts w:hint="eastAsia"/>
                      <w:color w:val="auto"/>
                      <w:highlight w:val="none"/>
                      <w:lang w:val="en-US" w:eastAsia="zh-CN"/>
                    </w:rPr>
                  </w:pPr>
                </w:p>
              </w:tc>
              <w:tc>
                <w:tcPr>
                  <w:tcW w:w="1719" w:type="dxa"/>
                  <w:tcBorders>
                    <w:top w:val="single" w:color="auto" w:sz="4" w:space="0"/>
                    <w:left w:val="single" w:color="auto" w:sz="12" w:space="0"/>
                    <w:bottom w:val="double" w:color="auto" w:sz="4" w:space="0"/>
                    <w:right w:val="single" w:color="auto" w:sz="4" w:space="0"/>
                  </w:tcBorders>
                  <w:shd w:val="clear" w:color="auto" w:fill="auto"/>
                  <w:vAlign w:val="center"/>
                </w:tcPr>
                <w:p w14:paraId="690175A8">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破碎颗粒物</w:t>
                  </w:r>
                </w:p>
              </w:tc>
              <w:tc>
                <w:tcPr>
                  <w:tcW w:w="1143" w:type="dxa"/>
                  <w:tcBorders>
                    <w:top w:val="single" w:color="auto" w:sz="4" w:space="0"/>
                    <w:left w:val="single" w:color="auto" w:sz="4" w:space="0"/>
                    <w:bottom w:val="double" w:color="auto" w:sz="4" w:space="0"/>
                    <w:right w:val="single" w:color="auto" w:sz="4" w:space="0"/>
                  </w:tcBorders>
                  <w:shd w:val="clear" w:color="auto" w:fill="auto"/>
                  <w:vAlign w:val="center"/>
                </w:tcPr>
                <w:p w14:paraId="5E4600B7">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0.006</w:t>
                  </w:r>
                </w:p>
              </w:tc>
              <w:tc>
                <w:tcPr>
                  <w:tcW w:w="3476" w:type="dxa"/>
                  <w:tcBorders>
                    <w:top w:val="single" w:color="auto" w:sz="4" w:space="0"/>
                    <w:left w:val="single" w:color="auto" w:sz="4" w:space="0"/>
                    <w:bottom w:val="double" w:color="auto" w:sz="4" w:space="0"/>
                    <w:right w:val="single" w:color="auto" w:sz="4" w:space="0"/>
                  </w:tcBorders>
                  <w:shd w:val="clear" w:color="auto" w:fill="auto"/>
                  <w:vAlign w:val="center"/>
                </w:tcPr>
                <w:p w14:paraId="32536787">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375g/t-破碎料（边角料+不合格品）</w:t>
                  </w:r>
                </w:p>
              </w:tc>
            </w:tr>
            <w:tr w14:paraId="787C8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dxa"/>
                  <w:vMerge w:val="continue"/>
                  <w:tcBorders>
                    <w:left w:val="single" w:color="auto" w:sz="4" w:space="0"/>
                    <w:right w:val="single" w:color="auto" w:sz="4" w:space="0"/>
                  </w:tcBorders>
                  <w:vAlign w:val="center"/>
                </w:tcPr>
                <w:p w14:paraId="3DFF8FD0">
                  <w:pPr>
                    <w:pStyle w:val="20"/>
                    <w:bidi w:val="0"/>
                    <w:rPr>
                      <w:rFonts w:hint="eastAsia"/>
                      <w:color w:val="auto"/>
                      <w:highlight w:val="none"/>
                      <w:lang w:val="en-US" w:eastAsia="zh-CN"/>
                    </w:rPr>
                  </w:pPr>
                </w:p>
              </w:tc>
              <w:tc>
                <w:tcPr>
                  <w:tcW w:w="1366" w:type="dxa"/>
                  <w:vMerge w:val="continue"/>
                  <w:tcBorders>
                    <w:left w:val="single" w:color="auto" w:sz="4" w:space="0"/>
                    <w:right w:val="single" w:color="auto" w:sz="12" w:space="0"/>
                  </w:tcBorders>
                  <w:vAlign w:val="center"/>
                </w:tcPr>
                <w:p w14:paraId="3A31C1DD">
                  <w:pPr>
                    <w:pStyle w:val="20"/>
                    <w:bidi w:val="0"/>
                    <w:rPr>
                      <w:rFonts w:hint="eastAsia"/>
                      <w:color w:val="auto"/>
                      <w:highlight w:val="none"/>
                      <w:lang w:val="en-US" w:eastAsia="zh-CN"/>
                    </w:rPr>
                  </w:pPr>
                </w:p>
              </w:tc>
              <w:tc>
                <w:tcPr>
                  <w:tcW w:w="1719" w:type="dxa"/>
                  <w:tcBorders>
                    <w:top w:val="double" w:color="auto" w:sz="4" w:space="0"/>
                    <w:left w:val="single" w:color="auto" w:sz="12" w:space="0"/>
                    <w:bottom w:val="single" w:color="auto" w:sz="4" w:space="0"/>
                    <w:right w:val="single" w:color="auto" w:sz="4" w:space="0"/>
                  </w:tcBorders>
                  <w:shd w:val="clear" w:color="auto" w:fill="auto"/>
                  <w:vAlign w:val="center"/>
                </w:tcPr>
                <w:p w14:paraId="3DA82AB9">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边角料</w:t>
                  </w:r>
                </w:p>
              </w:tc>
              <w:tc>
                <w:tcPr>
                  <w:tcW w:w="1143" w:type="dxa"/>
                  <w:tcBorders>
                    <w:top w:val="double" w:color="auto" w:sz="4" w:space="0"/>
                    <w:left w:val="single" w:color="auto" w:sz="4" w:space="0"/>
                    <w:bottom w:val="single" w:color="auto" w:sz="4" w:space="0"/>
                    <w:right w:val="single" w:color="auto" w:sz="4" w:space="0"/>
                  </w:tcBorders>
                  <w:shd w:val="clear" w:color="auto" w:fill="auto"/>
                  <w:vAlign w:val="center"/>
                </w:tcPr>
                <w:p w14:paraId="2CA2EC27">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9.449</w:t>
                  </w:r>
                </w:p>
              </w:tc>
              <w:tc>
                <w:tcPr>
                  <w:tcW w:w="3476" w:type="dxa"/>
                  <w:tcBorders>
                    <w:top w:val="double" w:color="auto" w:sz="4" w:space="0"/>
                    <w:left w:val="single" w:color="auto" w:sz="4" w:space="0"/>
                    <w:bottom w:val="single" w:color="auto" w:sz="4" w:space="0"/>
                    <w:right w:val="single" w:color="auto" w:sz="4" w:space="0"/>
                  </w:tcBorders>
                  <w:shd w:val="clear" w:color="auto" w:fill="auto"/>
                  <w:vAlign w:val="center"/>
                </w:tcPr>
                <w:p w14:paraId="4557E0FD">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5%-原料</w:t>
                  </w:r>
                </w:p>
              </w:tc>
            </w:tr>
            <w:tr w14:paraId="30CBC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dxa"/>
                  <w:vMerge w:val="continue"/>
                  <w:tcBorders>
                    <w:left w:val="single" w:color="auto" w:sz="4" w:space="0"/>
                    <w:right w:val="single" w:color="auto" w:sz="4" w:space="0"/>
                  </w:tcBorders>
                  <w:vAlign w:val="center"/>
                </w:tcPr>
                <w:p w14:paraId="56D8EAC2">
                  <w:pPr>
                    <w:pStyle w:val="20"/>
                    <w:bidi w:val="0"/>
                    <w:rPr>
                      <w:rFonts w:hint="eastAsia"/>
                      <w:color w:val="auto"/>
                      <w:highlight w:val="none"/>
                      <w:lang w:val="en-US" w:eastAsia="zh-CN"/>
                    </w:rPr>
                  </w:pPr>
                </w:p>
              </w:tc>
              <w:tc>
                <w:tcPr>
                  <w:tcW w:w="1366" w:type="dxa"/>
                  <w:vMerge w:val="continue"/>
                  <w:tcBorders>
                    <w:left w:val="single" w:color="auto" w:sz="4" w:space="0"/>
                    <w:right w:val="single" w:color="auto" w:sz="12" w:space="0"/>
                  </w:tcBorders>
                  <w:vAlign w:val="center"/>
                </w:tcPr>
                <w:p w14:paraId="0C26C7E3">
                  <w:pPr>
                    <w:pStyle w:val="20"/>
                    <w:bidi w:val="0"/>
                    <w:rPr>
                      <w:rFonts w:hint="eastAsia"/>
                      <w:color w:val="auto"/>
                      <w:highlight w:val="none"/>
                      <w:lang w:val="en-US" w:eastAsia="zh-CN"/>
                    </w:rPr>
                  </w:pPr>
                </w:p>
              </w:tc>
              <w:tc>
                <w:tcPr>
                  <w:tcW w:w="1719" w:type="dxa"/>
                  <w:tcBorders>
                    <w:top w:val="single" w:color="auto" w:sz="4" w:space="0"/>
                    <w:left w:val="single" w:color="auto" w:sz="12" w:space="0"/>
                    <w:bottom w:val="single" w:color="auto" w:sz="4" w:space="0"/>
                    <w:right w:val="single" w:color="auto" w:sz="4" w:space="0"/>
                  </w:tcBorders>
                  <w:shd w:val="clear" w:color="auto" w:fill="auto"/>
                  <w:vAlign w:val="center"/>
                </w:tcPr>
                <w:p w14:paraId="22556C98">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不合格品</w:t>
                  </w:r>
                </w:p>
              </w:tc>
              <w:tc>
                <w:tcPr>
                  <w:tcW w:w="1143" w:type="dxa"/>
                  <w:tcBorders>
                    <w:top w:val="single" w:color="auto" w:sz="4" w:space="0"/>
                    <w:left w:val="single" w:color="auto" w:sz="4" w:space="0"/>
                    <w:bottom w:val="single" w:color="auto" w:sz="4" w:space="0"/>
                    <w:right w:val="single" w:color="auto" w:sz="4" w:space="0"/>
                  </w:tcBorders>
                  <w:shd w:val="clear" w:color="auto" w:fill="auto"/>
                  <w:vAlign w:val="center"/>
                </w:tcPr>
                <w:p w14:paraId="5D1242FF">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5.827</w:t>
                  </w:r>
                </w:p>
              </w:tc>
              <w:tc>
                <w:tcPr>
                  <w:tcW w:w="3476" w:type="dxa"/>
                  <w:tcBorders>
                    <w:top w:val="single" w:color="auto" w:sz="4" w:space="0"/>
                    <w:left w:val="single" w:color="auto" w:sz="4" w:space="0"/>
                    <w:bottom w:val="single" w:color="auto" w:sz="4" w:space="0"/>
                    <w:right w:val="single" w:color="auto" w:sz="4" w:space="0"/>
                  </w:tcBorders>
                  <w:shd w:val="clear" w:color="auto" w:fill="auto"/>
                  <w:vAlign w:val="center"/>
                </w:tcPr>
                <w:p w14:paraId="1E56E1A6">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合格率97%，不合格产品188.4/0.97*0.03=5.827</w:t>
                  </w:r>
                </w:p>
              </w:tc>
            </w:tr>
            <w:tr w14:paraId="21FAC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dxa"/>
                  <w:tcBorders>
                    <w:left w:val="single" w:color="auto" w:sz="4" w:space="0"/>
                    <w:bottom w:val="single" w:color="auto" w:sz="4" w:space="0"/>
                    <w:right w:val="single" w:color="auto" w:sz="4" w:space="0"/>
                  </w:tcBorders>
                  <w:vAlign w:val="center"/>
                </w:tcPr>
                <w:p w14:paraId="13150097">
                  <w:pPr>
                    <w:pStyle w:val="20"/>
                    <w:bidi w:val="0"/>
                    <w:rPr>
                      <w:rFonts w:hint="default"/>
                      <w:color w:val="auto"/>
                      <w:highlight w:val="none"/>
                      <w:lang w:val="en-US" w:eastAsia="zh-CN"/>
                    </w:rPr>
                  </w:pPr>
                  <w:r>
                    <w:rPr>
                      <w:rFonts w:hint="eastAsia"/>
                      <w:color w:val="auto"/>
                      <w:highlight w:val="none"/>
                      <w:lang w:val="en-US" w:eastAsia="zh-CN"/>
                    </w:rPr>
                    <w:t>合计</w:t>
                  </w:r>
                </w:p>
              </w:tc>
              <w:tc>
                <w:tcPr>
                  <w:tcW w:w="1366" w:type="dxa"/>
                  <w:tcBorders>
                    <w:top w:val="single" w:color="auto" w:sz="4" w:space="0"/>
                    <w:left w:val="single" w:color="auto" w:sz="4" w:space="0"/>
                    <w:bottom w:val="single" w:color="auto" w:sz="4" w:space="0"/>
                    <w:right w:val="single" w:color="auto" w:sz="12" w:space="0"/>
                  </w:tcBorders>
                  <w:vAlign w:val="center"/>
                </w:tcPr>
                <w:p w14:paraId="65E5A36C">
                  <w:pPr>
                    <w:pStyle w:val="20"/>
                    <w:bidi w:val="0"/>
                    <w:rPr>
                      <w:rFonts w:hint="default"/>
                      <w:color w:val="auto"/>
                      <w:highlight w:val="none"/>
                      <w:lang w:val="en-US" w:eastAsia="zh-CN"/>
                    </w:rPr>
                  </w:pPr>
                  <w:r>
                    <w:rPr>
                      <w:rFonts w:hint="eastAsia"/>
                      <w:color w:val="auto"/>
                      <w:highlight w:val="none"/>
                      <w:lang w:val="en-US" w:eastAsia="zh-CN"/>
                    </w:rPr>
                    <w:t>188.973</w:t>
                  </w:r>
                </w:p>
              </w:tc>
              <w:tc>
                <w:tcPr>
                  <w:tcW w:w="1719" w:type="dxa"/>
                  <w:tcBorders>
                    <w:top w:val="single" w:color="auto" w:sz="4" w:space="0"/>
                    <w:left w:val="single" w:color="auto" w:sz="12" w:space="0"/>
                    <w:bottom w:val="single" w:color="auto" w:sz="4" w:space="0"/>
                    <w:right w:val="single" w:color="auto" w:sz="4" w:space="0"/>
                  </w:tcBorders>
                  <w:vAlign w:val="center"/>
                </w:tcPr>
                <w:p w14:paraId="302C3D72">
                  <w:pPr>
                    <w:pStyle w:val="20"/>
                    <w:bidi w:val="0"/>
                    <w:rPr>
                      <w:rFonts w:hint="default"/>
                      <w:color w:val="auto"/>
                      <w:highlight w:val="none"/>
                      <w:lang w:val="en-US" w:eastAsia="zh-CN"/>
                    </w:rPr>
                  </w:pPr>
                  <w:r>
                    <w:rPr>
                      <w:rFonts w:hint="eastAsia"/>
                      <w:color w:val="auto"/>
                      <w:highlight w:val="none"/>
                      <w:lang w:val="en-US" w:eastAsia="zh-CN"/>
                    </w:rPr>
                    <w:t>/</w:t>
                  </w:r>
                </w:p>
              </w:tc>
              <w:tc>
                <w:tcPr>
                  <w:tcW w:w="1143" w:type="dxa"/>
                  <w:tcBorders>
                    <w:top w:val="single" w:color="auto" w:sz="4" w:space="0"/>
                    <w:left w:val="single" w:color="auto" w:sz="4" w:space="0"/>
                    <w:bottom w:val="single" w:color="auto" w:sz="4" w:space="0"/>
                    <w:right w:val="single" w:color="auto" w:sz="4" w:space="0"/>
                  </w:tcBorders>
                  <w:vAlign w:val="center"/>
                </w:tcPr>
                <w:p w14:paraId="17A71345">
                  <w:pPr>
                    <w:pStyle w:val="20"/>
                    <w:bidi w:val="0"/>
                    <w:rPr>
                      <w:rFonts w:hint="default"/>
                      <w:color w:val="auto"/>
                      <w:highlight w:val="none"/>
                      <w:lang w:val="en-US" w:eastAsia="zh-CN"/>
                    </w:rPr>
                  </w:pPr>
                  <w:r>
                    <w:rPr>
                      <w:rFonts w:hint="eastAsia"/>
                      <w:color w:val="auto"/>
                      <w:highlight w:val="none"/>
                      <w:lang w:val="en-US" w:eastAsia="zh-CN"/>
                    </w:rPr>
                    <w:t>188.973</w:t>
                  </w:r>
                </w:p>
              </w:tc>
              <w:tc>
                <w:tcPr>
                  <w:tcW w:w="3476" w:type="dxa"/>
                  <w:tcBorders>
                    <w:top w:val="single" w:color="auto" w:sz="4" w:space="0"/>
                    <w:left w:val="single" w:color="auto" w:sz="4" w:space="0"/>
                    <w:bottom w:val="single" w:color="auto" w:sz="4" w:space="0"/>
                    <w:right w:val="single" w:color="auto" w:sz="4" w:space="0"/>
                  </w:tcBorders>
                  <w:vAlign w:val="center"/>
                </w:tcPr>
                <w:p w14:paraId="0E1D727B">
                  <w:pPr>
                    <w:pStyle w:val="20"/>
                    <w:bidi w:val="0"/>
                    <w:rPr>
                      <w:rFonts w:hint="eastAsia"/>
                      <w:color w:val="auto"/>
                      <w:highlight w:val="none"/>
                      <w:lang w:val="en-US" w:eastAsia="zh-CN"/>
                    </w:rPr>
                  </w:pPr>
                  <w:r>
                    <w:rPr>
                      <w:rFonts w:hint="eastAsia"/>
                      <w:color w:val="auto"/>
                      <w:highlight w:val="none"/>
                      <w:lang w:val="en-US" w:eastAsia="zh-CN"/>
                    </w:rPr>
                    <w:t>注：边角料、不合格品回用，最终进入产品，不计入产出</w:t>
                  </w:r>
                </w:p>
              </w:tc>
            </w:tr>
          </w:tbl>
          <w:p w14:paraId="405C9FB9">
            <w:pPr>
              <w:pStyle w:val="2"/>
              <w:numPr>
                <w:ilvl w:val="0"/>
                <w:numId w:val="3"/>
              </w:numPr>
              <w:spacing w:before="156"/>
              <w:rPr>
                <w:color w:val="auto"/>
                <w:highlight w:val="none"/>
              </w:rPr>
            </w:pPr>
            <w:r>
              <w:rPr>
                <w:rFonts w:hint="eastAsia"/>
                <w:color w:val="auto"/>
                <w:highlight w:val="none"/>
              </w:rPr>
              <w:t>劳动定员及工作制度</w:t>
            </w:r>
          </w:p>
          <w:p w14:paraId="0574E12A">
            <w:pPr>
              <w:pStyle w:val="18"/>
              <w:rPr>
                <w:color w:val="auto"/>
                <w:highlight w:val="none"/>
              </w:rPr>
            </w:pPr>
            <w:r>
              <w:rPr>
                <w:rFonts w:hint="eastAsia"/>
                <w:color w:val="auto"/>
                <w:highlight w:val="none"/>
              </w:rPr>
              <w:t>劳动定员：</w:t>
            </w:r>
            <w:r>
              <w:rPr>
                <w:rFonts w:hint="eastAsia"/>
                <w:color w:val="auto"/>
                <w:highlight w:val="none"/>
                <w:lang w:val="en-US" w:eastAsia="zh-CN"/>
              </w:rPr>
              <w:t>现有项目劳动定员约15人，扩建后</w:t>
            </w:r>
            <w:r>
              <w:rPr>
                <w:rFonts w:hint="eastAsia"/>
                <w:color w:val="auto"/>
                <w:highlight w:val="none"/>
              </w:rPr>
              <w:t>项目劳动定员60人，</w:t>
            </w:r>
            <w:r>
              <w:rPr>
                <w:rFonts w:hint="eastAsia"/>
                <w:color w:val="auto"/>
                <w:highlight w:val="none"/>
                <w:lang w:val="en-US" w:eastAsia="zh-CN"/>
              </w:rPr>
              <w:t>不</w:t>
            </w:r>
            <w:r>
              <w:rPr>
                <w:rFonts w:hint="eastAsia"/>
                <w:color w:val="auto"/>
                <w:highlight w:val="none"/>
              </w:rPr>
              <w:t>设置食堂和住宿</w:t>
            </w:r>
            <w:r>
              <w:rPr>
                <w:rFonts w:hint="eastAsia"/>
                <w:color w:val="auto"/>
                <w:highlight w:val="none"/>
                <w:lang w:eastAsia="zh-CN"/>
              </w:rPr>
              <w:t>，</w:t>
            </w:r>
            <w:r>
              <w:rPr>
                <w:rFonts w:hint="eastAsia"/>
                <w:color w:val="auto"/>
                <w:highlight w:val="none"/>
                <w:lang w:val="en-US" w:eastAsia="zh-CN"/>
              </w:rPr>
              <w:t>采用委外送餐</w:t>
            </w:r>
            <w:r>
              <w:rPr>
                <w:rFonts w:hint="eastAsia"/>
                <w:color w:val="auto"/>
                <w:highlight w:val="none"/>
              </w:rPr>
              <w:t>。</w:t>
            </w:r>
          </w:p>
          <w:p w14:paraId="676F9FDD">
            <w:pPr>
              <w:pStyle w:val="18"/>
              <w:rPr>
                <w:rFonts w:hint="eastAsia" w:eastAsia="宋体"/>
                <w:color w:val="auto"/>
                <w:highlight w:val="none"/>
                <w:lang w:eastAsia="zh-CN"/>
              </w:rPr>
            </w:pPr>
            <w:r>
              <w:rPr>
                <w:rFonts w:hint="eastAsia"/>
                <w:color w:val="auto"/>
                <w:highlight w:val="none"/>
              </w:rPr>
              <w:t>工作制度：</w:t>
            </w:r>
            <w:r>
              <w:rPr>
                <w:rFonts w:hint="eastAsia"/>
                <w:color w:val="auto"/>
                <w:highlight w:val="none"/>
                <w:lang w:val="en-US" w:eastAsia="zh-CN"/>
              </w:rPr>
              <w:t>现有项目为1班制，每班8小时，扩建后采用</w:t>
            </w:r>
            <w:r>
              <w:rPr>
                <w:rFonts w:hint="eastAsia"/>
                <w:color w:val="auto"/>
                <w:highlight w:val="none"/>
              </w:rPr>
              <w:t>三班制生产，每班工作时间8小时。年工作天数为300天</w:t>
            </w:r>
            <w:r>
              <w:rPr>
                <w:rFonts w:hint="eastAsia"/>
                <w:color w:val="auto"/>
                <w:highlight w:val="none"/>
                <w:lang w:eastAsia="zh-CN"/>
              </w:rPr>
              <w:t>。</w:t>
            </w:r>
          </w:p>
          <w:p w14:paraId="18D0B512">
            <w:pPr>
              <w:pStyle w:val="2"/>
              <w:numPr>
                <w:ilvl w:val="0"/>
                <w:numId w:val="3"/>
              </w:numPr>
              <w:spacing w:before="156"/>
              <w:rPr>
                <w:color w:val="auto"/>
                <w:highlight w:val="none"/>
              </w:rPr>
            </w:pPr>
            <w:r>
              <w:rPr>
                <w:rFonts w:hint="eastAsia"/>
                <w:color w:val="auto"/>
                <w:highlight w:val="none"/>
              </w:rPr>
              <w:t>平面布置</w:t>
            </w:r>
          </w:p>
          <w:p w14:paraId="0D66FE37">
            <w:pPr>
              <w:pStyle w:val="18"/>
              <w:rPr>
                <w:rFonts w:hint="eastAsia"/>
                <w:color w:val="auto"/>
                <w:highlight w:val="none"/>
                <w:lang w:val="en-US" w:eastAsia="zh-CN"/>
              </w:rPr>
            </w:pPr>
            <w:r>
              <w:rPr>
                <w:rFonts w:hint="eastAsia"/>
                <w:color w:val="auto"/>
                <w:highlight w:val="none"/>
                <w:lang w:val="en-US" w:eastAsia="zh-CN"/>
              </w:rPr>
              <w:t>扩建后，</w:t>
            </w:r>
            <w:r>
              <w:rPr>
                <w:rFonts w:hint="eastAsia"/>
                <w:color w:val="auto"/>
                <w:highlight w:val="none"/>
              </w:rPr>
              <w:t>项目</w:t>
            </w:r>
            <w:r>
              <w:rPr>
                <w:rFonts w:hint="eastAsia"/>
                <w:color w:val="auto"/>
                <w:highlight w:val="none"/>
                <w:lang w:val="en-US" w:eastAsia="zh-CN"/>
              </w:rPr>
              <w:t>平面布置如下：</w:t>
            </w:r>
          </w:p>
          <w:p w14:paraId="709AADF8">
            <w:pPr>
              <w:pStyle w:val="18"/>
              <w:rPr>
                <w:rFonts w:hint="eastAsia"/>
                <w:color w:val="auto"/>
                <w:highlight w:val="none"/>
                <w:lang w:val="en-US" w:eastAsia="zh-CN"/>
              </w:rPr>
            </w:pPr>
            <w:r>
              <w:rPr>
                <w:rFonts w:hint="eastAsia"/>
                <w:color w:val="auto"/>
                <w:highlight w:val="none"/>
                <w:lang w:val="en-US" w:eastAsia="zh-CN"/>
              </w:rPr>
              <w:t>生产厂房呈南北走向，厂房南北两侧为2层建筑，中间为1层生产车间。厂房1F面积1777.5m</w:t>
            </w:r>
            <w:r>
              <w:rPr>
                <w:rFonts w:hint="eastAsia"/>
                <w:color w:val="auto"/>
                <w:highlight w:val="none"/>
                <w:vertAlign w:val="superscript"/>
                <w:lang w:val="en-US" w:eastAsia="zh-CN"/>
              </w:rPr>
              <w:t>2</w:t>
            </w:r>
            <w:r>
              <w:rPr>
                <w:rFonts w:hint="eastAsia"/>
                <w:color w:val="auto"/>
                <w:highlight w:val="none"/>
                <w:vertAlign w:val="baseline"/>
                <w:lang w:val="en-US" w:eastAsia="zh-CN"/>
              </w:rPr>
              <w:t>，南侧2F面积426m</w:t>
            </w:r>
            <w:r>
              <w:rPr>
                <w:rFonts w:hint="eastAsia"/>
                <w:color w:val="auto"/>
                <w:highlight w:val="none"/>
                <w:vertAlign w:val="superscript"/>
                <w:lang w:val="en-US" w:eastAsia="zh-CN"/>
              </w:rPr>
              <w:t>2</w:t>
            </w:r>
            <w:r>
              <w:rPr>
                <w:rFonts w:hint="eastAsia"/>
                <w:color w:val="auto"/>
                <w:highlight w:val="none"/>
                <w:vertAlign w:val="baseline"/>
                <w:lang w:val="en-US" w:eastAsia="zh-CN"/>
              </w:rPr>
              <w:t>为办公区域。西侧新增租赁面积</w:t>
            </w:r>
            <w:r>
              <w:rPr>
                <w:rFonts w:hint="eastAsia"/>
                <w:color w:val="auto"/>
                <w:highlight w:val="none"/>
                <w:lang w:val="en-US" w:eastAsia="zh-CN"/>
              </w:rPr>
              <w:t>1136m</w:t>
            </w:r>
            <w:r>
              <w:rPr>
                <w:rFonts w:hint="eastAsia"/>
                <w:color w:val="auto"/>
                <w:highlight w:val="none"/>
                <w:vertAlign w:val="superscript"/>
                <w:lang w:val="en-US" w:eastAsia="zh-CN"/>
              </w:rPr>
              <w:t>2</w:t>
            </w:r>
            <w:r>
              <w:rPr>
                <w:rFonts w:hint="eastAsia"/>
                <w:color w:val="auto"/>
                <w:highlight w:val="none"/>
                <w:lang w:val="en-US" w:eastAsia="zh-CN"/>
              </w:rPr>
              <w:t>，用于仓储和注塑生产。厂房北侧1F为五金、备件仓库和原料库房，通道两侧为原料库房延伸，2F非企业租赁范围。南侧1F设置就餐区，2F为办公区域。</w:t>
            </w:r>
          </w:p>
          <w:p w14:paraId="211845E6">
            <w:pPr>
              <w:pStyle w:val="18"/>
              <w:rPr>
                <w:rFonts w:hint="eastAsia"/>
                <w:color w:val="auto"/>
                <w:highlight w:val="none"/>
                <w:lang w:val="en-US" w:eastAsia="zh-CN"/>
              </w:rPr>
            </w:pPr>
            <w:r>
              <w:rPr>
                <w:rFonts w:hint="eastAsia"/>
                <w:color w:val="auto"/>
                <w:highlight w:val="none"/>
                <w:lang w:val="en-US" w:eastAsia="zh-CN"/>
              </w:rPr>
              <w:t>车间南部及中部区域紧凑设置11台注塑机，5台为新增设备，向北依次设置检验包装区、模修区、成品库房，西侧新增厂房依次设置成品库房、辅料库房以及注塑区，生产区域设置1台干燥机和4台新注塑机。</w:t>
            </w:r>
          </w:p>
          <w:p w14:paraId="26F86E55">
            <w:pPr>
              <w:pStyle w:val="18"/>
              <w:rPr>
                <w:rFonts w:hint="default"/>
                <w:color w:val="auto"/>
                <w:highlight w:val="none"/>
                <w:lang w:val="en-US"/>
              </w:rPr>
            </w:pPr>
            <w:r>
              <w:rPr>
                <w:rFonts w:hint="eastAsia"/>
                <w:color w:val="auto"/>
                <w:highlight w:val="none"/>
                <w:lang w:val="en-US" w:eastAsia="zh-CN"/>
              </w:rPr>
              <w:t>冷却塔设置在室外，现有一座位于厂房东南角，新增一座设置于厂房南侧外，用于注塑产品的冷却，空压机设置在厂房外，位于厂房东南角，设置有设备间。厂房外北侧厂区内设置面积约486m</w:t>
            </w:r>
            <w:r>
              <w:rPr>
                <w:rFonts w:hint="eastAsia"/>
                <w:color w:val="auto"/>
                <w:highlight w:val="none"/>
                <w:vertAlign w:val="superscript"/>
                <w:lang w:val="en-US" w:eastAsia="zh-CN"/>
              </w:rPr>
              <w:t>2</w:t>
            </w:r>
            <w:r>
              <w:rPr>
                <w:rFonts w:hint="eastAsia"/>
                <w:color w:val="auto"/>
                <w:highlight w:val="none"/>
                <w:lang w:val="en-US" w:eastAsia="zh-CN"/>
              </w:rPr>
              <w:t>的原料准备区，西南侧为面积80m</w:t>
            </w:r>
            <w:r>
              <w:rPr>
                <w:rFonts w:hint="eastAsia"/>
                <w:color w:val="auto"/>
                <w:highlight w:val="none"/>
                <w:vertAlign w:val="superscript"/>
                <w:lang w:val="en-US" w:eastAsia="zh-CN"/>
              </w:rPr>
              <w:t>2</w:t>
            </w:r>
            <w:r>
              <w:rPr>
                <w:rFonts w:hint="eastAsia"/>
                <w:color w:val="auto"/>
                <w:highlight w:val="none"/>
                <w:lang w:val="en-US" w:eastAsia="zh-CN"/>
              </w:rPr>
              <w:t>的破碎间，设置2台破碎机和1台混料机，其余为原料库房1，一般固废暂存区、危废废物贮存点设置在该库房。废气治理设施拟设置在东侧厂房外。</w:t>
            </w:r>
          </w:p>
          <w:p w14:paraId="3F35C737">
            <w:pPr>
              <w:pStyle w:val="18"/>
              <w:rPr>
                <w:color w:val="auto"/>
                <w:highlight w:val="none"/>
              </w:rPr>
            </w:pPr>
            <w:r>
              <w:rPr>
                <w:rFonts w:hint="eastAsia"/>
                <w:color w:val="auto"/>
                <w:highlight w:val="none"/>
              </w:rPr>
              <w:t>项目整个布置做到物流、人流流向明确，互不交叉干扰；生产线布置符合生产程序物流走向。平面布局总体上功能组织合理、结构清晰，符合环保要求。项目平面布置及环保设施分布示意图详见附图2。</w:t>
            </w:r>
          </w:p>
          <w:p w14:paraId="4B8176F1">
            <w:pPr>
              <w:pStyle w:val="2"/>
              <w:numPr>
                <w:ilvl w:val="0"/>
                <w:numId w:val="3"/>
              </w:numPr>
              <w:spacing w:before="156"/>
              <w:rPr>
                <w:color w:val="auto"/>
                <w:highlight w:val="none"/>
              </w:rPr>
            </w:pPr>
            <w:r>
              <w:rPr>
                <w:rFonts w:hint="eastAsia"/>
                <w:color w:val="auto"/>
                <w:highlight w:val="none"/>
              </w:rPr>
              <w:t>水平衡分析</w:t>
            </w:r>
          </w:p>
          <w:p w14:paraId="6AD0619B">
            <w:pPr>
              <w:pStyle w:val="18"/>
              <w:bidi w:val="0"/>
              <w:rPr>
                <w:rFonts w:hint="eastAsia"/>
                <w:b/>
                <w:bCs/>
                <w:color w:val="auto"/>
                <w:highlight w:val="none"/>
                <w:lang w:eastAsia="zh-CN"/>
              </w:rPr>
            </w:pPr>
            <w:r>
              <w:rPr>
                <w:rFonts w:hint="eastAsia"/>
                <w:b/>
                <w:bCs/>
                <w:color w:val="auto"/>
                <w:highlight w:val="none"/>
                <w:lang w:eastAsia="zh-CN"/>
              </w:rPr>
              <w:t>（</w:t>
            </w:r>
            <w:r>
              <w:rPr>
                <w:rFonts w:hint="eastAsia"/>
                <w:b/>
                <w:bCs/>
                <w:color w:val="auto"/>
                <w:highlight w:val="none"/>
                <w:lang w:val="en-US" w:eastAsia="zh-CN"/>
              </w:rPr>
              <w:t>1</w:t>
            </w:r>
            <w:r>
              <w:rPr>
                <w:rFonts w:hint="eastAsia"/>
                <w:b/>
                <w:bCs/>
                <w:color w:val="auto"/>
                <w:highlight w:val="none"/>
                <w:lang w:eastAsia="zh-CN"/>
              </w:rPr>
              <w:t>）生活用水</w:t>
            </w:r>
          </w:p>
          <w:p w14:paraId="0191959D">
            <w:pPr>
              <w:pStyle w:val="18"/>
              <w:keepNext w:val="0"/>
              <w:keepLines w:val="0"/>
              <w:suppressLineNumbers w:val="0"/>
              <w:spacing w:before="0" w:beforeAutospacing="0" w:after="0" w:afterAutospacing="0"/>
              <w:ind w:left="0" w:right="0"/>
              <w:rPr>
                <w:rFonts w:hint="eastAsia"/>
                <w:color w:val="auto"/>
                <w:highlight w:val="none"/>
              </w:rPr>
            </w:pPr>
            <w:r>
              <w:rPr>
                <w:rFonts w:hint="eastAsia"/>
                <w:color w:val="auto"/>
                <w:highlight w:val="none"/>
              </w:rPr>
              <w:t>项目</w:t>
            </w:r>
            <w:r>
              <w:rPr>
                <w:rFonts w:hint="eastAsia"/>
                <w:color w:val="auto"/>
                <w:highlight w:val="none"/>
                <w:lang w:val="en-US" w:eastAsia="zh-CN"/>
              </w:rPr>
              <w:t>扩建后</w:t>
            </w:r>
            <w:r>
              <w:rPr>
                <w:rFonts w:hint="eastAsia"/>
                <w:color w:val="auto"/>
                <w:highlight w:val="none"/>
              </w:rPr>
              <w:t>劳动定员</w:t>
            </w:r>
            <w:r>
              <w:rPr>
                <w:rFonts w:hint="eastAsia"/>
                <w:color w:val="auto"/>
                <w:highlight w:val="none"/>
                <w:lang w:val="en-US" w:eastAsia="zh-CN"/>
              </w:rPr>
              <w:t>60</w:t>
            </w:r>
            <w:r>
              <w:rPr>
                <w:rFonts w:hint="eastAsia"/>
                <w:color w:val="auto"/>
                <w:highlight w:val="none"/>
              </w:rPr>
              <w:t>人，</w:t>
            </w:r>
            <w:r>
              <w:rPr>
                <w:rFonts w:hint="eastAsia"/>
                <w:color w:val="auto"/>
                <w:highlight w:val="none"/>
                <w:lang w:val="en-US" w:eastAsia="zh-CN"/>
              </w:rPr>
              <w:t>不设置食堂和住宿</w:t>
            </w:r>
            <w:r>
              <w:rPr>
                <w:rFonts w:hint="eastAsia"/>
                <w:color w:val="auto"/>
                <w:highlight w:val="none"/>
                <w:lang w:eastAsia="zh-CN"/>
              </w:rPr>
              <w:t>，</w:t>
            </w:r>
            <w:r>
              <w:rPr>
                <w:rFonts w:hint="eastAsia"/>
                <w:color w:val="auto"/>
                <w:highlight w:val="none"/>
              </w:rPr>
              <w:t>年工作时间300天。参照《建筑给水排水设计标准》（GB50015-2019），</w:t>
            </w:r>
            <w:r>
              <w:rPr>
                <w:rFonts w:hint="eastAsia"/>
                <w:color w:val="auto"/>
                <w:highlight w:val="none"/>
                <w:lang w:val="en-US" w:eastAsia="zh-CN"/>
              </w:rPr>
              <w:t>员工生活用水量按50</w:t>
            </w:r>
            <w:r>
              <w:rPr>
                <w:rFonts w:hint="eastAsia"/>
                <w:color w:val="auto"/>
                <w:highlight w:val="none"/>
              </w:rPr>
              <w:t>L/人·d</w:t>
            </w:r>
            <w:r>
              <w:rPr>
                <w:rFonts w:hint="eastAsia"/>
                <w:color w:val="auto"/>
                <w:highlight w:val="none"/>
                <w:lang w:val="en-US" w:eastAsia="zh-CN"/>
              </w:rPr>
              <w:t>计，</w:t>
            </w:r>
            <w:r>
              <w:rPr>
                <w:rFonts w:hint="eastAsia"/>
                <w:color w:val="auto"/>
                <w:highlight w:val="none"/>
                <w:lang w:eastAsia="zh-CN"/>
              </w:rPr>
              <w:t>员工生活用水</w:t>
            </w:r>
            <w:r>
              <w:rPr>
                <w:rFonts w:hint="eastAsia"/>
                <w:color w:val="auto"/>
                <w:highlight w:val="none"/>
                <w:lang w:val="en-US" w:eastAsia="zh-CN"/>
              </w:rPr>
              <w:t>3t/d，</w:t>
            </w:r>
            <w:r>
              <w:rPr>
                <w:rFonts w:hint="default" w:ascii="Times New Roman" w:hAnsi="Times New Roman"/>
                <w:bCs/>
                <w:color w:val="auto"/>
                <w:szCs w:val="21"/>
                <w:highlight w:val="none"/>
                <w:lang w:val="en-US" w:eastAsia="zh-CN"/>
              </w:rPr>
              <w:t>排污系数按0.9计，则排水量为</w:t>
            </w:r>
            <w:r>
              <w:rPr>
                <w:rFonts w:hint="eastAsia"/>
                <w:bCs/>
                <w:color w:val="auto"/>
                <w:szCs w:val="21"/>
                <w:highlight w:val="none"/>
                <w:lang w:val="en-US" w:eastAsia="zh-CN"/>
              </w:rPr>
              <w:t>2.7</w:t>
            </w:r>
            <w:r>
              <w:rPr>
                <w:rFonts w:hint="default" w:ascii="Times New Roman" w:hAnsi="Times New Roman"/>
                <w:bCs/>
                <w:color w:val="auto"/>
                <w:szCs w:val="21"/>
                <w:highlight w:val="none"/>
                <w:lang w:val="en-US" w:eastAsia="zh-CN"/>
              </w:rPr>
              <w:t>m</w:t>
            </w:r>
            <w:r>
              <w:rPr>
                <w:rFonts w:hint="default" w:ascii="Times New Roman" w:hAnsi="Times New Roman"/>
                <w:bCs/>
                <w:color w:val="auto"/>
                <w:szCs w:val="21"/>
                <w:highlight w:val="none"/>
                <w:vertAlign w:val="superscript"/>
                <w:lang w:val="en-US" w:eastAsia="zh-CN"/>
              </w:rPr>
              <w:t>3</w:t>
            </w:r>
            <w:r>
              <w:rPr>
                <w:rFonts w:hint="default" w:ascii="Times New Roman" w:hAnsi="Times New Roman"/>
                <w:bCs/>
                <w:color w:val="auto"/>
                <w:szCs w:val="21"/>
                <w:highlight w:val="none"/>
                <w:lang w:val="en-US" w:eastAsia="zh-CN"/>
              </w:rPr>
              <w:t>/d（</w:t>
            </w:r>
            <w:r>
              <w:rPr>
                <w:rFonts w:hint="eastAsia"/>
                <w:bCs/>
                <w:color w:val="auto"/>
                <w:szCs w:val="21"/>
                <w:highlight w:val="none"/>
                <w:lang w:val="en-US" w:eastAsia="zh-CN"/>
              </w:rPr>
              <w:t>810</w:t>
            </w:r>
            <w:r>
              <w:rPr>
                <w:rFonts w:hint="default" w:ascii="Times New Roman" w:hAnsi="Times New Roman"/>
                <w:bCs/>
                <w:color w:val="auto"/>
                <w:szCs w:val="21"/>
                <w:highlight w:val="none"/>
                <w:lang w:val="en-US" w:eastAsia="zh-CN"/>
              </w:rPr>
              <w:t>m</w:t>
            </w:r>
            <w:r>
              <w:rPr>
                <w:rFonts w:hint="default" w:ascii="Times New Roman" w:hAnsi="Times New Roman"/>
                <w:bCs/>
                <w:color w:val="auto"/>
                <w:szCs w:val="21"/>
                <w:highlight w:val="none"/>
                <w:vertAlign w:val="superscript"/>
                <w:lang w:val="en-US" w:eastAsia="zh-CN"/>
              </w:rPr>
              <w:t>3</w:t>
            </w:r>
            <w:r>
              <w:rPr>
                <w:rFonts w:hint="default" w:ascii="Times New Roman" w:hAnsi="Times New Roman"/>
                <w:bCs/>
                <w:color w:val="auto"/>
                <w:szCs w:val="21"/>
                <w:highlight w:val="none"/>
                <w:lang w:val="en-US" w:eastAsia="zh-CN"/>
              </w:rPr>
              <w:t>/a）</w:t>
            </w:r>
            <w:r>
              <w:rPr>
                <w:rFonts w:hint="eastAsia"/>
                <w:color w:val="auto"/>
                <w:highlight w:val="none"/>
              </w:rPr>
              <w:t>。进入</w:t>
            </w:r>
            <w:r>
              <w:rPr>
                <w:rFonts w:hint="eastAsia"/>
                <w:color w:val="auto"/>
                <w:highlight w:val="none"/>
                <w:lang w:val="en-US" w:eastAsia="zh-CN"/>
              </w:rPr>
              <w:t>厂区</w:t>
            </w:r>
            <w:r>
              <w:rPr>
                <w:rFonts w:hint="eastAsia"/>
                <w:color w:val="auto"/>
                <w:highlight w:val="none"/>
              </w:rPr>
              <w:t>已建生化池处理达标后排入厂外市政污水管网。</w:t>
            </w:r>
          </w:p>
          <w:p w14:paraId="0B01DF4A">
            <w:pPr>
              <w:pStyle w:val="18"/>
              <w:bidi w:val="0"/>
              <w:rPr>
                <w:rFonts w:hint="eastAsia"/>
                <w:b/>
                <w:bCs/>
                <w:color w:val="auto"/>
                <w:highlight w:val="none"/>
                <w:lang w:eastAsia="zh-CN"/>
              </w:rPr>
            </w:pPr>
            <w:r>
              <w:rPr>
                <w:rFonts w:hint="eastAsia"/>
                <w:b/>
                <w:bCs/>
                <w:color w:val="auto"/>
                <w:highlight w:val="none"/>
                <w:lang w:eastAsia="zh-CN"/>
              </w:rPr>
              <w:t>（</w:t>
            </w:r>
            <w:r>
              <w:rPr>
                <w:rFonts w:hint="eastAsia"/>
                <w:b/>
                <w:bCs/>
                <w:color w:val="auto"/>
                <w:highlight w:val="none"/>
                <w:lang w:val="en-US" w:eastAsia="zh-CN"/>
              </w:rPr>
              <w:t>2</w:t>
            </w:r>
            <w:r>
              <w:rPr>
                <w:rFonts w:hint="eastAsia"/>
                <w:b/>
                <w:bCs/>
                <w:color w:val="auto"/>
                <w:highlight w:val="none"/>
                <w:lang w:eastAsia="zh-CN"/>
              </w:rPr>
              <w:t>）</w:t>
            </w:r>
            <w:r>
              <w:rPr>
                <w:rFonts w:hint="eastAsia"/>
                <w:b/>
                <w:bCs/>
                <w:color w:val="auto"/>
                <w:highlight w:val="none"/>
                <w:lang w:val="en-US" w:eastAsia="zh-CN"/>
              </w:rPr>
              <w:t>生产</w:t>
            </w:r>
            <w:r>
              <w:rPr>
                <w:rFonts w:hint="eastAsia"/>
                <w:b/>
                <w:bCs/>
                <w:color w:val="auto"/>
                <w:highlight w:val="none"/>
                <w:lang w:eastAsia="zh-CN"/>
              </w:rPr>
              <w:t>用水</w:t>
            </w:r>
          </w:p>
          <w:p w14:paraId="7BB23AE3">
            <w:pPr>
              <w:pStyle w:val="18"/>
              <w:bidi w:val="0"/>
              <w:rPr>
                <w:rFonts w:hint="default"/>
                <w:color w:val="auto"/>
                <w:highlight w:val="none"/>
                <w:lang w:val="en-US" w:eastAsia="zh-CN"/>
              </w:rPr>
            </w:pPr>
            <w:r>
              <w:rPr>
                <w:rFonts w:hint="default"/>
                <w:color w:val="auto"/>
                <w:highlight w:val="none"/>
                <w:lang w:val="en-US" w:eastAsia="zh-CN"/>
              </w:rPr>
              <w:t>①</w:t>
            </w:r>
            <w:r>
              <w:rPr>
                <w:rFonts w:hint="eastAsia"/>
                <w:color w:val="auto"/>
                <w:highlight w:val="none"/>
                <w:lang w:val="en-US" w:eastAsia="zh-CN"/>
              </w:rPr>
              <w:t>循环冷却水</w:t>
            </w:r>
          </w:p>
          <w:p w14:paraId="3445970F">
            <w:pPr>
              <w:pStyle w:val="18"/>
              <w:bidi w:val="0"/>
              <w:rPr>
                <w:rFonts w:hint="default"/>
                <w:color w:val="auto"/>
                <w:highlight w:val="none"/>
                <w:lang w:val="en-US" w:eastAsia="zh-CN"/>
              </w:rPr>
            </w:pPr>
            <w:r>
              <w:rPr>
                <w:rFonts w:hint="eastAsia"/>
                <w:color w:val="auto"/>
                <w:highlight w:val="none"/>
                <w:lang w:val="en-US" w:eastAsia="zh-CN"/>
              </w:rPr>
              <w:t>每台注塑机平均每小时所需循环水量约为3m</w:t>
            </w:r>
            <w:r>
              <w:rPr>
                <w:rFonts w:hint="eastAsia"/>
                <w:color w:val="auto"/>
                <w:highlight w:val="none"/>
                <w:vertAlign w:val="superscript"/>
                <w:lang w:val="en-US" w:eastAsia="zh-CN"/>
              </w:rPr>
              <w:t>3</w:t>
            </w:r>
            <w:r>
              <w:rPr>
                <w:rFonts w:hint="eastAsia"/>
                <w:color w:val="auto"/>
                <w:highlight w:val="none"/>
                <w:lang w:val="en-US" w:eastAsia="zh-CN"/>
              </w:rPr>
              <w:t>/h，总循环水量为45m</w:t>
            </w:r>
            <w:r>
              <w:rPr>
                <w:rFonts w:hint="eastAsia"/>
                <w:color w:val="auto"/>
                <w:highlight w:val="none"/>
                <w:vertAlign w:val="superscript"/>
                <w:lang w:val="en-US" w:eastAsia="zh-CN"/>
              </w:rPr>
              <w:t>3</w:t>
            </w:r>
            <w:r>
              <w:rPr>
                <w:rFonts w:hint="eastAsia"/>
                <w:color w:val="auto"/>
                <w:highlight w:val="none"/>
                <w:lang w:val="en-US" w:eastAsia="zh-CN"/>
              </w:rPr>
              <w:t>/h，</w:t>
            </w:r>
            <w:r>
              <w:rPr>
                <w:rFonts w:hint="eastAsia"/>
                <w:color w:val="auto"/>
                <w:highlight w:val="none"/>
                <w:lang w:eastAsia="zh-CN"/>
              </w:rPr>
              <w:t>厂区</w:t>
            </w:r>
            <w:r>
              <w:rPr>
                <w:rFonts w:hint="eastAsia"/>
                <w:color w:val="auto"/>
                <w:highlight w:val="none"/>
                <w:lang w:val="en-US" w:eastAsia="zh-CN"/>
              </w:rPr>
              <w:t>设置有1套循环水量为65m</w:t>
            </w:r>
            <w:r>
              <w:rPr>
                <w:rFonts w:hint="eastAsia"/>
                <w:color w:val="auto"/>
                <w:highlight w:val="none"/>
                <w:vertAlign w:val="superscript"/>
                <w:lang w:val="en-US" w:eastAsia="zh-CN"/>
              </w:rPr>
              <w:t>3</w:t>
            </w:r>
            <w:r>
              <w:rPr>
                <w:rFonts w:hint="eastAsia"/>
                <w:color w:val="auto"/>
                <w:highlight w:val="none"/>
                <w:lang w:val="en-US" w:eastAsia="zh-CN"/>
              </w:rPr>
              <w:t>/h的冷却塔，冷却水池20m</w:t>
            </w:r>
            <w:r>
              <w:rPr>
                <w:rFonts w:hint="eastAsia"/>
                <w:color w:val="auto"/>
                <w:highlight w:val="none"/>
                <w:vertAlign w:val="superscript"/>
                <w:lang w:val="en-US" w:eastAsia="zh-CN"/>
              </w:rPr>
              <w:t>3</w:t>
            </w:r>
            <w:r>
              <w:rPr>
                <w:rFonts w:hint="eastAsia"/>
                <w:color w:val="auto"/>
                <w:highlight w:val="none"/>
                <w:lang w:val="en-US" w:eastAsia="zh-CN"/>
              </w:rPr>
              <w:t>，为减轻旧设备运行压力，拟新增一套循环水量15m</w:t>
            </w:r>
            <w:r>
              <w:rPr>
                <w:rFonts w:hint="eastAsia"/>
                <w:color w:val="auto"/>
                <w:highlight w:val="none"/>
                <w:vertAlign w:val="superscript"/>
                <w:lang w:val="en-US" w:eastAsia="zh-CN"/>
              </w:rPr>
              <w:t>3</w:t>
            </w:r>
            <w:r>
              <w:rPr>
                <w:rFonts w:hint="eastAsia"/>
                <w:color w:val="auto"/>
                <w:highlight w:val="none"/>
                <w:lang w:val="en-US" w:eastAsia="zh-CN"/>
              </w:rPr>
              <w:t>/h的冷却塔，冷却水池5m</w:t>
            </w:r>
            <w:r>
              <w:rPr>
                <w:rFonts w:hint="eastAsia"/>
                <w:color w:val="auto"/>
                <w:highlight w:val="none"/>
                <w:vertAlign w:val="superscript"/>
                <w:lang w:val="en-US" w:eastAsia="zh-CN"/>
              </w:rPr>
              <w:t>3</w:t>
            </w:r>
            <w:r>
              <w:rPr>
                <w:rFonts w:hint="eastAsia"/>
                <w:color w:val="auto"/>
                <w:highlight w:val="none"/>
                <w:lang w:val="en-US" w:eastAsia="zh-CN"/>
              </w:rPr>
              <w:t>。循环冷却水运行过程中每日补充由风吹损失、蒸发损失造成的损耗以及循环水系统中排放一定的水量以维持确定的循环水浓缩倍率由此造成的循环水损失。冷却池加盖密闭，无喷水池，仅考虑冷却塔损失。</w:t>
            </w:r>
          </w:p>
          <w:p w14:paraId="67DD8672">
            <w:pPr>
              <w:pStyle w:val="18"/>
              <w:bidi w:val="0"/>
              <w:rPr>
                <w:rFonts w:hint="eastAsia"/>
                <w:color w:val="auto"/>
                <w:highlight w:val="none"/>
                <w:lang w:val="en-US" w:eastAsia="zh-CN"/>
              </w:rPr>
            </w:pPr>
            <w:r>
              <w:rPr>
                <w:rFonts w:hint="eastAsia"/>
                <w:color w:val="auto"/>
                <w:highlight w:val="none"/>
                <w:lang w:val="en-US" w:eastAsia="zh-CN"/>
              </w:rPr>
              <w:t>根据《工业循环水冷却设计规范》（GB/T 50102-2014），机械通风有收水器冷却塔风吹损失率为0.1%，蒸发损失率按下式计算：</w:t>
            </w:r>
          </w:p>
          <w:p w14:paraId="3F834F95">
            <w:pPr>
              <w:pStyle w:val="18"/>
              <w:bidi w:val="0"/>
              <w:jc w:val="center"/>
              <w:rPr>
                <w:rFonts w:hint="default"/>
                <w:i/>
                <w:iCs/>
                <w:color w:val="auto"/>
                <w:highlight w:val="none"/>
                <w:vertAlign w:val="baseline"/>
                <w:lang w:val="en-US" w:eastAsia="zh-CN"/>
              </w:rPr>
            </w:pPr>
            <w:r>
              <w:rPr>
                <w:rFonts w:hint="eastAsia"/>
                <w:i/>
                <w:iCs/>
                <w:color w:val="auto"/>
                <w:highlight w:val="none"/>
                <w:lang w:val="en-US" w:eastAsia="zh-CN"/>
              </w:rPr>
              <w:t>Pe=K</w:t>
            </w:r>
            <w:r>
              <w:rPr>
                <w:rFonts w:hint="eastAsia"/>
                <w:i/>
                <w:iCs/>
                <w:color w:val="auto"/>
                <w:highlight w:val="none"/>
                <w:vertAlign w:val="subscript"/>
                <w:lang w:val="en-US" w:eastAsia="zh-CN"/>
              </w:rPr>
              <w:t>ZF</w:t>
            </w:r>
            <w:r>
              <w:rPr>
                <w:rFonts w:hint="eastAsia"/>
                <w:i/>
                <w:iCs/>
                <w:color w:val="auto"/>
                <w:highlight w:val="none"/>
                <w:vertAlign w:val="baseline"/>
                <w:lang w:val="en-US" w:eastAsia="zh-CN"/>
              </w:rPr>
              <w:t>·Δt×100%</w:t>
            </w:r>
          </w:p>
          <w:p w14:paraId="548CFCE6">
            <w:pPr>
              <w:pStyle w:val="18"/>
              <w:bidi w:val="0"/>
              <w:rPr>
                <w:rFonts w:hint="default"/>
                <w:i w:val="0"/>
                <w:iCs w:val="0"/>
                <w:color w:val="auto"/>
                <w:highlight w:val="none"/>
                <w:vertAlign w:val="baseline"/>
                <w:lang w:val="en-US" w:eastAsia="zh-CN"/>
              </w:rPr>
            </w:pPr>
            <w:r>
              <w:rPr>
                <w:rFonts w:hint="eastAsia"/>
                <w:color w:val="auto"/>
                <w:highlight w:val="none"/>
                <w:lang w:val="en-US" w:eastAsia="zh-CN"/>
              </w:rPr>
              <w:t>式中</w:t>
            </w:r>
            <w:r>
              <w:rPr>
                <w:rFonts w:hint="eastAsia"/>
                <w:i/>
                <w:iCs/>
                <w:color w:val="auto"/>
                <w:highlight w:val="none"/>
                <w:lang w:val="en-US" w:eastAsia="zh-CN"/>
              </w:rPr>
              <w:t>K</w:t>
            </w:r>
            <w:r>
              <w:rPr>
                <w:rFonts w:hint="eastAsia"/>
                <w:i/>
                <w:iCs/>
                <w:color w:val="auto"/>
                <w:highlight w:val="none"/>
                <w:vertAlign w:val="subscript"/>
                <w:lang w:val="en-US" w:eastAsia="zh-CN"/>
              </w:rPr>
              <w:t>ZF</w:t>
            </w:r>
            <w:r>
              <w:rPr>
                <w:rFonts w:hint="eastAsia"/>
                <w:i w:val="0"/>
                <w:iCs w:val="0"/>
                <w:color w:val="auto"/>
                <w:highlight w:val="none"/>
                <w:vertAlign w:val="baseline"/>
                <w:lang w:val="en-US" w:eastAsia="zh-CN"/>
              </w:rPr>
              <w:t>系数常温取值0.00145计，</w:t>
            </w:r>
            <w:r>
              <w:rPr>
                <w:rFonts w:hint="eastAsia"/>
                <w:i/>
                <w:iCs/>
                <w:color w:val="auto"/>
                <w:highlight w:val="none"/>
                <w:vertAlign w:val="baseline"/>
                <w:lang w:val="en-US" w:eastAsia="zh-CN"/>
              </w:rPr>
              <w:t>Δt</w:t>
            </w:r>
            <w:r>
              <w:rPr>
                <w:rFonts w:hint="eastAsia"/>
                <w:i w:val="0"/>
                <w:iCs w:val="0"/>
                <w:color w:val="auto"/>
                <w:highlight w:val="none"/>
                <w:vertAlign w:val="baseline"/>
                <w:lang w:val="en-US" w:eastAsia="zh-CN"/>
              </w:rPr>
              <w:t>取5℃，</w:t>
            </w:r>
            <w:r>
              <w:rPr>
                <w:rFonts w:hint="eastAsia"/>
                <w:color w:val="auto"/>
                <w:highlight w:val="none"/>
                <w:lang w:val="en-US" w:eastAsia="zh-CN"/>
              </w:rPr>
              <w:t>蒸发损失率为0.725%。</w:t>
            </w:r>
          </w:p>
          <w:p w14:paraId="299441BD">
            <w:pPr>
              <w:pStyle w:val="18"/>
              <w:bidi w:val="0"/>
              <w:rPr>
                <w:rFonts w:hint="eastAsia"/>
                <w:color w:val="auto"/>
                <w:highlight w:val="none"/>
                <w:lang w:val="en-US" w:eastAsia="zh-CN"/>
              </w:rPr>
            </w:pPr>
            <w:r>
              <w:rPr>
                <w:rFonts w:hint="eastAsia"/>
                <w:color w:val="auto"/>
                <w:highlight w:val="none"/>
                <w:lang w:val="en-US" w:eastAsia="zh-CN"/>
              </w:rPr>
              <w:t>循环冷却水系统排水损失水量按下式计算：</w:t>
            </w:r>
          </w:p>
          <w:p w14:paraId="754AF47D">
            <w:pPr>
              <w:pStyle w:val="18"/>
              <w:bidi w:val="0"/>
              <w:rPr>
                <w:rFonts w:hint="default"/>
                <w:color w:val="auto"/>
                <w:highlight w:val="none"/>
                <w:lang w:val="en-US" w:eastAsia="zh-CN"/>
              </w:rPr>
            </w:pPr>
            <m:oMathPara>
              <m:oMath>
                <m:sSub>
                  <m:sSubPr>
                    <m:ctrlPr>
                      <w:rPr>
                        <w:rFonts w:hint="default" w:ascii="Cambria Math" w:hAnsi="Cambria Math" w:cs="宋体"/>
                        <w:i/>
                        <w:color w:val="auto"/>
                        <w:kern w:val="0"/>
                        <w:sz w:val="24"/>
                        <w:szCs w:val="24"/>
                        <w:highlight w:val="none"/>
                        <w:lang w:val="en-US" w:eastAsia="zh-CN" w:bidi="ar-SA"/>
                      </w:rPr>
                    </m:ctrlPr>
                  </m:sSubPr>
                  <m:e>
                    <m:r>
                      <m:rPr/>
                      <w:rPr>
                        <w:rFonts w:hint="default" w:ascii="Cambria Math" w:hAnsi="Cambria Math" w:cs="宋体"/>
                        <w:color w:val="auto"/>
                        <w:kern w:val="0"/>
                        <w:sz w:val="24"/>
                        <w:szCs w:val="24"/>
                        <w:highlight w:val="none"/>
                        <w:lang w:val="en-US" w:eastAsia="zh-CN" w:bidi="ar-SA"/>
                      </w:rPr>
                      <m:t>Q</m:t>
                    </m:r>
                    <m:ctrlPr>
                      <w:rPr>
                        <w:rFonts w:hint="default" w:ascii="Cambria Math" w:hAnsi="Cambria Math" w:cs="宋体"/>
                        <w:i/>
                        <w:color w:val="auto"/>
                        <w:kern w:val="0"/>
                        <w:sz w:val="24"/>
                        <w:szCs w:val="24"/>
                        <w:highlight w:val="none"/>
                        <w:lang w:val="en-US" w:eastAsia="zh-CN" w:bidi="ar-SA"/>
                      </w:rPr>
                    </m:ctrlPr>
                  </m:e>
                  <m:sub>
                    <m:r>
                      <m:rPr/>
                      <w:rPr>
                        <w:rFonts w:hint="default" w:ascii="Cambria Math" w:hAnsi="Cambria Math" w:cs="宋体"/>
                        <w:color w:val="auto"/>
                        <w:kern w:val="0"/>
                        <w:sz w:val="24"/>
                        <w:szCs w:val="24"/>
                        <w:highlight w:val="none"/>
                        <w:lang w:val="en-US" w:eastAsia="zh-CN" w:bidi="ar-SA"/>
                      </w:rPr>
                      <m:t>b</m:t>
                    </m:r>
                    <m:ctrlPr>
                      <w:rPr>
                        <w:rFonts w:hint="default" w:ascii="Cambria Math" w:hAnsi="Cambria Math" w:cs="宋体"/>
                        <w:i/>
                        <w:color w:val="auto"/>
                        <w:kern w:val="0"/>
                        <w:sz w:val="24"/>
                        <w:szCs w:val="24"/>
                        <w:highlight w:val="none"/>
                        <w:lang w:val="en-US" w:eastAsia="zh-CN" w:bidi="ar-SA"/>
                      </w:rPr>
                    </m:ctrlPr>
                  </m:sub>
                </m:sSub>
                <m:r>
                  <m:rPr/>
                  <w:rPr>
                    <w:rFonts w:hint="default" w:ascii="Cambria Math" w:hAnsi="Cambria Math" w:cs="宋体"/>
                    <w:color w:val="auto"/>
                    <w:kern w:val="0"/>
                    <w:sz w:val="24"/>
                    <w:szCs w:val="24"/>
                    <w:highlight w:val="none"/>
                    <w:lang w:val="en-US" w:eastAsia="zh-CN" w:bidi="ar-SA"/>
                  </w:rPr>
                  <m:t>=</m:t>
                </m:r>
                <m:f>
                  <m:fPr>
                    <m:ctrlPr>
                      <w:rPr>
                        <w:rFonts w:hint="default" w:ascii="Cambria Math" w:hAnsi="Cambria Math" w:cs="宋体"/>
                        <w:i/>
                        <w:color w:val="auto"/>
                        <w:kern w:val="0"/>
                        <w:sz w:val="24"/>
                        <w:szCs w:val="24"/>
                        <w:highlight w:val="none"/>
                        <w:lang w:val="en-US" w:eastAsia="zh-CN" w:bidi="ar-SA"/>
                      </w:rPr>
                    </m:ctrlPr>
                  </m:fPr>
                  <m:num>
                    <m:sSub>
                      <m:sSubPr>
                        <m:ctrlPr>
                          <w:rPr>
                            <w:rFonts w:hint="default" w:ascii="Cambria Math" w:hAnsi="Cambria Math" w:cs="宋体"/>
                            <w:i/>
                            <w:color w:val="auto"/>
                            <w:kern w:val="0"/>
                            <w:sz w:val="24"/>
                            <w:szCs w:val="24"/>
                            <w:highlight w:val="none"/>
                            <w:lang w:val="en-US" w:eastAsia="zh-CN" w:bidi="ar-SA"/>
                          </w:rPr>
                        </m:ctrlPr>
                      </m:sSubPr>
                      <m:e>
                        <m:r>
                          <m:rPr/>
                          <w:rPr>
                            <w:rFonts w:hint="default" w:ascii="Cambria Math" w:hAnsi="Cambria Math" w:cs="宋体"/>
                            <w:color w:val="auto"/>
                            <w:kern w:val="0"/>
                            <w:sz w:val="24"/>
                            <w:szCs w:val="24"/>
                            <w:highlight w:val="none"/>
                            <w:lang w:val="en-US" w:eastAsia="zh-CN" w:bidi="ar-SA"/>
                          </w:rPr>
                          <m:t>Q</m:t>
                        </m:r>
                        <m:ctrlPr>
                          <w:rPr>
                            <w:rFonts w:hint="default" w:ascii="Cambria Math" w:hAnsi="Cambria Math" w:cs="宋体"/>
                            <w:i/>
                            <w:color w:val="auto"/>
                            <w:kern w:val="0"/>
                            <w:sz w:val="24"/>
                            <w:szCs w:val="24"/>
                            <w:highlight w:val="none"/>
                            <w:lang w:val="en-US" w:eastAsia="zh-CN" w:bidi="ar-SA"/>
                          </w:rPr>
                        </m:ctrlPr>
                      </m:e>
                      <m:sub>
                        <m:r>
                          <m:rPr/>
                          <w:rPr>
                            <w:rFonts w:hint="default" w:ascii="Cambria Math" w:hAnsi="Cambria Math" w:cs="宋体"/>
                            <w:color w:val="auto"/>
                            <w:kern w:val="0"/>
                            <w:sz w:val="24"/>
                            <w:szCs w:val="24"/>
                            <w:highlight w:val="none"/>
                            <w:lang w:val="en-US" w:eastAsia="zh-CN" w:bidi="ar-SA"/>
                          </w:rPr>
                          <m:t>e</m:t>
                        </m:r>
                        <m:ctrlPr>
                          <w:rPr>
                            <w:rFonts w:hint="default" w:ascii="Cambria Math" w:hAnsi="Cambria Math" w:cs="宋体"/>
                            <w:i/>
                            <w:color w:val="auto"/>
                            <w:kern w:val="0"/>
                            <w:sz w:val="24"/>
                            <w:szCs w:val="24"/>
                            <w:highlight w:val="none"/>
                            <w:lang w:val="en-US" w:eastAsia="zh-CN" w:bidi="ar-SA"/>
                          </w:rPr>
                        </m:ctrlPr>
                      </m:sub>
                    </m:sSub>
                    <m:r>
                      <m:rPr/>
                      <w:rPr>
                        <w:rFonts w:hint="default" w:ascii="Cambria Math" w:hAnsi="Cambria Math" w:cs="宋体"/>
                        <w:color w:val="auto"/>
                        <w:kern w:val="0"/>
                        <w:sz w:val="24"/>
                        <w:szCs w:val="24"/>
                        <w:highlight w:val="none"/>
                        <w:lang w:val="en-US" w:eastAsia="zh-CN" w:bidi="ar-SA"/>
                      </w:rPr>
                      <m:t>−(n−1)</m:t>
                    </m:r>
                    <m:sSub>
                      <m:sSubPr>
                        <m:ctrlPr>
                          <w:rPr>
                            <w:rFonts w:hint="default" w:ascii="Cambria Math" w:hAnsi="Cambria Math" w:cs="宋体"/>
                            <w:i/>
                            <w:color w:val="auto"/>
                            <w:kern w:val="0"/>
                            <w:sz w:val="24"/>
                            <w:szCs w:val="24"/>
                            <w:highlight w:val="none"/>
                            <w:lang w:val="en-US" w:eastAsia="zh-CN" w:bidi="ar-SA"/>
                          </w:rPr>
                        </m:ctrlPr>
                      </m:sSubPr>
                      <m:e>
                        <m:r>
                          <m:rPr/>
                          <w:rPr>
                            <w:rFonts w:hint="default" w:ascii="Cambria Math" w:hAnsi="Cambria Math" w:cs="宋体"/>
                            <w:color w:val="auto"/>
                            <w:kern w:val="0"/>
                            <w:sz w:val="24"/>
                            <w:szCs w:val="24"/>
                            <w:highlight w:val="none"/>
                            <w:lang w:val="en-US" w:eastAsia="zh-CN" w:bidi="ar-SA"/>
                          </w:rPr>
                          <m:t>Q</m:t>
                        </m:r>
                        <m:ctrlPr>
                          <w:rPr>
                            <w:rFonts w:hint="default" w:ascii="Cambria Math" w:hAnsi="Cambria Math" w:cs="宋体"/>
                            <w:i/>
                            <w:color w:val="auto"/>
                            <w:kern w:val="0"/>
                            <w:sz w:val="24"/>
                            <w:szCs w:val="24"/>
                            <w:highlight w:val="none"/>
                            <w:lang w:val="en-US" w:eastAsia="zh-CN" w:bidi="ar-SA"/>
                          </w:rPr>
                        </m:ctrlPr>
                      </m:e>
                      <m:sub>
                        <m:r>
                          <m:rPr/>
                          <w:rPr>
                            <w:rFonts w:hint="default" w:ascii="Cambria Math" w:hAnsi="Cambria Math" w:cs="宋体"/>
                            <w:color w:val="auto"/>
                            <w:kern w:val="0"/>
                            <w:sz w:val="24"/>
                            <w:szCs w:val="24"/>
                            <w:highlight w:val="none"/>
                            <w:lang w:val="en-US" w:eastAsia="zh-CN" w:bidi="ar-SA"/>
                          </w:rPr>
                          <m:t>w</m:t>
                        </m:r>
                        <m:ctrlPr>
                          <w:rPr>
                            <w:rFonts w:hint="default" w:ascii="Cambria Math" w:hAnsi="Cambria Math" w:cs="宋体"/>
                            <w:i/>
                            <w:color w:val="auto"/>
                            <w:kern w:val="0"/>
                            <w:sz w:val="24"/>
                            <w:szCs w:val="24"/>
                            <w:highlight w:val="none"/>
                            <w:lang w:val="en-US" w:eastAsia="zh-CN" w:bidi="ar-SA"/>
                          </w:rPr>
                        </m:ctrlPr>
                      </m:sub>
                    </m:sSub>
                    <m:ctrlPr>
                      <w:rPr>
                        <w:rFonts w:hint="default" w:ascii="Cambria Math" w:hAnsi="Cambria Math" w:cs="宋体"/>
                        <w:i/>
                        <w:color w:val="auto"/>
                        <w:kern w:val="0"/>
                        <w:sz w:val="24"/>
                        <w:szCs w:val="24"/>
                        <w:highlight w:val="none"/>
                        <w:lang w:val="en-US" w:eastAsia="zh-CN" w:bidi="ar-SA"/>
                      </w:rPr>
                    </m:ctrlPr>
                  </m:num>
                  <m:den>
                    <m:r>
                      <m:rPr/>
                      <w:rPr>
                        <w:rFonts w:hint="default" w:ascii="Cambria Math" w:hAnsi="Cambria Math" w:cs="宋体"/>
                        <w:color w:val="auto"/>
                        <w:kern w:val="0"/>
                        <w:sz w:val="24"/>
                        <w:szCs w:val="24"/>
                        <w:highlight w:val="none"/>
                        <w:lang w:val="en-US" w:eastAsia="zh-CN" w:bidi="ar-SA"/>
                      </w:rPr>
                      <m:t>n−</m:t>
                    </m:r>
                    <m:r>
                      <m:rPr/>
                      <w:rPr>
                        <w:rFonts w:hint="eastAsia" w:ascii="Cambria Math" w:hAnsi="Cambria Math" w:cs="宋体"/>
                        <w:color w:val="auto"/>
                        <w:kern w:val="0"/>
                        <w:sz w:val="24"/>
                        <w:szCs w:val="24"/>
                        <w:highlight w:val="none"/>
                        <w:lang w:val="en-US" w:eastAsia="zh-CN" w:bidi="ar-SA"/>
                      </w:rPr>
                      <m:t>1</m:t>
                    </m:r>
                    <m:ctrlPr>
                      <w:rPr>
                        <w:rFonts w:hint="default" w:ascii="Cambria Math" w:hAnsi="Cambria Math" w:cs="宋体"/>
                        <w:i/>
                        <w:color w:val="auto"/>
                        <w:kern w:val="0"/>
                        <w:sz w:val="24"/>
                        <w:szCs w:val="24"/>
                        <w:highlight w:val="none"/>
                        <w:lang w:val="en-US" w:eastAsia="zh-CN" w:bidi="ar-SA"/>
                      </w:rPr>
                    </m:ctrlPr>
                  </m:den>
                </m:f>
              </m:oMath>
            </m:oMathPara>
          </w:p>
          <w:p w14:paraId="26192473">
            <w:pPr>
              <w:pStyle w:val="18"/>
              <w:bidi w:val="0"/>
              <w:rPr>
                <w:rFonts w:hint="eastAsia"/>
                <w:color w:val="auto"/>
                <w:highlight w:val="none"/>
                <w:lang w:val="en-US" w:eastAsia="zh-CN"/>
              </w:rPr>
            </w:pPr>
            <w:r>
              <w:rPr>
                <w:rFonts w:hint="eastAsia"/>
                <w:color w:val="auto"/>
                <w:highlight w:val="none"/>
                <w:lang w:val="en-US" w:eastAsia="zh-CN"/>
              </w:rPr>
              <w:t>式中：Q——循环冷却水系统排水损失水量(m</w:t>
            </w:r>
            <w:r>
              <w:rPr>
                <w:rFonts w:hint="eastAsia"/>
                <w:color w:val="auto"/>
                <w:highlight w:val="none"/>
                <w:vertAlign w:val="superscript"/>
                <w:lang w:val="en-US" w:eastAsia="zh-CN"/>
              </w:rPr>
              <w:t>3</w:t>
            </w:r>
            <w:r>
              <w:rPr>
                <w:rFonts w:hint="eastAsia"/>
                <w:color w:val="auto"/>
                <w:highlight w:val="none"/>
                <w:lang w:val="en-US" w:eastAsia="zh-CN"/>
              </w:rPr>
              <w:t>/h)；</w:t>
            </w:r>
          </w:p>
          <w:p w14:paraId="78354840">
            <w:pPr>
              <w:pStyle w:val="18"/>
              <w:keepNext w:val="0"/>
              <w:keepLines w:val="0"/>
              <w:pageBreakBefore w:val="0"/>
              <w:widowControl/>
              <w:kinsoku/>
              <w:wordWrap/>
              <w:overflowPunct/>
              <w:topLinePunct w:val="0"/>
              <w:autoSpaceDE/>
              <w:autoSpaceDN/>
              <w:bidi w:val="0"/>
              <w:adjustRightInd/>
              <w:snapToGrid/>
              <w:ind w:firstLine="1200" w:firstLineChars="500"/>
              <w:textAlignment w:val="auto"/>
              <w:rPr>
                <w:rFonts w:hint="eastAsia"/>
                <w:color w:val="auto"/>
                <w:highlight w:val="none"/>
                <w:lang w:val="en-US" w:eastAsia="zh-CN"/>
              </w:rPr>
            </w:pPr>
            <w:r>
              <w:rPr>
                <w:rFonts w:hint="eastAsia"/>
                <w:color w:val="auto"/>
                <w:highlight w:val="none"/>
                <w:lang w:val="en-US" w:eastAsia="zh-CN"/>
              </w:rPr>
              <w:t>Qe——冷却塔蒸发损失水量(m</w:t>
            </w:r>
            <w:r>
              <w:rPr>
                <w:rFonts w:hint="eastAsia"/>
                <w:color w:val="auto"/>
                <w:highlight w:val="none"/>
                <w:vertAlign w:val="superscript"/>
                <w:lang w:val="en-US" w:eastAsia="zh-CN"/>
              </w:rPr>
              <w:t>3</w:t>
            </w:r>
            <w:r>
              <w:rPr>
                <w:rFonts w:hint="eastAsia"/>
                <w:color w:val="auto"/>
                <w:highlight w:val="none"/>
                <w:lang w:val="en-US" w:eastAsia="zh-CN"/>
              </w:rPr>
              <w:t>/h)；</w:t>
            </w:r>
          </w:p>
          <w:p w14:paraId="1509C0FD">
            <w:pPr>
              <w:pStyle w:val="18"/>
              <w:keepNext w:val="0"/>
              <w:keepLines w:val="0"/>
              <w:pageBreakBefore w:val="0"/>
              <w:widowControl/>
              <w:kinsoku/>
              <w:wordWrap/>
              <w:overflowPunct/>
              <w:topLinePunct w:val="0"/>
              <w:autoSpaceDE/>
              <w:autoSpaceDN/>
              <w:bidi w:val="0"/>
              <w:adjustRightInd/>
              <w:snapToGrid/>
              <w:ind w:firstLine="1200" w:firstLineChars="500"/>
              <w:textAlignment w:val="auto"/>
              <w:rPr>
                <w:rFonts w:hint="eastAsia"/>
                <w:color w:val="auto"/>
                <w:highlight w:val="none"/>
                <w:lang w:val="en-US" w:eastAsia="zh-CN"/>
              </w:rPr>
            </w:pPr>
            <w:r>
              <w:rPr>
                <w:rFonts w:hint="eastAsia"/>
                <w:color w:val="auto"/>
                <w:highlight w:val="none"/>
                <w:lang w:val="en-US" w:eastAsia="zh-CN"/>
              </w:rPr>
              <w:t>Q</w:t>
            </w:r>
            <w:r>
              <w:rPr>
                <w:rFonts w:hint="eastAsia"/>
                <w:color w:val="auto"/>
                <w:highlight w:val="none"/>
                <w:vertAlign w:val="subscript"/>
                <w:lang w:val="en-US" w:eastAsia="zh-CN"/>
              </w:rPr>
              <w:t>w</w:t>
            </w:r>
            <w:r>
              <w:rPr>
                <w:rFonts w:hint="eastAsia"/>
                <w:color w:val="auto"/>
                <w:highlight w:val="none"/>
                <w:lang w:val="en-US" w:eastAsia="zh-CN"/>
              </w:rPr>
              <w:t>——冷却塔风吹损失水量(m</w:t>
            </w:r>
            <w:r>
              <w:rPr>
                <w:rFonts w:hint="eastAsia"/>
                <w:color w:val="auto"/>
                <w:highlight w:val="none"/>
                <w:vertAlign w:val="superscript"/>
                <w:lang w:val="en-US" w:eastAsia="zh-CN"/>
              </w:rPr>
              <w:t>3</w:t>
            </w:r>
            <w:r>
              <w:rPr>
                <w:rFonts w:hint="eastAsia"/>
                <w:color w:val="auto"/>
                <w:highlight w:val="none"/>
                <w:lang w:val="en-US" w:eastAsia="zh-CN"/>
              </w:rPr>
              <w:t>/h)；</w:t>
            </w:r>
          </w:p>
          <w:p w14:paraId="55DDDB36">
            <w:pPr>
              <w:pStyle w:val="18"/>
              <w:keepNext w:val="0"/>
              <w:keepLines w:val="0"/>
              <w:pageBreakBefore w:val="0"/>
              <w:widowControl/>
              <w:kinsoku/>
              <w:wordWrap/>
              <w:overflowPunct/>
              <w:topLinePunct w:val="0"/>
              <w:autoSpaceDE/>
              <w:autoSpaceDN/>
              <w:bidi w:val="0"/>
              <w:adjustRightInd/>
              <w:snapToGrid/>
              <w:ind w:firstLine="1200" w:firstLineChars="500"/>
              <w:textAlignment w:val="auto"/>
              <w:rPr>
                <w:rFonts w:hint="default"/>
                <w:color w:val="auto"/>
                <w:highlight w:val="none"/>
                <w:lang w:val="en-US" w:eastAsia="zh-CN"/>
              </w:rPr>
            </w:pPr>
            <w:r>
              <w:rPr>
                <w:rFonts w:hint="eastAsia"/>
                <w:color w:val="auto"/>
                <w:highlight w:val="none"/>
                <w:lang w:val="en-US" w:eastAsia="zh-CN"/>
              </w:rPr>
              <w:t>n——循环水设计浓缩倍率。</w:t>
            </w:r>
          </w:p>
          <w:p w14:paraId="6B5CB101">
            <w:pPr>
              <w:pStyle w:val="18"/>
              <w:bidi w:val="0"/>
              <w:rPr>
                <w:rFonts w:hint="eastAsia"/>
                <w:color w:val="auto"/>
                <w:highlight w:val="none"/>
                <w:lang w:val="en-US" w:eastAsia="zh-CN"/>
              </w:rPr>
            </w:pPr>
            <w:r>
              <w:rPr>
                <w:rFonts w:hint="eastAsia"/>
                <w:color w:val="auto"/>
                <w:highlight w:val="none"/>
                <w:lang w:val="en-US" w:eastAsia="zh-CN"/>
              </w:rPr>
              <w:t>项目循环水量为45m</w:t>
            </w:r>
            <w:r>
              <w:rPr>
                <w:rFonts w:hint="eastAsia"/>
                <w:color w:val="auto"/>
                <w:highlight w:val="none"/>
                <w:vertAlign w:val="superscript"/>
                <w:lang w:val="en-US" w:eastAsia="zh-CN"/>
              </w:rPr>
              <w:t>3</w:t>
            </w:r>
            <w:r>
              <w:rPr>
                <w:rFonts w:hint="eastAsia"/>
                <w:color w:val="auto"/>
                <w:highlight w:val="none"/>
                <w:lang w:val="en-US" w:eastAsia="zh-CN"/>
              </w:rPr>
              <w:t>/h，则冷却塔蒸发损失水量为0.326m</w:t>
            </w:r>
            <w:r>
              <w:rPr>
                <w:rFonts w:hint="eastAsia"/>
                <w:color w:val="auto"/>
                <w:highlight w:val="none"/>
                <w:vertAlign w:val="superscript"/>
                <w:lang w:val="en-US" w:eastAsia="zh-CN"/>
              </w:rPr>
              <w:t>3</w:t>
            </w:r>
            <w:r>
              <w:rPr>
                <w:rFonts w:hint="eastAsia"/>
                <w:color w:val="auto"/>
                <w:highlight w:val="none"/>
                <w:lang w:val="en-US" w:eastAsia="zh-CN"/>
              </w:rPr>
              <w:t>/h，风吹损失水量为0.045m</w:t>
            </w:r>
            <w:r>
              <w:rPr>
                <w:rFonts w:hint="eastAsia"/>
                <w:color w:val="auto"/>
                <w:highlight w:val="none"/>
                <w:vertAlign w:val="superscript"/>
                <w:lang w:val="en-US" w:eastAsia="zh-CN"/>
              </w:rPr>
              <w:t>3</w:t>
            </w:r>
            <w:r>
              <w:rPr>
                <w:rFonts w:hint="eastAsia"/>
                <w:color w:val="auto"/>
                <w:highlight w:val="none"/>
                <w:lang w:val="en-US" w:eastAsia="zh-CN"/>
              </w:rPr>
              <w:t>/h，循环水设计浓缩倍率n取4，排水损失水量为0.064m</w:t>
            </w:r>
            <w:r>
              <w:rPr>
                <w:rFonts w:hint="eastAsia"/>
                <w:color w:val="auto"/>
                <w:highlight w:val="none"/>
                <w:vertAlign w:val="superscript"/>
                <w:lang w:val="en-US" w:eastAsia="zh-CN"/>
              </w:rPr>
              <w:t>3</w:t>
            </w:r>
            <w:r>
              <w:rPr>
                <w:rFonts w:hint="eastAsia"/>
                <w:color w:val="auto"/>
                <w:highlight w:val="none"/>
                <w:lang w:val="en-US" w:eastAsia="zh-CN"/>
              </w:rPr>
              <w:t>/h。</w:t>
            </w:r>
          </w:p>
          <w:p w14:paraId="03A33BB7">
            <w:pPr>
              <w:pStyle w:val="18"/>
              <w:bidi w:val="0"/>
              <w:rPr>
                <w:rFonts w:hint="eastAsia"/>
                <w:color w:val="auto"/>
                <w:highlight w:val="none"/>
                <w:lang w:val="en-US" w:eastAsia="zh-CN"/>
              </w:rPr>
            </w:pPr>
            <w:r>
              <w:rPr>
                <w:rFonts w:hint="eastAsia"/>
                <w:color w:val="auto"/>
                <w:highlight w:val="none"/>
                <w:lang w:val="en-US" w:eastAsia="zh-CN"/>
              </w:rPr>
              <w:t>则每日补充水量为10.44m</w:t>
            </w:r>
            <w:r>
              <w:rPr>
                <w:rFonts w:hint="eastAsia"/>
                <w:color w:val="auto"/>
                <w:highlight w:val="none"/>
                <w:vertAlign w:val="superscript"/>
                <w:lang w:val="en-US" w:eastAsia="zh-CN"/>
              </w:rPr>
              <w:t>3</w:t>
            </w:r>
            <w:r>
              <w:rPr>
                <w:rFonts w:hint="eastAsia"/>
                <w:color w:val="auto"/>
                <w:highlight w:val="none"/>
                <w:lang w:val="en-US" w:eastAsia="zh-CN"/>
              </w:rPr>
              <w:t>/d，循环水排放量为1.536m</w:t>
            </w:r>
            <w:r>
              <w:rPr>
                <w:rFonts w:hint="eastAsia"/>
                <w:color w:val="auto"/>
                <w:highlight w:val="none"/>
                <w:vertAlign w:val="superscript"/>
                <w:lang w:val="en-US" w:eastAsia="zh-CN"/>
              </w:rPr>
              <w:t>3</w:t>
            </w:r>
            <w:r>
              <w:rPr>
                <w:rFonts w:hint="eastAsia"/>
                <w:color w:val="auto"/>
                <w:highlight w:val="none"/>
                <w:lang w:val="en-US" w:eastAsia="zh-CN"/>
              </w:rPr>
              <w:t>/d，风吹、蒸发损失8.904m</w:t>
            </w:r>
            <w:r>
              <w:rPr>
                <w:rFonts w:hint="eastAsia"/>
                <w:color w:val="auto"/>
                <w:highlight w:val="none"/>
                <w:vertAlign w:val="superscript"/>
                <w:lang w:val="en-US" w:eastAsia="zh-CN"/>
              </w:rPr>
              <w:t>3</w:t>
            </w:r>
            <w:r>
              <w:rPr>
                <w:rFonts w:hint="eastAsia"/>
                <w:color w:val="auto"/>
                <w:highlight w:val="none"/>
                <w:lang w:val="en-US" w:eastAsia="zh-CN"/>
              </w:rPr>
              <w:t>/d。</w:t>
            </w:r>
          </w:p>
          <w:p w14:paraId="171D7CEC">
            <w:pPr>
              <w:pStyle w:val="18"/>
              <w:bidi w:val="0"/>
              <w:rPr>
                <w:rFonts w:hint="default"/>
                <w:color w:val="auto"/>
                <w:highlight w:val="none"/>
                <w:lang w:val="en-US" w:eastAsia="zh-CN"/>
              </w:rPr>
            </w:pPr>
            <w:r>
              <w:rPr>
                <w:rFonts w:hint="eastAsia"/>
                <w:color w:val="auto"/>
                <w:highlight w:val="none"/>
                <w:lang w:val="en-US" w:eastAsia="zh-CN"/>
              </w:rPr>
              <w:t>循环冷却水每年更换排放一次。</w:t>
            </w:r>
            <w:r>
              <w:rPr>
                <w:rFonts w:hint="eastAsia"/>
                <w:color w:val="auto"/>
                <w:highlight w:val="none"/>
                <w:lang w:eastAsia="zh-CN"/>
              </w:rPr>
              <w:t>冷却水不与物料直接接触，间接冷却，</w:t>
            </w:r>
            <w:r>
              <w:rPr>
                <w:rFonts w:hint="eastAsia"/>
                <w:color w:val="auto"/>
                <w:highlight w:val="none"/>
                <w:lang w:val="en-US" w:eastAsia="zh-CN"/>
              </w:rPr>
              <w:t>较为洁净，排入市政污水管网。更换日为保障循环系统正常运行，风吹、蒸发损失正常自动补充，无排水损失，则更换废水排放量为25m</w:t>
            </w:r>
            <w:r>
              <w:rPr>
                <w:rFonts w:hint="eastAsia"/>
                <w:color w:val="auto"/>
                <w:highlight w:val="none"/>
                <w:vertAlign w:val="superscript"/>
                <w:lang w:val="en-US" w:eastAsia="zh-CN"/>
              </w:rPr>
              <w:t>3</w:t>
            </w:r>
            <w:r>
              <w:rPr>
                <w:rFonts w:hint="eastAsia"/>
                <w:color w:val="auto"/>
                <w:highlight w:val="none"/>
                <w:lang w:val="en-US" w:eastAsia="zh-CN"/>
              </w:rPr>
              <w:t>/d，更换日用水量包括循环池补充25m</w:t>
            </w:r>
            <w:r>
              <w:rPr>
                <w:rFonts w:hint="eastAsia"/>
                <w:color w:val="auto"/>
                <w:highlight w:val="none"/>
                <w:vertAlign w:val="superscript"/>
                <w:lang w:val="en-US" w:eastAsia="zh-CN"/>
              </w:rPr>
              <w:t>3</w:t>
            </w:r>
            <w:r>
              <w:rPr>
                <w:rFonts w:hint="eastAsia"/>
                <w:color w:val="auto"/>
                <w:highlight w:val="none"/>
                <w:lang w:val="en-US" w:eastAsia="zh-CN"/>
              </w:rPr>
              <w:t>以及风吹、蒸发损失8.904m</w:t>
            </w:r>
            <w:r>
              <w:rPr>
                <w:rFonts w:hint="eastAsia"/>
                <w:color w:val="auto"/>
                <w:highlight w:val="none"/>
                <w:vertAlign w:val="superscript"/>
                <w:lang w:val="en-US" w:eastAsia="zh-CN"/>
              </w:rPr>
              <w:t>3</w:t>
            </w:r>
            <w:r>
              <w:rPr>
                <w:rFonts w:hint="eastAsia"/>
                <w:color w:val="auto"/>
                <w:highlight w:val="none"/>
                <w:vertAlign w:val="baseline"/>
                <w:lang w:val="en-US" w:eastAsia="zh-CN"/>
              </w:rPr>
              <w:t>。</w:t>
            </w:r>
          </w:p>
          <w:p w14:paraId="00A4C531">
            <w:pPr>
              <w:pStyle w:val="18"/>
              <w:bidi w:val="0"/>
              <w:rPr>
                <w:rFonts w:hint="default"/>
                <w:color w:val="auto"/>
                <w:highlight w:val="none"/>
                <w:lang w:val="en-US" w:eastAsia="zh-CN"/>
              </w:rPr>
            </w:pPr>
            <w:r>
              <w:rPr>
                <w:rFonts w:hint="default"/>
                <w:color w:val="auto"/>
                <w:highlight w:val="none"/>
              </w:rPr>
              <w:t>②</w:t>
            </w:r>
            <w:r>
              <w:rPr>
                <w:rFonts w:hint="eastAsia"/>
                <w:color w:val="auto"/>
                <w:highlight w:val="none"/>
                <w:lang w:eastAsia="zh-CN"/>
              </w:rPr>
              <w:t>地面清洁废水</w:t>
            </w:r>
          </w:p>
          <w:p w14:paraId="601B93CE">
            <w:pPr>
              <w:pStyle w:val="18"/>
              <w:rPr>
                <w:rFonts w:hint="eastAsia"/>
                <w:color w:val="auto"/>
                <w:highlight w:val="none"/>
                <w:lang w:val="en-US" w:eastAsia="zh-CN"/>
              </w:rPr>
            </w:pPr>
            <w:r>
              <w:rPr>
                <w:rFonts w:hint="eastAsia"/>
                <w:color w:val="auto"/>
                <w:highlight w:val="none"/>
                <w:lang w:eastAsia="zh-CN"/>
              </w:rPr>
              <w:t>项目地面清洁采用拖把清洁，每</w:t>
            </w:r>
            <w:r>
              <w:rPr>
                <w:rFonts w:hint="eastAsia"/>
                <w:color w:val="auto"/>
                <w:highlight w:val="none"/>
                <w:lang w:val="en-US" w:eastAsia="zh-CN"/>
              </w:rPr>
              <w:t>日</w:t>
            </w:r>
            <w:r>
              <w:rPr>
                <w:rFonts w:hint="eastAsia"/>
                <w:color w:val="auto"/>
                <w:highlight w:val="none"/>
                <w:lang w:eastAsia="zh-CN"/>
              </w:rPr>
              <w:t>清洁一次。用水按0.5L/m</w:t>
            </w:r>
            <w:r>
              <w:rPr>
                <w:rFonts w:hint="eastAsia"/>
                <w:color w:val="auto"/>
                <w:highlight w:val="none"/>
                <w:vertAlign w:val="superscript"/>
                <w:lang w:eastAsia="zh-CN"/>
              </w:rPr>
              <w:t>2</w:t>
            </w:r>
            <w:r>
              <w:rPr>
                <w:rFonts w:hint="eastAsia"/>
                <w:color w:val="auto"/>
                <w:highlight w:val="none"/>
                <w:lang w:eastAsia="zh-CN"/>
              </w:rPr>
              <w:t>·</w:t>
            </w:r>
            <w:r>
              <w:rPr>
                <w:rFonts w:hint="eastAsia"/>
                <w:color w:val="auto"/>
                <w:highlight w:val="none"/>
                <w:lang w:val="en-US" w:eastAsia="zh-CN"/>
              </w:rPr>
              <w:t>d</w:t>
            </w:r>
            <w:r>
              <w:rPr>
                <w:rFonts w:hint="eastAsia"/>
                <w:color w:val="auto"/>
                <w:highlight w:val="none"/>
                <w:lang w:eastAsia="zh-CN"/>
              </w:rPr>
              <w:t>计，本项目</w:t>
            </w:r>
            <w:r>
              <w:rPr>
                <w:rFonts w:hint="eastAsia"/>
                <w:color w:val="auto"/>
                <w:highlight w:val="none"/>
                <w:lang w:val="en-US" w:eastAsia="zh-CN"/>
              </w:rPr>
              <w:t>有效</w:t>
            </w:r>
            <w:r>
              <w:rPr>
                <w:rFonts w:hint="eastAsia"/>
                <w:color w:val="auto"/>
                <w:highlight w:val="none"/>
                <w:lang w:eastAsia="zh-CN"/>
              </w:rPr>
              <w:t>清洁区域约</w:t>
            </w:r>
            <w:r>
              <w:rPr>
                <w:rFonts w:hint="eastAsia"/>
                <w:color w:val="auto"/>
                <w:highlight w:val="none"/>
                <w:lang w:val="en-US" w:eastAsia="zh-CN"/>
              </w:rPr>
              <w:t>1500</w:t>
            </w:r>
            <w:r>
              <w:rPr>
                <w:rFonts w:hint="eastAsia"/>
                <w:color w:val="auto"/>
                <w:highlight w:val="none"/>
                <w:lang w:eastAsia="zh-CN"/>
              </w:rPr>
              <w:t>m</w:t>
            </w:r>
            <w:r>
              <w:rPr>
                <w:rFonts w:hint="eastAsia"/>
                <w:color w:val="auto"/>
                <w:highlight w:val="none"/>
                <w:vertAlign w:val="superscript"/>
                <w:lang w:eastAsia="zh-CN"/>
              </w:rPr>
              <w:t>2</w:t>
            </w:r>
            <w:r>
              <w:rPr>
                <w:rFonts w:hint="eastAsia"/>
                <w:color w:val="auto"/>
                <w:highlight w:val="none"/>
                <w:lang w:eastAsia="zh-CN"/>
              </w:rPr>
              <w:t>，则地面清洁用水量约为</w:t>
            </w:r>
            <w:r>
              <w:rPr>
                <w:rFonts w:hint="eastAsia"/>
                <w:color w:val="auto"/>
                <w:highlight w:val="none"/>
                <w:lang w:val="en-US" w:eastAsia="zh-CN"/>
              </w:rPr>
              <w:t>0.75</w:t>
            </w:r>
            <w:r>
              <w:rPr>
                <w:rFonts w:hint="eastAsia"/>
                <w:color w:val="auto"/>
                <w:highlight w:val="none"/>
                <w:lang w:eastAsia="zh-CN"/>
              </w:rPr>
              <w:t>m</w:t>
            </w:r>
            <w:r>
              <w:rPr>
                <w:rFonts w:hint="eastAsia"/>
                <w:color w:val="auto"/>
                <w:highlight w:val="none"/>
                <w:vertAlign w:val="superscript"/>
                <w:lang w:val="en-US" w:eastAsia="zh-CN"/>
              </w:rPr>
              <w:t>3</w:t>
            </w:r>
            <w:r>
              <w:rPr>
                <w:rFonts w:hint="eastAsia"/>
                <w:color w:val="auto"/>
                <w:highlight w:val="none"/>
                <w:lang w:eastAsia="zh-CN"/>
              </w:rPr>
              <w:t>/d（</w:t>
            </w:r>
            <w:r>
              <w:rPr>
                <w:rFonts w:hint="eastAsia"/>
                <w:color w:val="auto"/>
                <w:highlight w:val="none"/>
                <w:lang w:val="en-US" w:eastAsia="zh-CN"/>
              </w:rPr>
              <w:t>225</w:t>
            </w:r>
            <w:r>
              <w:rPr>
                <w:rFonts w:hint="eastAsia"/>
                <w:color w:val="auto"/>
                <w:highlight w:val="none"/>
                <w:lang w:eastAsia="zh-CN"/>
              </w:rPr>
              <w:t>m</w:t>
            </w:r>
            <w:r>
              <w:rPr>
                <w:rFonts w:hint="eastAsia"/>
                <w:color w:val="auto"/>
                <w:highlight w:val="none"/>
                <w:vertAlign w:val="superscript"/>
                <w:lang w:val="en-US" w:eastAsia="zh-CN"/>
              </w:rPr>
              <w:t>3</w:t>
            </w:r>
            <w:r>
              <w:rPr>
                <w:rFonts w:hint="eastAsia"/>
                <w:color w:val="auto"/>
                <w:highlight w:val="none"/>
                <w:lang w:eastAsia="zh-CN"/>
              </w:rPr>
              <w:t>/a），排污系数按0.9计，则地面清洁废水产生量为</w:t>
            </w:r>
            <w:r>
              <w:rPr>
                <w:rFonts w:hint="eastAsia"/>
                <w:color w:val="auto"/>
                <w:highlight w:val="none"/>
                <w:lang w:val="en-US" w:eastAsia="zh-CN"/>
              </w:rPr>
              <w:t>0.675</w:t>
            </w:r>
            <w:r>
              <w:rPr>
                <w:rFonts w:hint="eastAsia"/>
                <w:color w:val="auto"/>
                <w:highlight w:val="none"/>
                <w:lang w:eastAsia="zh-CN"/>
              </w:rPr>
              <w:t>m</w:t>
            </w:r>
            <w:r>
              <w:rPr>
                <w:rFonts w:hint="eastAsia"/>
                <w:color w:val="auto"/>
                <w:highlight w:val="none"/>
                <w:vertAlign w:val="superscript"/>
                <w:lang w:val="en-US" w:eastAsia="zh-CN"/>
              </w:rPr>
              <w:t>3</w:t>
            </w:r>
            <w:r>
              <w:rPr>
                <w:rFonts w:hint="eastAsia"/>
                <w:color w:val="auto"/>
                <w:highlight w:val="none"/>
                <w:lang w:eastAsia="zh-CN"/>
              </w:rPr>
              <w:t>/d（</w:t>
            </w:r>
            <w:r>
              <w:rPr>
                <w:rFonts w:hint="eastAsia"/>
                <w:color w:val="auto"/>
                <w:highlight w:val="none"/>
                <w:lang w:val="en-US" w:eastAsia="zh-CN"/>
              </w:rPr>
              <w:t>202.5</w:t>
            </w:r>
            <w:r>
              <w:rPr>
                <w:rFonts w:hint="eastAsia"/>
                <w:color w:val="auto"/>
                <w:highlight w:val="none"/>
                <w:lang w:eastAsia="zh-CN"/>
              </w:rPr>
              <w:t>m</w:t>
            </w:r>
            <w:r>
              <w:rPr>
                <w:rFonts w:hint="eastAsia"/>
                <w:color w:val="auto"/>
                <w:highlight w:val="none"/>
                <w:vertAlign w:val="superscript"/>
                <w:lang w:val="en-US" w:eastAsia="zh-CN"/>
              </w:rPr>
              <w:t>3</w:t>
            </w:r>
            <w:r>
              <w:rPr>
                <w:rFonts w:hint="eastAsia"/>
                <w:color w:val="auto"/>
                <w:highlight w:val="none"/>
                <w:lang w:eastAsia="zh-CN"/>
              </w:rPr>
              <w:t>/a）。</w:t>
            </w:r>
            <w:r>
              <w:rPr>
                <w:rFonts w:hint="eastAsia"/>
                <w:color w:val="auto"/>
                <w:highlight w:val="none"/>
                <w:lang w:val="en-US" w:eastAsia="zh-CN"/>
              </w:rPr>
              <w:t>进入</w:t>
            </w:r>
            <w:r>
              <w:rPr>
                <w:rFonts w:hint="eastAsia"/>
                <w:color w:val="auto"/>
                <w:highlight w:val="none"/>
                <w:lang w:eastAsia="zh-CN"/>
              </w:rPr>
              <w:t>已建生化池处理达标后排入厂外市政污水管网。</w:t>
            </w:r>
          </w:p>
          <w:p w14:paraId="4A25405A">
            <w:pPr>
              <w:pStyle w:val="18"/>
              <w:bidi w:val="0"/>
              <w:rPr>
                <w:rFonts w:hint="eastAsia"/>
                <w:color w:val="auto"/>
                <w:highlight w:val="none"/>
              </w:rPr>
            </w:pPr>
            <w:r>
              <w:rPr>
                <w:rFonts w:hint="eastAsia"/>
                <w:color w:val="auto"/>
                <w:highlight w:val="none"/>
              </w:rPr>
              <w:t>综上，项目用排水一览表详见</w:t>
            </w:r>
            <w:r>
              <w:rPr>
                <w:rFonts w:hint="eastAsia"/>
                <w:color w:val="auto"/>
                <w:highlight w:val="none"/>
              </w:rPr>
              <w:fldChar w:fldCharType="begin"/>
            </w:r>
            <w:r>
              <w:rPr>
                <w:rFonts w:hint="eastAsia"/>
                <w:color w:val="auto"/>
                <w:highlight w:val="none"/>
              </w:rPr>
              <w:instrText xml:space="preserve"> REF _Ref24828 \h </w:instrText>
            </w:r>
            <w:r>
              <w:rPr>
                <w:rFonts w:hint="eastAsia"/>
                <w:color w:val="auto"/>
                <w:highlight w:val="none"/>
              </w:rPr>
              <w:fldChar w:fldCharType="separate"/>
            </w:r>
            <w:r>
              <w:rPr>
                <w:color w:val="auto"/>
                <w:highlight w:val="none"/>
              </w:rPr>
              <w:t>表2-7</w:t>
            </w:r>
            <w:r>
              <w:rPr>
                <w:rFonts w:hint="eastAsia"/>
                <w:color w:val="auto"/>
                <w:highlight w:val="none"/>
              </w:rPr>
              <w:fldChar w:fldCharType="end"/>
            </w:r>
            <w:r>
              <w:rPr>
                <w:rFonts w:hint="eastAsia"/>
                <w:color w:val="auto"/>
                <w:highlight w:val="none"/>
                <w:lang w:val="en-US" w:eastAsia="zh-CN"/>
              </w:rPr>
              <w:t>。</w:t>
            </w:r>
            <w:r>
              <w:rPr>
                <w:rFonts w:hint="eastAsia"/>
                <w:color w:val="auto"/>
                <w:highlight w:val="none"/>
              </w:rPr>
              <w:t>项目最大日用水平衡图详见</w:t>
            </w:r>
            <w:r>
              <w:rPr>
                <w:rFonts w:hint="eastAsia"/>
                <w:color w:val="auto"/>
                <w:highlight w:val="none"/>
              </w:rPr>
              <w:fldChar w:fldCharType="begin"/>
            </w:r>
            <w:r>
              <w:rPr>
                <w:rFonts w:hint="eastAsia"/>
                <w:color w:val="auto"/>
                <w:highlight w:val="none"/>
              </w:rPr>
              <w:instrText xml:space="preserve"> REF _Ref5260 \h </w:instrText>
            </w:r>
            <w:r>
              <w:rPr>
                <w:rFonts w:hint="eastAsia"/>
                <w:color w:val="auto"/>
                <w:highlight w:val="none"/>
              </w:rPr>
              <w:fldChar w:fldCharType="separate"/>
            </w:r>
            <w:r>
              <w:rPr>
                <w:rFonts w:hint="default"/>
                <w:color w:val="auto"/>
                <w:highlight w:val="none"/>
              </w:rPr>
              <w:t>图2-1</w:t>
            </w:r>
            <w:r>
              <w:rPr>
                <w:rFonts w:hint="eastAsia"/>
                <w:color w:val="auto"/>
                <w:highlight w:val="none"/>
              </w:rPr>
              <w:fldChar w:fldCharType="end"/>
            </w:r>
            <w:r>
              <w:rPr>
                <w:rFonts w:hint="eastAsia"/>
                <w:color w:val="auto"/>
                <w:highlight w:val="none"/>
              </w:rPr>
              <w:t>。</w:t>
            </w:r>
          </w:p>
          <w:p w14:paraId="31C9475D">
            <w:pPr>
              <w:pStyle w:val="19"/>
              <w:bidi w:val="0"/>
              <w:rPr>
                <w:color w:val="auto"/>
                <w:highlight w:val="none"/>
              </w:rPr>
            </w:pPr>
            <w:bookmarkStart w:id="19" w:name="_Ref24828"/>
            <w:r>
              <w:rPr>
                <w:color w:val="auto"/>
                <w:highlight w:val="none"/>
              </w:rPr>
              <w:t>表2-</w:t>
            </w:r>
            <w:r>
              <w:rPr>
                <w:color w:val="auto"/>
                <w:highlight w:val="none"/>
              </w:rPr>
              <w:fldChar w:fldCharType="begin"/>
            </w:r>
            <w:r>
              <w:rPr>
                <w:color w:val="auto"/>
                <w:highlight w:val="none"/>
              </w:rPr>
              <w:instrText xml:space="preserve"> SEQ 表2- \* ARABIC </w:instrText>
            </w:r>
            <w:r>
              <w:rPr>
                <w:color w:val="auto"/>
                <w:highlight w:val="none"/>
              </w:rPr>
              <w:fldChar w:fldCharType="separate"/>
            </w:r>
            <w:r>
              <w:rPr>
                <w:color w:val="auto"/>
                <w:highlight w:val="none"/>
              </w:rPr>
              <w:t>7</w:t>
            </w:r>
            <w:r>
              <w:rPr>
                <w:color w:val="auto"/>
                <w:highlight w:val="none"/>
              </w:rPr>
              <w:fldChar w:fldCharType="end"/>
            </w:r>
            <w:bookmarkEnd w:id="19"/>
            <w:r>
              <w:rPr>
                <w:rFonts w:hint="eastAsia"/>
                <w:color w:val="auto"/>
                <w:highlight w:val="none"/>
              </w:rPr>
              <w:t xml:space="preserve"> 项目用、排水情况一览表</w:t>
            </w:r>
          </w:p>
          <w:tbl>
            <w:tblPr>
              <w:tblStyle w:val="14"/>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80"/>
              <w:gridCol w:w="972"/>
              <w:gridCol w:w="986"/>
              <w:gridCol w:w="1329"/>
              <w:gridCol w:w="992"/>
              <w:gridCol w:w="1324"/>
              <w:gridCol w:w="1065"/>
              <w:gridCol w:w="1177"/>
            </w:tblGrid>
            <w:tr w14:paraId="430E1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872" w:type="pct"/>
                  <w:gridSpan w:val="2"/>
                  <w:tcBorders>
                    <w:tl2br w:val="nil"/>
                    <w:tr2bl w:val="nil"/>
                  </w:tcBorders>
                  <w:shd w:val="clear" w:color="auto" w:fill="auto"/>
                  <w:vAlign w:val="center"/>
                </w:tcPr>
                <w:p w14:paraId="5FFFAC04">
                  <w:pPr>
                    <w:pStyle w:val="20"/>
                    <w:spacing w:before="31"/>
                    <w:rPr>
                      <w:b/>
                      <w:bCs/>
                      <w:color w:val="auto"/>
                      <w:highlight w:val="none"/>
                    </w:rPr>
                  </w:pPr>
                  <w:r>
                    <w:rPr>
                      <w:rFonts w:hint="eastAsia"/>
                      <w:b/>
                      <w:bCs/>
                      <w:color w:val="auto"/>
                      <w:highlight w:val="none"/>
                    </w:rPr>
                    <w:t>用水项目</w:t>
                  </w:r>
                </w:p>
              </w:tc>
              <w:tc>
                <w:tcPr>
                  <w:tcW w:w="592" w:type="pct"/>
                  <w:tcBorders>
                    <w:tl2br w:val="nil"/>
                    <w:tr2bl w:val="nil"/>
                  </w:tcBorders>
                  <w:shd w:val="clear" w:color="auto" w:fill="auto"/>
                  <w:vAlign w:val="center"/>
                </w:tcPr>
                <w:p w14:paraId="2389A7C4">
                  <w:pPr>
                    <w:pStyle w:val="20"/>
                    <w:spacing w:before="31"/>
                    <w:rPr>
                      <w:b/>
                      <w:bCs/>
                      <w:color w:val="auto"/>
                      <w:highlight w:val="none"/>
                    </w:rPr>
                  </w:pPr>
                  <w:r>
                    <w:rPr>
                      <w:rFonts w:hint="eastAsia"/>
                      <w:b/>
                      <w:bCs/>
                      <w:color w:val="auto"/>
                      <w:highlight w:val="none"/>
                    </w:rPr>
                    <w:t>用水标准</w:t>
                  </w:r>
                </w:p>
              </w:tc>
              <w:tc>
                <w:tcPr>
                  <w:tcW w:w="798" w:type="pct"/>
                  <w:tcBorders>
                    <w:tl2br w:val="nil"/>
                    <w:tr2bl w:val="nil"/>
                  </w:tcBorders>
                  <w:shd w:val="clear" w:color="auto" w:fill="auto"/>
                  <w:vAlign w:val="center"/>
                </w:tcPr>
                <w:p w14:paraId="37CBCA8F">
                  <w:pPr>
                    <w:pStyle w:val="20"/>
                    <w:spacing w:before="31"/>
                    <w:rPr>
                      <w:b/>
                      <w:bCs/>
                      <w:color w:val="auto"/>
                      <w:highlight w:val="none"/>
                    </w:rPr>
                  </w:pPr>
                  <w:r>
                    <w:rPr>
                      <w:rFonts w:hint="eastAsia"/>
                      <w:b/>
                      <w:bCs/>
                      <w:color w:val="auto"/>
                      <w:highlight w:val="none"/>
                    </w:rPr>
                    <w:t>规模</w:t>
                  </w:r>
                </w:p>
              </w:tc>
              <w:tc>
                <w:tcPr>
                  <w:tcW w:w="595" w:type="pct"/>
                  <w:tcBorders>
                    <w:tl2br w:val="nil"/>
                    <w:tr2bl w:val="nil"/>
                  </w:tcBorders>
                  <w:shd w:val="clear" w:color="auto" w:fill="auto"/>
                  <w:vAlign w:val="center"/>
                </w:tcPr>
                <w:p w14:paraId="06322EE8">
                  <w:pPr>
                    <w:pStyle w:val="20"/>
                    <w:spacing w:before="31"/>
                    <w:rPr>
                      <w:rFonts w:hint="default"/>
                      <w:b/>
                      <w:bCs/>
                      <w:color w:val="auto"/>
                      <w:highlight w:val="none"/>
                      <w:lang w:val="en-US" w:eastAsia="zh-CN"/>
                    </w:rPr>
                  </w:pPr>
                  <w:r>
                    <w:rPr>
                      <w:rFonts w:hint="eastAsia"/>
                      <w:b/>
                      <w:bCs/>
                      <w:color w:val="auto"/>
                      <w:highlight w:val="none"/>
                      <w:lang w:val="en-US" w:eastAsia="zh-CN"/>
                    </w:rPr>
                    <w:t>新鲜水用量</w:t>
                  </w:r>
                  <w:r>
                    <w:rPr>
                      <w:rFonts w:hint="eastAsia"/>
                      <w:color w:val="auto"/>
                      <w:highlight w:val="none"/>
                      <w:lang w:val="en-US" w:eastAsia="zh-CN"/>
                    </w:rPr>
                    <w:t>m</w:t>
                  </w:r>
                  <w:r>
                    <w:rPr>
                      <w:rFonts w:hint="eastAsia"/>
                      <w:color w:val="auto"/>
                      <w:highlight w:val="none"/>
                      <w:vertAlign w:val="superscript"/>
                      <w:lang w:val="en-US" w:eastAsia="zh-CN"/>
                    </w:rPr>
                    <w:t>3</w:t>
                  </w:r>
                  <w:r>
                    <w:rPr>
                      <w:rFonts w:hint="eastAsia"/>
                      <w:color w:val="auto"/>
                      <w:highlight w:val="none"/>
                      <w:lang w:val="en-US" w:eastAsia="zh-CN"/>
                    </w:rPr>
                    <w:t>/a</w:t>
                  </w:r>
                </w:p>
              </w:tc>
              <w:tc>
                <w:tcPr>
                  <w:tcW w:w="795" w:type="pct"/>
                  <w:tcBorders>
                    <w:tl2br w:val="nil"/>
                    <w:tr2bl w:val="nil"/>
                  </w:tcBorders>
                  <w:shd w:val="clear" w:color="auto" w:fill="auto"/>
                  <w:vAlign w:val="center"/>
                </w:tcPr>
                <w:p w14:paraId="1AF26397">
                  <w:pPr>
                    <w:pStyle w:val="20"/>
                    <w:spacing w:before="31"/>
                    <w:rPr>
                      <w:rFonts w:hint="eastAsia" w:ascii="Times New Roman" w:hAnsi="Times New Roman" w:eastAsia="宋体" w:cs="宋体"/>
                      <w:b/>
                      <w:bCs/>
                      <w:color w:val="auto"/>
                      <w:kern w:val="2"/>
                      <w:sz w:val="21"/>
                      <w:szCs w:val="21"/>
                      <w:highlight w:val="none"/>
                      <w:lang w:val="en-US" w:eastAsia="zh-CN" w:bidi="ar-SA"/>
                    </w:rPr>
                  </w:pPr>
                  <w:r>
                    <w:rPr>
                      <w:rFonts w:hint="eastAsia"/>
                      <w:b/>
                      <w:bCs/>
                      <w:color w:val="auto"/>
                      <w:highlight w:val="none"/>
                      <w:lang w:val="en-US" w:eastAsia="zh-CN"/>
                    </w:rPr>
                    <w:t>日</w:t>
                  </w:r>
                  <w:r>
                    <w:rPr>
                      <w:rFonts w:hint="eastAsia"/>
                      <w:b/>
                      <w:bCs/>
                      <w:color w:val="auto"/>
                      <w:highlight w:val="none"/>
                    </w:rPr>
                    <w:t>新鲜水</w:t>
                  </w:r>
                  <w:r>
                    <w:rPr>
                      <w:rFonts w:hint="eastAsia" w:eastAsia="宋体"/>
                      <w:color w:val="auto"/>
                      <w:highlight w:val="none"/>
                      <w:lang w:val="en-US" w:eastAsia="zh-CN"/>
                    </w:rPr>
                    <w:t>m</w:t>
                  </w:r>
                  <w:r>
                    <w:rPr>
                      <w:rFonts w:hint="eastAsia" w:eastAsia="宋体"/>
                      <w:color w:val="auto"/>
                      <w:highlight w:val="none"/>
                      <w:vertAlign w:val="superscript"/>
                      <w:lang w:val="en-US" w:eastAsia="zh-CN"/>
                    </w:rPr>
                    <w:t>3</w:t>
                  </w:r>
                  <w:r>
                    <w:rPr>
                      <w:rFonts w:hint="eastAsia" w:eastAsia="宋体"/>
                      <w:color w:val="auto"/>
                      <w:highlight w:val="none"/>
                      <w:lang w:val="en-US" w:eastAsia="zh-CN"/>
                    </w:rPr>
                    <w:t>/d</w:t>
                  </w:r>
                </w:p>
              </w:tc>
              <w:tc>
                <w:tcPr>
                  <w:tcW w:w="639" w:type="pct"/>
                  <w:tcBorders>
                    <w:tl2br w:val="nil"/>
                    <w:tr2bl w:val="nil"/>
                  </w:tcBorders>
                  <w:shd w:val="clear" w:color="auto" w:fill="auto"/>
                  <w:vAlign w:val="center"/>
                </w:tcPr>
                <w:p w14:paraId="68841808">
                  <w:pPr>
                    <w:pStyle w:val="20"/>
                    <w:spacing w:before="31"/>
                    <w:rPr>
                      <w:rFonts w:hint="default"/>
                      <w:b/>
                      <w:bCs/>
                      <w:color w:val="auto"/>
                      <w:highlight w:val="none"/>
                      <w:lang w:val="en-US" w:eastAsia="zh-CN"/>
                    </w:rPr>
                  </w:pPr>
                  <w:r>
                    <w:rPr>
                      <w:rFonts w:hint="eastAsia"/>
                      <w:b/>
                      <w:bCs/>
                      <w:color w:val="auto"/>
                      <w:highlight w:val="none"/>
                      <w:lang w:val="en-US" w:eastAsia="zh-CN"/>
                    </w:rPr>
                    <w:t>废水排放量</w:t>
                  </w:r>
                  <w:r>
                    <w:rPr>
                      <w:rFonts w:hint="eastAsia"/>
                      <w:color w:val="auto"/>
                      <w:highlight w:val="none"/>
                      <w:lang w:val="en-US" w:eastAsia="zh-CN"/>
                    </w:rPr>
                    <w:t>m</w:t>
                  </w:r>
                  <w:r>
                    <w:rPr>
                      <w:rFonts w:hint="eastAsia"/>
                      <w:color w:val="auto"/>
                      <w:highlight w:val="none"/>
                      <w:vertAlign w:val="superscript"/>
                      <w:lang w:val="en-US" w:eastAsia="zh-CN"/>
                    </w:rPr>
                    <w:t>3</w:t>
                  </w:r>
                  <w:r>
                    <w:rPr>
                      <w:rFonts w:hint="eastAsia"/>
                      <w:color w:val="auto"/>
                      <w:highlight w:val="none"/>
                      <w:lang w:val="en-US" w:eastAsia="zh-CN"/>
                    </w:rPr>
                    <w:t>/a</w:t>
                  </w:r>
                </w:p>
              </w:tc>
              <w:tc>
                <w:tcPr>
                  <w:tcW w:w="706" w:type="pct"/>
                  <w:tcBorders>
                    <w:tl2br w:val="nil"/>
                    <w:tr2bl w:val="nil"/>
                  </w:tcBorders>
                  <w:shd w:val="clear" w:color="auto" w:fill="auto"/>
                  <w:vAlign w:val="center"/>
                </w:tcPr>
                <w:p w14:paraId="61B4355E">
                  <w:pPr>
                    <w:pStyle w:val="20"/>
                    <w:spacing w:before="31"/>
                    <w:rPr>
                      <w:b/>
                      <w:bCs/>
                      <w:color w:val="auto"/>
                      <w:highlight w:val="none"/>
                    </w:rPr>
                  </w:pPr>
                  <w:r>
                    <w:rPr>
                      <w:rFonts w:hint="eastAsia"/>
                      <w:b/>
                      <w:bCs/>
                      <w:color w:val="auto"/>
                      <w:highlight w:val="none"/>
                      <w:lang w:val="en-US" w:eastAsia="zh-CN"/>
                    </w:rPr>
                    <w:t>日</w:t>
                  </w:r>
                  <w:r>
                    <w:rPr>
                      <w:rFonts w:hint="eastAsia"/>
                      <w:b/>
                      <w:bCs/>
                      <w:color w:val="auto"/>
                      <w:highlight w:val="none"/>
                    </w:rPr>
                    <w:t>废水排放量</w:t>
                  </w:r>
                  <w:r>
                    <w:rPr>
                      <w:rFonts w:hint="eastAsia" w:eastAsia="宋体"/>
                      <w:color w:val="auto"/>
                      <w:highlight w:val="none"/>
                      <w:lang w:val="en-US" w:eastAsia="zh-CN"/>
                    </w:rPr>
                    <w:t>m</w:t>
                  </w:r>
                  <w:r>
                    <w:rPr>
                      <w:rFonts w:hint="eastAsia" w:eastAsia="宋体"/>
                      <w:color w:val="auto"/>
                      <w:highlight w:val="none"/>
                      <w:vertAlign w:val="superscript"/>
                      <w:lang w:val="en-US" w:eastAsia="zh-CN"/>
                    </w:rPr>
                    <w:t>3</w:t>
                  </w:r>
                  <w:r>
                    <w:rPr>
                      <w:rFonts w:hint="eastAsia" w:eastAsia="宋体"/>
                      <w:color w:val="auto"/>
                      <w:highlight w:val="none"/>
                      <w:lang w:val="en-US" w:eastAsia="zh-CN"/>
                    </w:rPr>
                    <w:t>/d</w:t>
                  </w:r>
                </w:p>
              </w:tc>
            </w:tr>
            <w:tr w14:paraId="2F436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72" w:type="pct"/>
                  <w:gridSpan w:val="2"/>
                  <w:tcBorders>
                    <w:tl2br w:val="nil"/>
                    <w:tr2bl w:val="nil"/>
                  </w:tcBorders>
                  <w:shd w:val="clear" w:color="auto" w:fill="auto"/>
                  <w:vAlign w:val="center"/>
                </w:tcPr>
                <w:p w14:paraId="425BBE83">
                  <w:pPr>
                    <w:pStyle w:val="20"/>
                    <w:spacing w:before="31"/>
                    <w:rPr>
                      <w:rFonts w:ascii="Times New Roman" w:hAnsi="Times New Roman" w:eastAsia="宋体" w:cs="宋体"/>
                      <w:color w:val="auto"/>
                      <w:kern w:val="2"/>
                      <w:sz w:val="21"/>
                      <w:szCs w:val="21"/>
                      <w:highlight w:val="none"/>
                      <w:lang w:val="en-US" w:eastAsia="zh-CN" w:bidi="ar-SA"/>
                    </w:rPr>
                  </w:pPr>
                  <w:r>
                    <w:rPr>
                      <w:rFonts w:hint="eastAsia"/>
                      <w:color w:val="auto"/>
                      <w:highlight w:val="none"/>
                    </w:rPr>
                    <w:t>生活用水</w:t>
                  </w:r>
                </w:p>
              </w:tc>
              <w:tc>
                <w:tcPr>
                  <w:tcW w:w="592" w:type="pct"/>
                  <w:tcBorders>
                    <w:tl2br w:val="nil"/>
                    <w:tr2bl w:val="nil"/>
                  </w:tcBorders>
                  <w:shd w:val="clear" w:color="auto" w:fill="auto"/>
                  <w:vAlign w:val="center"/>
                </w:tcPr>
                <w:p w14:paraId="03AB93F1">
                  <w:pPr>
                    <w:pStyle w:val="20"/>
                    <w:spacing w:before="31"/>
                    <w:rPr>
                      <w:rFonts w:ascii="Times New Roman" w:hAnsi="Times New Roman" w:eastAsia="宋体" w:cs="宋体"/>
                      <w:color w:val="auto"/>
                      <w:kern w:val="2"/>
                      <w:sz w:val="21"/>
                      <w:szCs w:val="21"/>
                      <w:highlight w:val="none"/>
                      <w:lang w:val="en-US" w:eastAsia="zh-CN" w:bidi="ar-SA"/>
                    </w:rPr>
                  </w:pPr>
                  <w:r>
                    <w:rPr>
                      <w:rFonts w:hint="eastAsia"/>
                      <w:color w:val="auto"/>
                      <w:highlight w:val="none"/>
                    </w:rPr>
                    <w:t>50</w:t>
                  </w:r>
                  <w:r>
                    <w:rPr>
                      <w:color w:val="auto"/>
                      <w:highlight w:val="none"/>
                    </w:rPr>
                    <w:t>L/人</w:t>
                  </w:r>
                  <w:r>
                    <w:rPr>
                      <w:rFonts w:hint="eastAsia"/>
                      <w:color w:val="auto"/>
                      <w:highlight w:val="none"/>
                    </w:rPr>
                    <w:t>·</w:t>
                  </w:r>
                  <w:r>
                    <w:rPr>
                      <w:color w:val="auto"/>
                      <w:highlight w:val="none"/>
                    </w:rPr>
                    <w:t>d</w:t>
                  </w:r>
                </w:p>
              </w:tc>
              <w:tc>
                <w:tcPr>
                  <w:tcW w:w="798" w:type="pct"/>
                  <w:tcBorders>
                    <w:tl2br w:val="nil"/>
                    <w:tr2bl w:val="nil"/>
                  </w:tcBorders>
                  <w:shd w:val="clear" w:color="auto" w:fill="auto"/>
                  <w:vAlign w:val="center"/>
                </w:tcPr>
                <w:p w14:paraId="7FF4C564">
                  <w:pPr>
                    <w:pStyle w:val="20"/>
                    <w:spacing w:before="31"/>
                    <w:rPr>
                      <w:rFonts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60</w:t>
                  </w:r>
                  <w:r>
                    <w:rPr>
                      <w:rFonts w:hint="eastAsia"/>
                      <w:color w:val="auto"/>
                      <w:highlight w:val="none"/>
                    </w:rPr>
                    <w:t>人，300d/a</w:t>
                  </w:r>
                </w:p>
              </w:tc>
              <w:tc>
                <w:tcPr>
                  <w:tcW w:w="595" w:type="pct"/>
                  <w:tcBorders>
                    <w:tl2br w:val="nil"/>
                    <w:tr2bl w:val="nil"/>
                  </w:tcBorders>
                  <w:shd w:val="clear" w:color="auto" w:fill="auto"/>
                  <w:vAlign w:val="center"/>
                </w:tcPr>
                <w:p w14:paraId="6857460E">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900</w:t>
                  </w:r>
                </w:p>
              </w:tc>
              <w:tc>
                <w:tcPr>
                  <w:tcW w:w="795" w:type="pct"/>
                  <w:tcBorders>
                    <w:tl2br w:val="nil"/>
                    <w:tr2bl w:val="nil"/>
                  </w:tcBorders>
                  <w:shd w:val="clear" w:color="auto" w:fill="auto"/>
                  <w:vAlign w:val="center"/>
                </w:tcPr>
                <w:p w14:paraId="6D70C241">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eastAsia="宋体"/>
                      <w:color w:val="auto"/>
                      <w:highlight w:val="none"/>
                      <w:lang w:val="en-US" w:eastAsia="zh-CN"/>
                    </w:rPr>
                    <w:t>3</w:t>
                  </w:r>
                </w:p>
              </w:tc>
              <w:tc>
                <w:tcPr>
                  <w:tcW w:w="639" w:type="pct"/>
                  <w:tcBorders>
                    <w:tl2br w:val="nil"/>
                    <w:tr2bl w:val="nil"/>
                  </w:tcBorders>
                  <w:shd w:val="clear" w:color="auto" w:fill="auto"/>
                  <w:vAlign w:val="center"/>
                </w:tcPr>
                <w:p w14:paraId="68678E1B">
                  <w:pPr>
                    <w:pStyle w:val="20"/>
                    <w:spacing w:before="31"/>
                    <w:rPr>
                      <w:rFonts w:hint="default"/>
                      <w:color w:val="auto"/>
                      <w:highlight w:val="none"/>
                      <w:lang w:val="en-US" w:eastAsia="zh-CN"/>
                    </w:rPr>
                  </w:pPr>
                  <w:r>
                    <w:rPr>
                      <w:rFonts w:hint="eastAsia"/>
                      <w:color w:val="auto"/>
                      <w:highlight w:val="none"/>
                      <w:lang w:val="en-US" w:eastAsia="zh-CN"/>
                    </w:rPr>
                    <w:t>810</w:t>
                  </w:r>
                </w:p>
              </w:tc>
              <w:tc>
                <w:tcPr>
                  <w:tcW w:w="706" w:type="pct"/>
                  <w:tcBorders>
                    <w:tl2br w:val="nil"/>
                    <w:tr2bl w:val="nil"/>
                  </w:tcBorders>
                  <w:shd w:val="clear" w:color="auto" w:fill="auto"/>
                  <w:vAlign w:val="center"/>
                </w:tcPr>
                <w:p w14:paraId="599D231A">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2.7</w:t>
                  </w:r>
                </w:p>
              </w:tc>
            </w:tr>
            <w:tr w14:paraId="40046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88" w:type="pct"/>
                  <w:vMerge w:val="restart"/>
                  <w:tcBorders>
                    <w:tl2br w:val="nil"/>
                    <w:tr2bl w:val="nil"/>
                  </w:tcBorders>
                  <w:shd w:val="clear" w:color="auto" w:fill="auto"/>
                  <w:vAlign w:val="center"/>
                </w:tcPr>
                <w:p w14:paraId="416CB8A5">
                  <w:pPr>
                    <w:pStyle w:val="20"/>
                    <w:spacing w:before="31"/>
                    <w:rPr>
                      <w:rFonts w:hint="default" w:eastAsia="宋体"/>
                      <w:color w:val="auto"/>
                      <w:highlight w:val="none"/>
                      <w:lang w:val="en-US" w:eastAsia="zh-CN"/>
                    </w:rPr>
                  </w:pPr>
                  <w:r>
                    <w:rPr>
                      <w:rFonts w:hint="eastAsia"/>
                      <w:color w:val="auto"/>
                      <w:highlight w:val="none"/>
                      <w:lang w:val="en-US" w:eastAsia="zh-CN"/>
                    </w:rPr>
                    <w:t>循环冷却水</w:t>
                  </w:r>
                </w:p>
              </w:tc>
              <w:tc>
                <w:tcPr>
                  <w:tcW w:w="583" w:type="pct"/>
                  <w:tcBorders>
                    <w:tl2br w:val="nil"/>
                    <w:tr2bl w:val="nil"/>
                  </w:tcBorders>
                  <w:shd w:val="clear" w:color="auto" w:fill="auto"/>
                  <w:vAlign w:val="center"/>
                </w:tcPr>
                <w:p w14:paraId="734792F9">
                  <w:pPr>
                    <w:pStyle w:val="20"/>
                    <w:spacing w:before="31"/>
                    <w:rPr>
                      <w:rFonts w:hint="default"/>
                      <w:color w:val="auto"/>
                      <w:highlight w:val="none"/>
                      <w:lang w:val="en-US" w:eastAsia="zh-CN"/>
                    </w:rPr>
                  </w:pPr>
                  <w:r>
                    <w:rPr>
                      <w:rFonts w:hint="eastAsia"/>
                      <w:color w:val="auto"/>
                      <w:highlight w:val="none"/>
                      <w:lang w:val="en-US" w:eastAsia="zh-CN"/>
                    </w:rPr>
                    <w:t>排水损失及补充</w:t>
                  </w:r>
                </w:p>
              </w:tc>
              <w:tc>
                <w:tcPr>
                  <w:tcW w:w="592" w:type="pct"/>
                  <w:tcBorders>
                    <w:tl2br w:val="nil"/>
                    <w:tr2bl w:val="nil"/>
                  </w:tcBorders>
                  <w:shd w:val="clear" w:color="auto" w:fill="auto"/>
                  <w:vAlign w:val="center"/>
                </w:tcPr>
                <w:p w14:paraId="1650A3E2">
                  <w:pPr>
                    <w:pStyle w:val="20"/>
                    <w:spacing w:before="31"/>
                    <w:rPr>
                      <w:rFonts w:hint="default"/>
                      <w:color w:val="auto"/>
                      <w:szCs w:val="24"/>
                      <w:highlight w:val="none"/>
                      <w:lang w:val="en-US" w:eastAsia="zh-CN"/>
                    </w:rPr>
                  </w:pPr>
                  <w:r>
                    <w:rPr>
                      <w:rFonts w:hint="eastAsia"/>
                      <w:color w:val="auto"/>
                      <w:highlight w:val="none"/>
                      <w:lang w:val="en-US" w:eastAsia="zh-CN"/>
                    </w:rPr>
                    <w:t>1.536t/d</w:t>
                  </w:r>
                </w:p>
              </w:tc>
              <w:tc>
                <w:tcPr>
                  <w:tcW w:w="798" w:type="pct"/>
                  <w:tcBorders>
                    <w:tl2br w:val="nil"/>
                    <w:tr2bl w:val="nil"/>
                  </w:tcBorders>
                  <w:shd w:val="clear" w:color="auto" w:fill="auto"/>
                  <w:vAlign w:val="center"/>
                </w:tcPr>
                <w:p w14:paraId="1E4C3E05">
                  <w:pPr>
                    <w:pStyle w:val="20"/>
                    <w:spacing w:before="31"/>
                    <w:rPr>
                      <w:rFonts w:hint="default" w:eastAsia="宋体"/>
                      <w:color w:val="auto"/>
                      <w:highlight w:val="none"/>
                      <w:lang w:val="en-US" w:eastAsia="zh-CN"/>
                    </w:rPr>
                  </w:pPr>
                  <w:r>
                    <w:rPr>
                      <w:rFonts w:hint="eastAsia"/>
                      <w:color w:val="auto"/>
                      <w:highlight w:val="none"/>
                      <w:lang w:val="en-US" w:eastAsia="zh-CN"/>
                    </w:rPr>
                    <w:t>299d/a（更换日不计入）</w:t>
                  </w:r>
                </w:p>
              </w:tc>
              <w:tc>
                <w:tcPr>
                  <w:tcW w:w="595" w:type="pct"/>
                  <w:tcBorders>
                    <w:tl2br w:val="nil"/>
                    <w:tr2bl w:val="nil"/>
                  </w:tcBorders>
                  <w:shd w:val="clear" w:color="auto" w:fill="auto"/>
                  <w:vAlign w:val="center"/>
                </w:tcPr>
                <w:p w14:paraId="007D6B07">
                  <w:pPr>
                    <w:pStyle w:val="20"/>
                    <w:spacing w:before="31"/>
                    <w:rPr>
                      <w:rFonts w:hint="default"/>
                      <w:color w:val="auto"/>
                      <w:highlight w:val="none"/>
                      <w:lang w:val="en-US" w:eastAsia="zh-CN"/>
                    </w:rPr>
                  </w:pPr>
                  <w:r>
                    <w:rPr>
                      <w:rFonts w:hint="eastAsia"/>
                      <w:color w:val="auto"/>
                      <w:highlight w:val="none"/>
                      <w:lang w:val="en-US" w:eastAsia="zh-CN"/>
                    </w:rPr>
                    <w:t>459.264</w:t>
                  </w:r>
                </w:p>
              </w:tc>
              <w:tc>
                <w:tcPr>
                  <w:tcW w:w="795" w:type="pct"/>
                  <w:tcBorders>
                    <w:tl2br w:val="nil"/>
                    <w:tr2bl w:val="nil"/>
                  </w:tcBorders>
                  <w:shd w:val="clear" w:color="auto" w:fill="auto"/>
                  <w:vAlign w:val="center"/>
                </w:tcPr>
                <w:p w14:paraId="107CEFC6">
                  <w:pPr>
                    <w:pStyle w:val="20"/>
                    <w:spacing w:before="31"/>
                    <w:rPr>
                      <w:rFonts w:hint="default"/>
                      <w:color w:val="auto"/>
                      <w:szCs w:val="24"/>
                      <w:highlight w:val="none"/>
                      <w:lang w:val="en-US" w:eastAsia="zh-CN"/>
                    </w:rPr>
                  </w:pPr>
                  <w:r>
                    <w:rPr>
                      <w:rFonts w:hint="eastAsia"/>
                      <w:color w:val="auto"/>
                      <w:szCs w:val="24"/>
                      <w:highlight w:val="none"/>
                      <w:lang w:val="en-US" w:eastAsia="zh-CN"/>
                    </w:rPr>
                    <w:t>1.536</w:t>
                  </w:r>
                </w:p>
              </w:tc>
              <w:tc>
                <w:tcPr>
                  <w:tcW w:w="639" w:type="pct"/>
                  <w:tcBorders>
                    <w:tl2br w:val="nil"/>
                    <w:tr2bl w:val="nil"/>
                  </w:tcBorders>
                  <w:shd w:val="clear" w:color="auto" w:fill="auto"/>
                  <w:vAlign w:val="center"/>
                </w:tcPr>
                <w:p w14:paraId="1E1C20CE">
                  <w:pPr>
                    <w:pStyle w:val="20"/>
                    <w:spacing w:before="31"/>
                    <w:rPr>
                      <w:rFonts w:hint="default"/>
                      <w:color w:val="auto"/>
                      <w:highlight w:val="none"/>
                      <w:lang w:val="en-US" w:eastAsia="zh-CN"/>
                    </w:rPr>
                  </w:pPr>
                  <w:r>
                    <w:rPr>
                      <w:rFonts w:hint="eastAsia"/>
                      <w:color w:val="auto"/>
                      <w:highlight w:val="none"/>
                      <w:lang w:val="en-US" w:eastAsia="zh-CN"/>
                    </w:rPr>
                    <w:t>459.264</w:t>
                  </w:r>
                </w:p>
              </w:tc>
              <w:tc>
                <w:tcPr>
                  <w:tcW w:w="706" w:type="pct"/>
                  <w:tcBorders>
                    <w:tl2br w:val="nil"/>
                    <w:tr2bl w:val="nil"/>
                  </w:tcBorders>
                  <w:shd w:val="clear" w:color="auto" w:fill="auto"/>
                  <w:vAlign w:val="center"/>
                </w:tcPr>
                <w:p w14:paraId="153D0357">
                  <w:pPr>
                    <w:pStyle w:val="20"/>
                    <w:spacing w:before="31"/>
                    <w:rPr>
                      <w:rFonts w:hint="default" w:eastAsia="宋体"/>
                      <w:color w:val="auto"/>
                      <w:highlight w:val="none"/>
                      <w:lang w:val="en-US" w:eastAsia="zh-CN"/>
                    </w:rPr>
                  </w:pPr>
                  <w:r>
                    <w:rPr>
                      <w:rFonts w:hint="eastAsia"/>
                      <w:color w:val="auto"/>
                      <w:highlight w:val="none"/>
                      <w:lang w:val="en-US" w:eastAsia="zh-CN"/>
                    </w:rPr>
                    <w:t>1.536</w:t>
                  </w:r>
                </w:p>
              </w:tc>
            </w:tr>
            <w:tr w14:paraId="38C1D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88" w:type="pct"/>
                  <w:vMerge w:val="continue"/>
                  <w:tcBorders>
                    <w:tl2br w:val="nil"/>
                    <w:tr2bl w:val="nil"/>
                  </w:tcBorders>
                  <w:shd w:val="clear" w:color="auto" w:fill="auto"/>
                  <w:vAlign w:val="center"/>
                </w:tcPr>
                <w:p w14:paraId="19B74E6E">
                  <w:pPr>
                    <w:pStyle w:val="20"/>
                    <w:spacing w:before="31"/>
                    <w:rPr>
                      <w:rFonts w:hint="default" w:eastAsia="宋体"/>
                      <w:color w:val="auto"/>
                      <w:highlight w:val="none"/>
                      <w:lang w:val="en-US" w:eastAsia="zh-CN"/>
                    </w:rPr>
                  </w:pPr>
                </w:p>
              </w:tc>
              <w:tc>
                <w:tcPr>
                  <w:tcW w:w="583" w:type="pct"/>
                  <w:tcBorders>
                    <w:tl2br w:val="nil"/>
                    <w:tr2bl w:val="nil"/>
                  </w:tcBorders>
                  <w:shd w:val="clear" w:color="auto" w:fill="auto"/>
                  <w:vAlign w:val="center"/>
                </w:tcPr>
                <w:p w14:paraId="24F09ED5">
                  <w:pPr>
                    <w:pStyle w:val="20"/>
                    <w:spacing w:before="31"/>
                    <w:rPr>
                      <w:rFonts w:hint="default"/>
                      <w:color w:val="auto"/>
                      <w:highlight w:val="none"/>
                      <w:lang w:val="en-US" w:eastAsia="zh-CN"/>
                    </w:rPr>
                  </w:pPr>
                  <w:r>
                    <w:rPr>
                      <w:rFonts w:hint="eastAsia"/>
                      <w:color w:val="auto"/>
                      <w:highlight w:val="none"/>
                      <w:lang w:val="en-US" w:eastAsia="zh-CN"/>
                    </w:rPr>
                    <w:t>风吹、蒸发损失补充</w:t>
                  </w:r>
                </w:p>
              </w:tc>
              <w:tc>
                <w:tcPr>
                  <w:tcW w:w="592" w:type="pct"/>
                  <w:tcBorders>
                    <w:tl2br w:val="nil"/>
                    <w:tr2bl w:val="nil"/>
                  </w:tcBorders>
                  <w:shd w:val="clear" w:color="auto" w:fill="auto"/>
                  <w:vAlign w:val="center"/>
                </w:tcPr>
                <w:p w14:paraId="4E055F06">
                  <w:pPr>
                    <w:pStyle w:val="20"/>
                    <w:spacing w:before="31"/>
                    <w:rPr>
                      <w:rFonts w:hint="eastAsia" w:eastAsia="宋体"/>
                      <w:color w:val="auto"/>
                      <w:highlight w:val="none"/>
                      <w:lang w:val="en-US" w:eastAsia="zh-CN"/>
                    </w:rPr>
                  </w:pPr>
                  <w:r>
                    <w:rPr>
                      <w:rFonts w:hint="eastAsia"/>
                      <w:color w:val="auto"/>
                      <w:highlight w:val="none"/>
                      <w:lang w:val="en-US" w:eastAsia="zh-CN"/>
                    </w:rPr>
                    <w:t>8.904</w:t>
                  </w:r>
                  <w:r>
                    <w:rPr>
                      <w:rFonts w:hint="eastAsia"/>
                      <w:color w:val="auto"/>
                      <w:szCs w:val="24"/>
                      <w:highlight w:val="none"/>
                      <w:lang w:val="en-US" w:eastAsia="zh-CN"/>
                    </w:rPr>
                    <w:t>m</w:t>
                  </w:r>
                  <w:r>
                    <w:rPr>
                      <w:rFonts w:hint="eastAsia"/>
                      <w:color w:val="auto"/>
                      <w:szCs w:val="24"/>
                      <w:highlight w:val="none"/>
                      <w:vertAlign w:val="superscript"/>
                      <w:lang w:val="en-US" w:eastAsia="zh-CN"/>
                    </w:rPr>
                    <w:t>3</w:t>
                  </w:r>
                  <w:r>
                    <w:rPr>
                      <w:rFonts w:hint="eastAsia"/>
                      <w:color w:val="auto"/>
                      <w:szCs w:val="24"/>
                      <w:highlight w:val="none"/>
                      <w:lang w:val="en-US" w:eastAsia="zh-CN"/>
                    </w:rPr>
                    <w:t>/d</w:t>
                  </w:r>
                </w:p>
              </w:tc>
              <w:tc>
                <w:tcPr>
                  <w:tcW w:w="798" w:type="pct"/>
                  <w:tcBorders>
                    <w:tl2br w:val="nil"/>
                    <w:tr2bl w:val="nil"/>
                  </w:tcBorders>
                  <w:shd w:val="clear" w:color="auto" w:fill="auto"/>
                  <w:vAlign w:val="center"/>
                </w:tcPr>
                <w:p w14:paraId="74D6F8CF">
                  <w:pPr>
                    <w:pStyle w:val="20"/>
                    <w:spacing w:before="31"/>
                    <w:rPr>
                      <w:color w:val="auto"/>
                      <w:highlight w:val="none"/>
                    </w:rPr>
                  </w:pPr>
                  <w:r>
                    <w:rPr>
                      <w:rFonts w:hint="eastAsia"/>
                      <w:color w:val="auto"/>
                      <w:highlight w:val="none"/>
                    </w:rPr>
                    <w:t>300d/a</w:t>
                  </w:r>
                </w:p>
              </w:tc>
              <w:tc>
                <w:tcPr>
                  <w:tcW w:w="595" w:type="pct"/>
                  <w:tcBorders>
                    <w:tl2br w:val="nil"/>
                    <w:tr2bl w:val="nil"/>
                  </w:tcBorders>
                  <w:shd w:val="clear" w:color="auto" w:fill="auto"/>
                  <w:vAlign w:val="center"/>
                </w:tcPr>
                <w:p w14:paraId="40372FC2">
                  <w:pPr>
                    <w:pStyle w:val="20"/>
                    <w:spacing w:before="31"/>
                    <w:rPr>
                      <w:rFonts w:hint="default"/>
                      <w:color w:val="auto"/>
                      <w:highlight w:val="none"/>
                      <w:lang w:val="en-US" w:eastAsia="zh-CN"/>
                    </w:rPr>
                  </w:pPr>
                  <w:r>
                    <w:rPr>
                      <w:rFonts w:hint="eastAsia"/>
                      <w:color w:val="auto"/>
                      <w:highlight w:val="none"/>
                      <w:lang w:val="en-US" w:eastAsia="zh-CN"/>
                    </w:rPr>
                    <w:t>2671.2</w:t>
                  </w:r>
                </w:p>
              </w:tc>
              <w:tc>
                <w:tcPr>
                  <w:tcW w:w="795" w:type="pct"/>
                  <w:tcBorders>
                    <w:tl2br w:val="nil"/>
                    <w:tr2bl w:val="nil"/>
                  </w:tcBorders>
                  <w:shd w:val="clear" w:color="auto" w:fill="auto"/>
                  <w:vAlign w:val="center"/>
                </w:tcPr>
                <w:p w14:paraId="5FEE414B">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8.904</w:t>
                  </w:r>
                </w:p>
              </w:tc>
              <w:tc>
                <w:tcPr>
                  <w:tcW w:w="639" w:type="pct"/>
                  <w:tcBorders>
                    <w:tl2br w:val="nil"/>
                    <w:tr2bl w:val="nil"/>
                  </w:tcBorders>
                  <w:shd w:val="clear" w:color="auto" w:fill="auto"/>
                  <w:vAlign w:val="center"/>
                </w:tcPr>
                <w:p w14:paraId="58958884">
                  <w:pPr>
                    <w:pStyle w:val="20"/>
                    <w:spacing w:before="31"/>
                    <w:rPr>
                      <w:rFonts w:hint="default" w:eastAsia="宋体"/>
                      <w:color w:val="auto"/>
                      <w:highlight w:val="none"/>
                      <w:lang w:val="en-US" w:eastAsia="zh-CN"/>
                    </w:rPr>
                  </w:pPr>
                  <w:r>
                    <w:rPr>
                      <w:rFonts w:hint="eastAsia"/>
                      <w:color w:val="auto"/>
                      <w:highlight w:val="none"/>
                      <w:lang w:val="en-US" w:eastAsia="zh-CN"/>
                    </w:rPr>
                    <w:t>/</w:t>
                  </w:r>
                </w:p>
              </w:tc>
              <w:tc>
                <w:tcPr>
                  <w:tcW w:w="706" w:type="pct"/>
                  <w:tcBorders>
                    <w:tl2br w:val="nil"/>
                    <w:tr2bl w:val="nil"/>
                  </w:tcBorders>
                  <w:shd w:val="clear" w:color="auto" w:fill="auto"/>
                  <w:vAlign w:val="center"/>
                </w:tcPr>
                <w:p w14:paraId="6C8E989D">
                  <w:pPr>
                    <w:pStyle w:val="20"/>
                    <w:spacing w:before="31"/>
                    <w:rPr>
                      <w:rFonts w:hint="default" w:eastAsia="宋体"/>
                      <w:color w:val="auto"/>
                      <w:highlight w:val="none"/>
                      <w:lang w:val="en-US" w:eastAsia="zh-CN"/>
                    </w:rPr>
                  </w:pPr>
                  <w:r>
                    <w:rPr>
                      <w:rFonts w:hint="eastAsia"/>
                      <w:color w:val="auto"/>
                      <w:szCs w:val="24"/>
                      <w:highlight w:val="none"/>
                      <w:lang w:val="en-US" w:eastAsia="zh-CN"/>
                    </w:rPr>
                    <w:t>/</w:t>
                  </w:r>
                </w:p>
              </w:tc>
            </w:tr>
            <w:tr w14:paraId="7968A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88" w:type="pct"/>
                  <w:vMerge w:val="continue"/>
                  <w:tcBorders>
                    <w:tl2br w:val="nil"/>
                    <w:tr2bl w:val="nil"/>
                  </w:tcBorders>
                  <w:shd w:val="clear" w:color="auto" w:fill="auto"/>
                  <w:vAlign w:val="center"/>
                </w:tcPr>
                <w:p w14:paraId="3116E665">
                  <w:pPr>
                    <w:pStyle w:val="20"/>
                    <w:spacing w:before="31"/>
                    <w:rPr>
                      <w:rFonts w:hint="eastAsia"/>
                      <w:color w:val="auto"/>
                      <w:highlight w:val="none"/>
                      <w:lang w:val="en-US" w:eastAsia="zh-CN"/>
                    </w:rPr>
                  </w:pPr>
                </w:p>
              </w:tc>
              <w:tc>
                <w:tcPr>
                  <w:tcW w:w="583" w:type="pct"/>
                  <w:tcBorders>
                    <w:tl2br w:val="nil"/>
                    <w:tr2bl w:val="nil"/>
                  </w:tcBorders>
                  <w:shd w:val="clear" w:color="auto" w:fill="auto"/>
                  <w:vAlign w:val="center"/>
                </w:tcPr>
                <w:p w14:paraId="0E674FAA">
                  <w:pPr>
                    <w:pStyle w:val="20"/>
                    <w:spacing w:before="31"/>
                    <w:rPr>
                      <w:rFonts w:hint="default"/>
                      <w:color w:val="auto"/>
                      <w:highlight w:val="none"/>
                      <w:lang w:val="en-US" w:eastAsia="zh-CN"/>
                    </w:rPr>
                  </w:pPr>
                  <w:r>
                    <w:rPr>
                      <w:rFonts w:hint="eastAsia"/>
                      <w:color w:val="auto"/>
                      <w:highlight w:val="none"/>
                      <w:lang w:val="en-US" w:eastAsia="zh-CN"/>
                    </w:rPr>
                    <w:t>更换</w:t>
                  </w:r>
                </w:p>
              </w:tc>
              <w:tc>
                <w:tcPr>
                  <w:tcW w:w="592" w:type="pct"/>
                  <w:tcBorders>
                    <w:tl2br w:val="nil"/>
                    <w:tr2bl w:val="nil"/>
                  </w:tcBorders>
                  <w:shd w:val="clear" w:color="auto" w:fill="auto"/>
                  <w:vAlign w:val="center"/>
                </w:tcPr>
                <w:p w14:paraId="0F2E42A5">
                  <w:pPr>
                    <w:pStyle w:val="20"/>
                    <w:spacing w:before="31"/>
                    <w:rPr>
                      <w:rFonts w:hint="default" w:eastAsia="宋体"/>
                      <w:color w:val="auto"/>
                      <w:highlight w:val="none"/>
                      <w:lang w:val="en-US" w:eastAsia="zh-CN"/>
                    </w:rPr>
                  </w:pPr>
                  <w:r>
                    <w:rPr>
                      <w:rFonts w:hint="eastAsia" w:eastAsia="宋体"/>
                      <w:color w:val="auto"/>
                      <w:highlight w:val="none"/>
                      <w:lang w:val="en-US" w:eastAsia="zh-CN"/>
                    </w:rPr>
                    <w:t>2</w:t>
                  </w:r>
                  <w:r>
                    <w:rPr>
                      <w:rFonts w:hint="eastAsia"/>
                      <w:color w:val="auto"/>
                      <w:highlight w:val="none"/>
                      <w:lang w:val="en-US" w:eastAsia="zh-CN"/>
                    </w:rPr>
                    <w:t>5</w:t>
                  </w:r>
                  <w:r>
                    <w:rPr>
                      <w:rFonts w:hint="eastAsia"/>
                      <w:color w:val="auto"/>
                      <w:szCs w:val="24"/>
                      <w:highlight w:val="none"/>
                      <w:lang w:val="en-US" w:eastAsia="zh-CN"/>
                    </w:rPr>
                    <w:t>m</w:t>
                  </w:r>
                  <w:r>
                    <w:rPr>
                      <w:rFonts w:hint="eastAsia"/>
                      <w:color w:val="auto"/>
                      <w:szCs w:val="24"/>
                      <w:highlight w:val="none"/>
                      <w:vertAlign w:val="superscript"/>
                      <w:lang w:val="en-US" w:eastAsia="zh-CN"/>
                    </w:rPr>
                    <w:t>3</w:t>
                  </w:r>
                  <w:r>
                    <w:rPr>
                      <w:rFonts w:hint="eastAsia"/>
                      <w:color w:val="auto"/>
                      <w:szCs w:val="24"/>
                      <w:highlight w:val="none"/>
                      <w:vertAlign w:val="baseline"/>
                      <w:lang w:val="en-US" w:eastAsia="zh-CN"/>
                    </w:rPr>
                    <w:t>/次</w:t>
                  </w:r>
                </w:p>
              </w:tc>
              <w:tc>
                <w:tcPr>
                  <w:tcW w:w="798" w:type="pct"/>
                  <w:tcBorders>
                    <w:tl2br w:val="nil"/>
                    <w:tr2bl w:val="nil"/>
                  </w:tcBorders>
                  <w:shd w:val="clear" w:color="auto" w:fill="auto"/>
                  <w:vAlign w:val="center"/>
                </w:tcPr>
                <w:p w14:paraId="38B7F7FA">
                  <w:pPr>
                    <w:pStyle w:val="20"/>
                    <w:spacing w:before="31"/>
                    <w:rPr>
                      <w:rFonts w:hint="default" w:eastAsia="宋体"/>
                      <w:color w:val="auto"/>
                      <w:highlight w:val="none"/>
                      <w:lang w:val="en-US" w:eastAsia="zh-CN"/>
                    </w:rPr>
                  </w:pPr>
                  <w:r>
                    <w:rPr>
                      <w:rFonts w:hint="eastAsia"/>
                      <w:color w:val="auto"/>
                      <w:highlight w:val="none"/>
                      <w:lang w:val="en-US" w:eastAsia="zh-CN"/>
                    </w:rPr>
                    <w:t>1次/a</w:t>
                  </w:r>
                </w:p>
              </w:tc>
              <w:tc>
                <w:tcPr>
                  <w:tcW w:w="595" w:type="pct"/>
                  <w:tcBorders>
                    <w:tl2br w:val="nil"/>
                    <w:tr2bl w:val="nil"/>
                  </w:tcBorders>
                  <w:shd w:val="clear" w:color="auto" w:fill="auto"/>
                  <w:vAlign w:val="center"/>
                </w:tcPr>
                <w:p w14:paraId="5BEAEA2A">
                  <w:pPr>
                    <w:pStyle w:val="20"/>
                    <w:spacing w:before="31"/>
                    <w:rPr>
                      <w:rFonts w:hint="default"/>
                      <w:color w:val="auto"/>
                      <w:highlight w:val="none"/>
                      <w:lang w:val="en-US" w:eastAsia="zh-CN"/>
                    </w:rPr>
                  </w:pPr>
                  <w:r>
                    <w:rPr>
                      <w:rFonts w:hint="eastAsia"/>
                      <w:color w:val="auto"/>
                      <w:highlight w:val="none"/>
                      <w:lang w:val="en-US" w:eastAsia="zh-CN"/>
                    </w:rPr>
                    <w:t>25</w:t>
                  </w:r>
                </w:p>
              </w:tc>
              <w:tc>
                <w:tcPr>
                  <w:tcW w:w="795" w:type="pct"/>
                  <w:tcBorders>
                    <w:tl2br w:val="nil"/>
                    <w:tr2bl w:val="nil"/>
                  </w:tcBorders>
                  <w:shd w:val="clear" w:color="auto" w:fill="auto"/>
                  <w:vAlign w:val="center"/>
                </w:tcPr>
                <w:p w14:paraId="47EFE590">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25</w:t>
                  </w:r>
                </w:p>
              </w:tc>
              <w:tc>
                <w:tcPr>
                  <w:tcW w:w="639" w:type="pct"/>
                  <w:tcBorders>
                    <w:tl2br w:val="nil"/>
                    <w:tr2bl w:val="nil"/>
                  </w:tcBorders>
                  <w:shd w:val="clear" w:color="auto" w:fill="auto"/>
                  <w:vAlign w:val="center"/>
                </w:tcPr>
                <w:p w14:paraId="69243037">
                  <w:pPr>
                    <w:pStyle w:val="20"/>
                    <w:spacing w:before="31"/>
                    <w:rPr>
                      <w:rFonts w:hint="default"/>
                      <w:color w:val="auto"/>
                      <w:highlight w:val="none"/>
                      <w:lang w:val="en-US" w:eastAsia="zh-CN"/>
                    </w:rPr>
                  </w:pPr>
                  <w:r>
                    <w:rPr>
                      <w:rFonts w:hint="eastAsia"/>
                      <w:color w:val="auto"/>
                      <w:highlight w:val="none"/>
                      <w:lang w:val="en-US" w:eastAsia="zh-CN"/>
                    </w:rPr>
                    <w:t>25</w:t>
                  </w:r>
                </w:p>
              </w:tc>
              <w:tc>
                <w:tcPr>
                  <w:tcW w:w="706" w:type="pct"/>
                  <w:tcBorders>
                    <w:tl2br w:val="nil"/>
                    <w:tr2bl w:val="nil"/>
                  </w:tcBorders>
                  <w:shd w:val="clear" w:color="auto" w:fill="auto"/>
                  <w:vAlign w:val="center"/>
                </w:tcPr>
                <w:p w14:paraId="20D950CB">
                  <w:pPr>
                    <w:pStyle w:val="20"/>
                    <w:spacing w:before="31"/>
                    <w:rPr>
                      <w:rFonts w:hint="default" w:eastAsia="宋体"/>
                      <w:color w:val="auto"/>
                      <w:highlight w:val="none"/>
                      <w:lang w:val="en-US" w:eastAsia="zh-CN"/>
                    </w:rPr>
                  </w:pPr>
                  <w:r>
                    <w:rPr>
                      <w:rFonts w:hint="eastAsia"/>
                      <w:color w:val="auto"/>
                      <w:highlight w:val="none"/>
                      <w:lang w:val="en-US" w:eastAsia="zh-CN"/>
                    </w:rPr>
                    <w:t>25</w:t>
                  </w:r>
                </w:p>
              </w:tc>
            </w:tr>
            <w:tr w14:paraId="7EB45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88" w:type="pct"/>
                  <w:vMerge w:val="continue"/>
                  <w:tcBorders>
                    <w:tl2br w:val="nil"/>
                    <w:tr2bl w:val="nil"/>
                  </w:tcBorders>
                  <w:shd w:val="clear" w:color="auto" w:fill="auto"/>
                  <w:vAlign w:val="center"/>
                </w:tcPr>
                <w:p w14:paraId="7B0E58E7">
                  <w:pPr>
                    <w:pStyle w:val="20"/>
                    <w:spacing w:before="31"/>
                    <w:rPr>
                      <w:rFonts w:hint="eastAsia"/>
                      <w:color w:val="auto"/>
                      <w:highlight w:val="none"/>
                      <w:lang w:val="en-US" w:eastAsia="zh-CN"/>
                    </w:rPr>
                  </w:pPr>
                </w:p>
              </w:tc>
              <w:tc>
                <w:tcPr>
                  <w:tcW w:w="583" w:type="pct"/>
                  <w:tcBorders>
                    <w:tl2br w:val="nil"/>
                    <w:tr2bl w:val="nil"/>
                  </w:tcBorders>
                  <w:shd w:val="clear" w:color="auto" w:fill="auto"/>
                  <w:vAlign w:val="center"/>
                </w:tcPr>
                <w:p w14:paraId="49D489C2">
                  <w:pPr>
                    <w:pStyle w:val="20"/>
                    <w:spacing w:before="31"/>
                    <w:rPr>
                      <w:rFonts w:hint="default"/>
                      <w:color w:val="auto"/>
                      <w:highlight w:val="none"/>
                      <w:lang w:val="en-US" w:eastAsia="zh-CN"/>
                    </w:rPr>
                  </w:pPr>
                  <w:r>
                    <w:rPr>
                      <w:rFonts w:hint="eastAsia"/>
                      <w:color w:val="auto"/>
                      <w:highlight w:val="none"/>
                      <w:lang w:val="en-US" w:eastAsia="zh-CN"/>
                    </w:rPr>
                    <w:t>最大日</w:t>
                  </w:r>
                </w:p>
              </w:tc>
              <w:tc>
                <w:tcPr>
                  <w:tcW w:w="592" w:type="pct"/>
                  <w:tcBorders>
                    <w:tl2br w:val="nil"/>
                    <w:tr2bl w:val="nil"/>
                  </w:tcBorders>
                  <w:shd w:val="clear" w:color="auto" w:fill="auto"/>
                  <w:vAlign w:val="center"/>
                </w:tcPr>
                <w:p w14:paraId="4FAA3028">
                  <w:pPr>
                    <w:pStyle w:val="20"/>
                    <w:spacing w:before="31"/>
                    <w:rPr>
                      <w:rFonts w:hint="default" w:eastAsia="宋体"/>
                      <w:color w:val="auto"/>
                      <w:highlight w:val="none"/>
                      <w:lang w:val="en-US" w:eastAsia="zh-CN"/>
                    </w:rPr>
                  </w:pPr>
                  <w:r>
                    <w:rPr>
                      <w:rFonts w:hint="eastAsia"/>
                      <w:color w:val="auto"/>
                      <w:highlight w:val="none"/>
                      <w:lang w:val="en-US" w:eastAsia="zh-CN"/>
                    </w:rPr>
                    <w:t>/</w:t>
                  </w:r>
                </w:p>
              </w:tc>
              <w:tc>
                <w:tcPr>
                  <w:tcW w:w="798" w:type="pct"/>
                  <w:tcBorders>
                    <w:tl2br w:val="nil"/>
                    <w:tr2bl w:val="nil"/>
                  </w:tcBorders>
                  <w:shd w:val="clear" w:color="auto" w:fill="auto"/>
                  <w:vAlign w:val="center"/>
                </w:tcPr>
                <w:p w14:paraId="3F411A52">
                  <w:pPr>
                    <w:pStyle w:val="20"/>
                    <w:spacing w:before="31"/>
                    <w:rPr>
                      <w:rFonts w:hint="default"/>
                      <w:color w:val="auto"/>
                      <w:highlight w:val="none"/>
                      <w:lang w:val="en-US" w:eastAsia="zh-CN"/>
                    </w:rPr>
                  </w:pPr>
                  <w:r>
                    <w:rPr>
                      <w:rFonts w:hint="eastAsia"/>
                      <w:color w:val="auto"/>
                      <w:highlight w:val="none"/>
                      <w:lang w:val="en-US" w:eastAsia="zh-CN"/>
                    </w:rPr>
                    <w:t>/</w:t>
                  </w:r>
                </w:p>
              </w:tc>
              <w:tc>
                <w:tcPr>
                  <w:tcW w:w="595" w:type="pct"/>
                  <w:tcBorders>
                    <w:tl2br w:val="nil"/>
                    <w:tr2bl w:val="nil"/>
                  </w:tcBorders>
                  <w:shd w:val="clear" w:color="auto" w:fill="auto"/>
                  <w:vAlign w:val="center"/>
                </w:tcPr>
                <w:p w14:paraId="10A36E89">
                  <w:pPr>
                    <w:pStyle w:val="20"/>
                    <w:spacing w:before="31"/>
                    <w:rPr>
                      <w:rFonts w:hint="default"/>
                      <w:color w:val="auto"/>
                      <w:highlight w:val="none"/>
                      <w:lang w:val="en-US" w:eastAsia="zh-CN"/>
                    </w:rPr>
                  </w:pPr>
                  <w:r>
                    <w:rPr>
                      <w:rFonts w:hint="eastAsia"/>
                      <w:color w:val="auto"/>
                      <w:highlight w:val="none"/>
                      <w:lang w:val="en-US" w:eastAsia="zh-CN"/>
                    </w:rPr>
                    <w:t>/</w:t>
                  </w:r>
                </w:p>
              </w:tc>
              <w:tc>
                <w:tcPr>
                  <w:tcW w:w="795" w:type="pct"/>
                  <w:tcBorders>
                    <w:tl2br w:val="nil"/>
                    <w:tr2bl w:val="nil"/>
                  </w:tcBorders>
                  <w:shd w:val="clear" w:color="auto" w:fill="auto"/>
                  <w:vAlign w:val="center"/>
                </w:tcPr>
                <w:p w14:paraId="50553C16">
                  <w:pPr>
                    <w:pStyle w:val="20"/>
                    <w:spacing w:before="31"/>
                    <w:rPr>
                      <w:rFonts w:hint="default"/>
                      <w:color w:val="auto"/>
                      <w:highlight w:val="none"/>
                      <w:lang w:val="en-US" w:eastAsia="zh-CN"/>
                    </w:rPr>
                  </w:pPr>
                  <w:r>
                    <w:rPr>
                      <w:rFonts w:hint="eastAsia"/>
                      <w:color w:val="auto"/>
                      <w:highlight w:val="none"/>
                      <w:lang w:val="en-US" w:eastAsia="zh-CN"/>
                    </w:rPr>
                    <w:t>33.904</w:t>
                  </w:r>
                </w:p>
              </w:tc>
              <w:tc>
                <w:tcPr>
                  <w:tcW w:w="639" w:type="pct"/>
                  <w:tcBorders>
                    <w:tl2br w:val="nil"/>
                    <w:tr2bl w:val="nil"/>
                  </w:tcBorders>
                  <w:shd w:val="clear" w:color="auto" w:fill="auto"/>
                  <w:vAlign w:val="center"/>
                </w:tcPr>
                <w:p w14:paraId="62DF2F0F">
                  <w:pPr>
                    <w:pStyle w:val="20"/>
                    <w:spacing w:before="31"/>
                    <w:rPr>
                      <w:rFonts w:hint="default"/>
                      <w:color w:val="auto"/>
                      <w:highlight w:val="none"/>
                      <w:lang w:val="en-US" w:eastAsia="zh-CN"/>
                    </w:rPr>
                  </w:pPr>
                  <w:r>
                    <w:rPr>
                      <w:rFonts w:hint="eastAsia"/>
                      <w:color w:val="auto"/>
                      <w:highlight w:val="none"/>
                      <w:lang w:val="en-US" w:eastAsia="zh-CN"/>
                    </w:rPr>
                    <w:t>/</w:t>
                  </w:r>
                </w:p>
              </w:tc>
              <w:tc>
                <w:tcPr>
                  <w:tcW w:w="706" w:type="pct"/>
                  <w:tcBorders>
                    <w:tl2br w:val="nil"/>
                    <w:tr2bl w:val="nil"/>
                  </w:tcBorders>
                  <w:shd w:val="clear" w:color="auto" w:fill="auto"/>
                  <w:vAlign w:val="center"/>
                </w:tcPr>
                <w:p w14:paraId="557A1269">
                  <w:pPr>
                    <w:pStyle w:val="20"/>
                    <w:spacing w:before="31"/>
                    <w:rPr>
                      <w:rFonts w:hint="default"/>
                      <w:color w:val="auto"/>
                      <w:highlight w:val="none"/>
                      <w:lang w:val="en-US" w:eastAsia="zh-CN"/>
                    </w:rPr>
                  </w:pPr>
                  <w:r>
                    <w:rPr>
                      <w:rFonts w:hint="eastAsia"/>
                      <w:color w:val="auto"/>
                      <w:highlight w:val="none"/>
                      <w:lang w:val="en-US" w:eastAsia="zh-CN"/>
                    </w:rPr>
                    <w:t>25</w:t>
                  </w:r>
                </w:p>
              </w:tc>
            </w:tr>
            <w:tr w14:paraId="6FAF5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72" w:type="pct"/>
                  <w:gridSpan w:val="2"/>
                  <w:tcBorders>
                    <w:tl2br w:val="nil"/>
                    <w:tr2bl w:val="nil"/>
                  </w:tcBorders>
                  <w:shd w:val="clear" w:color="auto" w:fill="auto"/>
                  <w:vAlign w:val="center"/>
                </w:tcPr>
                <w:p w14:paraId="23273281">
                  <w:pPr>
                    <w:pStyle w:val="20"/>
                    <w:spacing w:before="31"/>
                    <w:rPr>
                      <w:rFonts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地面</w:t>
                  </w:r>
                  <w:r>
                    <w:rPr>
                      <w:rFonts w:hint="eastAsia"/>
                      <w:color w:val="auto"/>
                      <w:highlight w:val="none"/>
                    </w:rPr>
                    <w:t>清洗用水</w:t>
                  </w:r>
                </w:p>
              </w:tc>
              <w:tc>
                <w:tcPr>
                  <w:tcW w:w="592" w:type="pct"/>
                  <w:tcBorders>
                    <w:tl2br w:val="nil"/>
                    <w:tr2bl w:val="nil"/>
                  </w:tcBorders>
                  <w:shd w:val="clear" w:color="auto" w:fill="auto"/>
                  <w:vAlign w:val="center"/>
                </w:tcPr>
                <w:p w14:paraId="14DD6947">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eastAsia="zh-CN"/>
                    </w:rPr>
                    <w:t>0.5L/m</w:t>
                  </w:r>
                  <w:r>
                    <w:rPr>
                      <w:rFonts w:hint="eastAsia"/>
                      <w:color w:val="auto"/>
                      <w:highlight w:val="none"/>
                      <w:vertAlign w:val="superscript"/>
                      <w:lang w:eastAsia="zh-CN"/>
                    </w:rPr>
                    <w:t>2</w:t>
                  </w:r>
                  <w:r>
                    <w:rPr>
                      <w:rFonts w:hint="eastAsia"/>
                      <w:color w:val="auto"/>
                      <w:highlight w:val="none"/>
                      <w:lang w:eastAsia="zh-CN"/>
                    </w:rPr>
                    <w:t>·</w:t>
                  </w:r>
                  <w:r>
                    <w:rPr>
                      <w:rFonts w:hint="eastAsia"/>
                      <w:color w:val="auto"/>
                      <w:highlight w:val="none"/>
                      <w:lang w:val="en-US" w:eastAsia="zh-CN"/>
                    </w:rPr>
                    <w:t>d</w:t>
                  </w:r>
                </w:p>
              </w:tc>
              <w:tc>
                <w:tcPr>
                  <w:tcW w:w="798" w:type="pct"/>
                  <w:tcBorders>
                    <w:tl2br w:val="nil"/>
                    <w:tr2bl w:val="nil"/>
                  </w:tcBorders>
                  <w:shd w:val="clear" w:color="auto" w:fill="auto"/>
                  <w:vAlign w:val="center"/>
                </w:tcPr>
                <w:p w14:paraId="654A21BF">
                  <w:pPr>
                    <w:pStyle w:val="20"/>
                    <w:spacing w:before="31"/>
                    <w:rPr>
                      <w:rFonts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1500m</w:t>
                  </w:r>
                  <w:r>
                    <w:rPr>
                      <w:rFonts w:hint="eastAsia"/>
                      <w:color w:val="auto"/>
                      <w:highlight w:val="none"/>
                      <w:vertAlign w:val="superscript"/>
                      <w:lang w:val="en-US" w:eastAsia="zh-CN"/>
                    </w:rPr>
                    <w:t>2</w:t>
                  </w:r>
                  <w:r>
                    <w:rPr>
                      <w:rFonts w:hint="eastAsia"/>
                      <w:color w:val="auto"/>
                      <w:highlight w:val="none"/>
                      <w:lang w:val="en-US" w:eastAsia="zh-CN"/>
                    </w:rPr>
                    <w:t>，</w:t>
                  </w:r>
                  <w:r>
                    <w:rPr>
                      <w:rFonts w:hint="eastAsia"/>
                      <w:color w:val="auto"/>
                      <w:highlight w:val="none"/>
                    </w:rPr>
                    <w:t>300d/a</w:t>
                  </w:r>
                </w:p>
              </w:tc>
              <w:tc>
                <w:tcPr>
                  <w:tcW w:w="595" w:type="pct"/>
                  <w:tcBorders>
                    <w:tl2br w:val="nil"/>
                    <w:tr2bl w:val="nil"/>
                  </w:tcBorders>
                  <w:shd w:val="clear" w:color="auto" w:fill="auto"/>
                  <w:vAlign w:val="center"/>
                </w:tcPr>
                <w:p w14:paraId="603398B1">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225</w:t>
                  </w:r>
                </w:p>
              </w:tc>
              <w:tc>
                <w:tcPr>
                  <w:tcW w:w="795" w:type="pct"/>
                  <w:tcBorders>
                    <w:tl2br w:val="nil"/>
                    <w:tr2bl w:val="nil"/>
                  </w:tcBorders>
                  <w:shd w:val="clear" w:color="auto" w:fill="auto"/>
                  <w:vAlign w:val="center"/>
                </w:tcPr>
                <w:p w14:paraId="2C1649E6">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0.75</w:t>
                  </w:r>
                </w:p>
              </w:tc>
              <w:tc>
                <w:tcPr>
                  <w:tcW w:w="639" w:type="pct"/>
                  <w:tcBorders>
                    <w:tl2br w:val="nil"/>
                    <w:tr2bl w:val="nil"/>
                  </w:tcBorders>
                  <w:shd w:val="clear" w:color="auto" w:fill="auto"/>
                  <w:vAlign w:val="center"/>
                </w:tcPr>
                <w:p w14:paraId="26FF47D7">
                  <w:pPr>
                    <w:pStyle w:val="20"/>
                    <w:spacing w:before="31"/>
                    <w:rPr>
                      <w:rFonts w:hint="default"/>
                      <w:color w:val="auto"/>
                      <w:highlight w:val="none"/>
                      <w:lang w:val="en-US" w:eastAsia="zh-CN"/>
                    </w:rPr>
                  </w:pPr>
                  <w:r>
                    <w:rPr>
                      <w:rFonts w:hint="eastAsia"/>
                      <w:color w:val="auto"/>
                      <w:highlight w:val="none"/>
                      <w:lang w:val="en-US" w:eastAsia="zh-CN"/>
                    </w:rPr>
                    <w:t>202.5</w:t>
                  </w:r>
                </w:p>
              </w:tc>
              <w:tc>
                <w:tcPr>
                  <w:tcW w:w="706" w:type="pct"/>
                  <w:tcBorders>
                    <w:tl2br w:val="nil"/>
                    <w:tr2bl w:val="nil"/>
                  </w:tcBorders>
                  <w:shd w:val="clear" w:color="auto" w:fill="auto"/>
                  <w:vAlign w:val="center"/>
                </w:tcPr>
                <w:p w14:paraId="713CF1EA">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0.675</w:t>
                  </w:r>
                </w:p>
              </w:tc>
            </w:tr>
            <w:tr w14:paraId="1F59B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72" w:type="pct"/>
                  <w:gridSpan w:val="2"/>
                  <w:tcBorders>
                    <w:tl2br w:val="nil"/>
                    <w:tr2bl w:val="nil"/>
                  </w:tcBorders>
                  <w:shd w:val="clear" w:color="auto" w:fill="auto"/>
                  <w:vAlign w:val="center"/>
                </w:tcPr>
                <w:p w14:paraId="68C7660A">
                  <w:pPr>
                    <w:pStyle w:val="20"/>
                    <w:spacing w:before="31"/>
                    <w:rPr>
                      <w:color w:val="auto"/>
                      <w:highlight w:val="none"/>
                    </w:rPr>
                  </w:pPr>
                  <w:r>
                    <w:rPr>
                      <w:rFonts w:hint="eastAsia"/>
                      <w:color w:val="auto"/>
                      <w:highlight w:val="none"/>
                    </w:rPr>
                    <w:t>合计</w:t>
                  </w:r>
                </w:p>
              </w:tc>
              <w:tc>
                <w:tcPr>
                  <w:tcW w:w="592" w:type="pct"/>
                  <w:tcBorders>
                    <w:tl2br w:val="nil"/>
                    <w:tr2bl w:val="nil"/>
                  </w:tcBorders>
                  <w:shd w:val="clear" w:color="auto" w:fill="auto"/>
                  <w:vAlign w:val="center"/>
                </w:tcPr>
                <w:p w14:paraId="6B5E96DD">
                  <w:pPr>
                    <w:pStyle w:val="20"/>
                    <w:spacing w:before="31"/>
                    <w:rPr>
                      <w:color w:val="auto"/>
                      <w:highlight w:val="none"/>
                    </w:rPr>
                  </w:pPr>
                  <w:r>
                    <w:rPr>
                      <w:rFonts w:hint="eastAsia"/>
                      <w:color w:val="auto"/>
                      <w:highlight w:val="none"/>
                    </w:rPr>
                    <w:t>/</w:t>
                  </w:r>
                </w:p>
              </w:tc>
              <w:tc>
                <w:tcPr>
                  <w:tcW w:w="798" w:type="pct"/>
                  <w:tcBorders>
                    <w:tl2br w:val="nil"/>
                    <w:tr2bl w:val="nil"/>
                  </w:tcBorders>
                  <w:shd w:val="clear" w:color="auto" w:fill="auto"/>
                  <w:vAlign w:val="center"/>
                </w:tcPr>
                <w:p w14:paraId="42A18F4B">
                  <w:pPr>
                    <w:pStyle w:val="20"/>
                    <w:spacing w:before="31"/>
                    <w:rPr>
                      <w:color w:val="auto"/>
                      <w:highlight w:val="none"/>
                    </w:rPr>
                  </w:pPr>
                  <w:r>
                    <w:rPr>
                      <w:rFonts w:hint="eastAsia"/>
                      <w:color w:val="auto"/>
                      <w:highlight w:val="none"/>
                    </w:rPr>
                    <w:t>/</w:t>
                  </w:r>
                </w:p>
              </w:tc>
              <w:tc>
                <w:tcPr>
                  <w:tcW w:w="595" w:type="pct"/>
                  <w:tcBorders>
                    <w:tl2br w:val="nil"/>
                    <w:tr2bl w:val="nil"/>
                  </w:tcBorders>
                  <w:shd w:val="clear" w:color="auto" w:fill="auto"/>
                  <w:vAlign w:val="center"/>
                </w:tcPr>
                <w:p w14:paraId="768B8775">
                  <w:pPr>
                    <w:pStyle w:val="20"/>
                    <w:spacing w:before="31"/>
                    <w:rPr>
                      <w:rFonts w:hint="default" w:eastAsia="宋体"/>
                      <w:color w:val="auto"/>
                      <w:highlight w:val="none"/>
                      <w:lang w:val="en-US" w:eastAsia="zh-CN"/>
                    </w:rPr>
                  </w:pPr>
                  <w:r>
                    <w:rPr>
                      <w:rFonts w:hint="eastAsia"/>
                      <w:color w:val="auto"/>
                      <w:highlight w:val="none"/>
                      <w:lang w:val="en-US" w:eastAsia="zh-CN"/>
                    </w:rPr>
                    <w:t>4280.464</w:t>
                  </w:r>
                </w:p>
              </w:tc>
              <w:tc>
                <w:tcPr>
                  <w:tcW w:w="795" w:type="pct"/>
                  <w:tcBorders>
                    <w:tl2br w:val="nil"/>
                    <w:tr2bl w:val="nil"/>
                  </w:tcBorders>
                  <w:shd w:val="clear" w:color="auto" w:fill="auto"/>
                  <w:vAlign w:val="center"/>
                </w:tcPr>
                <w:p w14:paraId="4E6049B3">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37.654</w:t>
                  </w:r>
                  <w:r>
                    <w:rPr>
                      <w:rFonts w:hint="eastAsia"/>
                      <w:color w:val="auto"/>
                      <w:highlight w:val="none"/>
                      <w:lang w:eastAsia="zh-CN"/>
                    </w:rPr>
                    <w:t>m</w:t>
                  </w:r>
                  <w:r>
                    <w:rPr>
                      <w:rFonts w:hint="eastAsia"/>
                      <w:color w:val="auto"/>
                      <w:highlight w:val="none"/>
                      <w:vertAlign w:val="superscript"/>
                      <w:lang w:val="en-US" w:eastAsia="zh-CN"/>
                    </w:rPr>
                    <w:t>3</w:t>
                  </w:r>
                  <w:r>
                    <w:rPr>
                      <w:rFonts w:hint="eastAsia"/>
                      <w:color w:val="auto"/>
                      <w:highlight w:val="none"/>
                      <w:lang w:eastAsia="zh-CN"/>
                    </w:rPr>
                    <w:t>/d</w:t>
                  </w:r>
                  <w:r>
                    <w:rPr>
                      <w:rFonts w:hint="eastAsia"/>
                      <w:color w:val="auto"/>
                      <w:highlight w:val="none"/>
                      <w:lang w:val="en-US" w:eastAsia="zh-CN"/>
                    </w:rPr>
                    <w:t>（</w:t>
                  </w:r>
                  <w:r>
                    <w:rPr>
                      <w:rFonts w:hint="eastAsia"/>
                      <w:color w:val="auto"/>
                      <w:highlight w:val="none"/>
                      <w:lang w:eastAsia="zh-CN"/>
                    </w:rPr>
                    <w:t>max）</w:t>
                  </w:r>
                  <w:r>
                    <w:rPr>
                      <w:rFonts w:hint="eastAsia"/>
                      <w:color w:val="auto"/>
                      <w:highlight w:val="none"/>
                      <w:lang w:eastAsia="zh-CN"/>
                    </w:rPr>
                    <w:br w:type="textWrapping"/>
                  </w:r>
                  <w:r>
                    <w:rPr>
                      <w:rFonts w:hint="eastAsia"/>
                      <w:color w:val="auto"/>
                      <w:highlight w:val="none"/>
                      <w:lang w:val="en-US" w:eastAsia="zh-CN"/>
                    </w:rPr>
                    <w:t>14.268</w:t>
                  </w:r>
                  <w:r>
                    <w:rPr>
                      <w:rFonts w:hint="eastAsia"/>
                      <w:color w:val="auto"/>
                      <w:highlight w:val="none"/>
                      <w:lang w:eastAsia="zh-CN"/>
                    </w:rPr>
                    <w:t>m</w:t>
                  </w:r>
                  <w:r>
                    <w:rPr>
                      <w:rFonts w:hint="eastAsia"/>
                      <w:color w:val="auto"/>
                      <w:highlight w:val="none"/>
                      <w:vertAlign w:val="superscript"/>
                      <w:lang w:val="en-US" w:eastAsia="zh-CN"/>
                    </w:rPr>
                    <w:t>3</w:t>
                  </w:r>
                  <w:r>
                    <w:rPr>
                      <w:rFonts w:hint="eastAsia"/>
                      <w:color w:val="auto"/>
                      <w:highlight w:val="none"/>
                      <w:lang w:eastAsia="zh-CN"/>
                    </w:rPr>
                    <w:t>/d（</w:t>
                  </w:r>
                  <w:r>
                    <w:rPr>
                      <w:rFonts w:hint="eastAsia"/>
                      <w:color w:val="auto"/>
                      <w:highlight w:val="none"/>
                      <w:lang w:val="en-US" w:eastAsia="zh-CN"/>
                    </w:rPr>
                    <w:t>avg）</w:t>
                  </w:r>
                </w:p>
              </w:tc>
              <w:tc>
                <w:tcPr>
                  <w:tcW w:w="639" w:type="pct"/>
                  <w:tcBorders>
                    <w:tl2br w:val="nil"/>
                    <w:tr2bl w:val="nil"/>
                  </w:tcBorders>
                  <w:shd w:val="clear" w:color="auto" w:fill="auto"/>
                  <w:vAlign w:val="center"/>
                </w:tcPr>
                <w:p w14:paraId="6C064F9D">
                  <w:pPr>
                    <w:pStyle w:val="20"/>
                    <w:spacing w:before="31"/>
                    <w:rPr>
                      <w:rFonts w:hint="default"/>
                      <w:color w:val="auto"/>
                      <w:highlight w:val="none"/>
                      <w:lang w:val="en-US" w:eastAsia="zh-CN"/>
                    </w:rPr>
                  </w:pPr>
                  <w:r>
                    <w:rPr>
                      <w:rFonts w:hint="eastAsia"/>
                      <w:color w:val="auto"/>
                      <w:highlight w:val="none"/>
                      <w:lang w:val="en-US" w:eastAsia="zh-CN"/>
                    </w:rPr>
                    <w:t>1496.764</w:t>
                  </w:r>
                </w:p>
              </w:tc>
              <w:tc>
                <w:tcPr>
                  <w:tcW w:w="706" w:type="pct"/>
                  <w:tcBorders>
                    <w:tl2br w:val="nil"/>
                    <w:tr2bl w:val="nil"/>
                  </w:tcBorders>
                  <w:shd w:val="clear" w:color="auto" w:fill="auto"/>
                  <w:vAlign w:val="center"/>
                </w:tcPr>
                <w:p w14:paraId="07EAC8B1">
                  <w:pPr>
                    <w:pStyle w:val="20"/>
                    <w:spacing w:before="31"/>
                    <w:rPr>
                      <w:rFonts w:hint="default" w:eastAsia="宋体"/>
                      <w:color w:val="auto"/>
                      <w:highlight w:val="none"/>
                      <w:lang w:val="en-US" w:eastAsia="zh-CN"/>
                    </w:rPr>
                  </w:pPr>
                  <w:r>
                    <w:rPr>
                      <w:rFonts w:hint="eastAsia"/>
                      <w:color w:val="auto"/>
                      <w:highlight w:val="none"/>
                      <w:lang w:val="en-US" w:eastAsia="zh-CN"/>
                    </w:rPr>
                    <w:t>28.375</w:t>
                  </w:r>
                  <w:r>
                    <w:rPr>
                      <w:rFonts w:hint="eastAsia"/>
                      <w:color w:val="auto"/>
                      <w:szCs w:val="24"/>
                      <w:highlight w:val="none"/>
                      <w:lang w:val="en-US" w:eastAsia="zh-CN"/>
                    </w:rPr>
                    <w:t>m</w:t>
                  </w:r>
                  <w:r>
                    <w:rPr>
                      <w:rFonts w:hint="eastAsia"/>
                      <w:color w:val="auto"/>
                      <w:szCs w:val="24"/>
                      <w:highlight w:val="none"/>
                      <w:vertAlign w:val="superscript"/>
                      <w:lang w:val="en-US" w:eastAsia="zh-CN"/>
                    </w:rPr>
                    <w:t>3</w:t>
                  </w:r>
                  <w:r>
                    <w:rPr>
                      <w:rFonts w:hint="eastAsia"/>
                      <w:color w:val="auto"/>
                      <w:highlight w:val="none"/>
                      <w:lang w:val="en-US" w:eastAsia="zh-CN"/>
                    </w:rPr>
                    <w:t>/d（</w:t>
                  </w:r>
                  <w:r>
                    <w:rPr>
                      <w:rFonts w:hint="eastAsia"/>
                      <w:color w:val="auto"/>
                      <w:highlight w:val="none"/>
                      <w:lang w:eastAsia="zh-CN"/>
                    </w:rPr>
                    <w:t>max）</w:t>
                  </w:r>
                  <w:r>
                    <w:rPr>
                      <w:rFonts w:hint="eastAsia"/>
                      <w:color w:val="auto"/>
                      <w:highlight w:val="none"/>
                      <w:lang w:eastAsia="zh-CN"/>
                    </w:rPr>
                    <w:br w:type="textWrapping"/>
                  </w:r>
                  <w:r>
                    <w:rPr>
                      <w:rFonts w:hint="eastAsia"/>
                      <w:color w:val="auto"/>
                      <w:highlight w:val="none"/>
                      <w:lang w:val="en-US" w:eastAsia="zh-CN"/>
                    </w:rPr>
                    <w:t>4.989</w:t>
                  </w:r>
                  <w:r>
                    <w:rPr>
                      <w:rFonts w:hint="eastAsia"/>
                      <w:color w:val="auto"/>
                      <w:highlight w:val="none"/>
                      <w:lang w:eastAsia="zh-CN"/>
                    </w:rPr>
                    <w:t>m</w:t>
                  </w:r>
                  <w:r>
                    <w:rPr>
                      <w:rFonts w:hint="eastAsia"/>
                      <w:color w:val="auto"/>
                      <w:highlight w:val="none"/>
                      <w:vertAlign w:val="superscript"/>
                      <w:lang w:val="en-US" w:eastAsia="zh-CN"/>
                    </w:rPr>
                    <w:t>3</w:t>
                  </w:r>
                  <w:r>
                    <w:rPr>
                      <w:rFonts w:hint="eastAsia"/>
                      <w:color w:val="auto"/>
                      <w:highlight w:val="none"/>
                      <w:lang w:eastAsia="zh-CN"/>
                    </w:rPr>
                    <w:t>/d（</w:t>
                  </w:r>
                  <w:r>
                    <w:rPr>
                      <w:rFonts w:hint="eastAsia"/>
                      <w:color w:val="auto"/>
                      <w:highlight w:val="none"/>
                      <w:lang w:val="en-US" w:eastAsia="zh-CN"/>
                    </w:rPr>
                    <w:t>avg）</w:t>
                  </w:r>
                </w:p>
              </w:tc>
            </w:tr>
          </w:tbl>
          <w:p w14:paraId="365AFAE0">
            <w:pPr>
              <w:pStyle w:val="18"/>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color w:val="auto"/>
                <w:highlight w:val="none"/>
                <w:lang w:val="en-US" w:eastAsia="zh-CN"/>
              </w:rPr>
            </w:pPr>
            <w:r>
              <w:rPr>
                <w:rFonts w:hint="eastAsia"/>
                <w:color w:val="auto"/>
                <w:highlight w:val="none"/>
              </w:rPr>
              <w:object>
                <v:shape id="_x0000_i1025" o:spt="75" type="#_x0000_t75" style="height:153.3pt;width:350.6pt;" o:ole="t" filled="f" o:preferrelative="t" stroked="f" coordsize="21600,21600">
                  <v:path/>
                  <v:fill on="f" focussize="0,0"/>
                  <v:stroke on="f"/>
                  <v:imagedata r:id="rId20" cropleft="7903f" croptop="9573f" cropright="15679f" cropbottom="42945f" o:title=""/>
                  <o:lock v:ext="edit" aspectratio="t"/>
                  <w10:wrap type="none"/>
                  <w10:anchorlock/>
                </v:shape>
                <o:OLEObject Type="Embed" ProgID="Visio.Drawing.15" ShapeID="_x0000_i1025" DrawAspect="Content" ObjectID="_1468075725" r:id="rId19">
                  <o:LockedField>false</o:LockedField>
                </o:OLEObject>
              </w:object>
            </w:r>
          </w:p>
          <w:p w14:paraId="67F8E66F">
            <w:pPr>
              <w:pStyle w:val="25"/>
              <w:keepNext w:val="0"/>
              <w:keepLines w:val="0"/>
              <w:pageBreakBefore w:val="0"/>
              <w:suppressLineNumbers w:val="0"/>
              <w:kinsoku/>
              <w:wordWrap/>
              <w:overflowPunct/>
              <w:topLinePunct w:val="0"/>
              <w:autoSpaceDE/>
              <w:autoSpaceDN/>
              <w:bidi w:val="0"/>
              <w:adjustRightInd/>
              <w:snapToGrid/>
              <w:spacing w:before="0" w:beforeAutospacing="0" w:afterAutospacing="0" w:line="240" w:lineRule="auto"/>
              <w:ind w:left="0" w:right="0"/>
              <w:textAlignment w:val="auto"/>
              <w:rPr>
                <w:rFonts w:hint="eastAsia"/>
                <w:color w:val="auto"/>
                <w:highlight w:val="none"/>
                <w:lang w:val="en-US" w:eastAsia="zh-CN"/>
              </w:rPr>
            </w:pPr>
            <w:bookmarkStart w:id="20" w:name="_Ref5260"/>
            <w:r>
              <w:rPr>
                <w:rFonts w:hint="default"/>
                <w:color w:val="auto"/>
                <w:highlight w:val="none"/>
              </w:rPr>
              <w:t>图2-</w:t>
            </w:r>
            <w:r>
              <w:rPr>
                <w:rFonts w:hint="default"/>
                <w:color w:val="auto"/>
                <w:highlight w:val="none"/>
              </w:rPr>
              <w:fldChar w:fldCharType="begin"/>
            </w:r>
            <w:r>
              <w:rPr>
                <w:rFonts w:hint="default"/>
                <w:color w:val="auto"/>
                <w:highlight w:val="none"/>
              </w:rPr>
              <w:instrText xml:space="preserve"> SEQ 图2- \* ARABIC </w:instrText>
            </w:r>
            <w:r>
              <w:rPr>
                <w:rFonts w:hint="default"/>
                <w:color w:val="auto"/>
                <w:highlight w:val="none"/>
              </w:rPr>
              <w:fldChar w:fldCharType="separate"/>
            </w:r>
            <w:r>
              <w:rPr>
                <w:rFonts w:hint="default"/>
                <w:color w:val="auto"/>
                <w:highlight w:val="none"/>
              </w:rPr>
              <w:t>1</w:t>
            </w:r>
            <w:r>
              <w:rPr>
                <w:rFonts w:hint="default"/>
                <w:color w:val="auto"/>
                <w:highlight w:val="none"/>
              </w:rPr>
              <w:fldChar w:fldCharType="end"/>
            </w:r>
            <w:bookmarkEnd w:id="20"/>
            <w:r>
              <w:rPr>
                <w:rFonts w:hint="eastAsia"/>
                <w:color w:val="auto"/>
                <w:highlight w:val="none"/>
                <w:lang w:val="en-US" w:eastAsia="zh-CN"/>
              </w:rPr>
              <w:t xml:space="preserve">  </w:t>
            </w:r>
            <w:r>
              <w:rPr>
                <w:rFonts w:hint="eastAsia"/>
                <w:color w:val="auto"/>
                <w:highlight w:val="none"/>
              </w:rPr>
              <w:t>项目最大日水平衡图（m</w:t>
            </w:r>
            <w:r>
              <w:rPr>
                <w:rFonts w:hint="eastAsia"/>
                <w:color w:val="auto"/>
                <w:highlight w:val="none"/>
                <w:vertAlign w:val="superscript"/>
              </w:rPr>
              <w:t>3</w:t>
            </w:r>
            <w:r>
              <w:rPr>
                <w:rFonts w:hint="eastAsia"/>
                <w:color w:val="auto"/>
                <w:highlight w:val="none"/>
              </w:rPr>
              <w:t>/</w:t>
            </w:r>
            <w:r>
              <w:rPr>
                <w:rFonts w:hint="eastAsia"/>
                <w:color w:val="auto"/>
                <w:highlight w:val="none"/>
                <w:lang w:val="en-US" w:eastAsia="zh-CN"/>
              </w:rPr>
              <w:t>d</w:t>
            </w:r>
            <w:r>
              <w:rPr>
                <w:rFonts w:hint="eastAsia"/>
                <w:color w:val="auto"/>
                <w:highlight w:val="none"/>
              </w:rPr>
              <w:t>）</w:t>
            </w:r>
          </w:p>
        </w:tc>
      </w:tr>
    </w:tbl>
    <w:p w14:paraId="246E2A0E">
      <w:pPr>
        <w:keepNext w:val="0"/>
        <w:keepLines w:val="0"/>
        <w:pageBreakBefore w:val="0"/>
        <w:widowControl w:val="0"/>
        <w:kinsoku/>
        <w:wordWrap/>
        <w:overflowPunct/>
        <w:topLinePunct w:val="0"/>
        <w:autoSpaceDE/>
        <w:autoSpaceDN/>
        <w:bidi w:val="0"/>
        <w:adjustRightInd/>
        <w:snapToGrid/>
        <w:spacing w:line="40" w:lineRule="exact"/>
        <w:textAlignment w:val="auto"/>
        <w:outlineLvl w:val="0"/>
        <w:rPr>
          <w:rFonts w:hint="eastAsia"/>
          <w:color w:val="auto"/>
          <w:sz w:val="22"/>
          <w:szCs w:val="22"/>
          <w:highlight w:val="none"/>
        </w:rPr>
      </w:pPr>
      <w:r>
        <w:rPr>
          <w:rFonts w:hint="eastAsia"/>
          <w:color w:val="auto"/>
          <w:sz w:val="22"/>
          <w:szCs w:val="22"/>
          <w:highlight w:val="none"/>
          <w:lang w:val="en-US" w:eastAsia="zh-CN"/>
        </w:rPr>
        <w:t>工艺</w:t>
      </w:r>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45"/>
        <w:gridCol w:w="8447"/>
      </w:tblGrid>
      <w:tr w14:paraId="15C90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55" w:type="pct"/>
            <w:vAlign w:val="center"/>
          </w:tcPr>
          <w:p w14:paraId="33B99B66">
            <w:pPr>
              <w:pStyle w:val="24"/>
              <w:bidi w:val="0"/>
              <w:rPr>
                <w:color w:val="auto"/>
                <w:highlight w:val="none"/>
                <w:vertAlign w:val="baseline"/>
              </w:rPr>
            </w:pPr>
            <w:r>
              <w:rPr>
                <w:rFonts w:hint="eastAsia"/>
                <w:b/>
                <w:bCs/>
                <w:color w:val="auto"/>
                <w:highlight w:val="none"/>
                <w:lang w:val="en-US" w:eastAsia="zh-CN"/>
              </w:rPr>
              <w:t>工艺流程和产排污环节</w:t>
            </w:r>
          </w:p>
        </w:tc>
        <w:tc>
          <w:tcPr>
            <w:tcW w:w="4644" w:type="pct"/>
          </w:tcPr>
          <w:p w14:paraId="76956503">
            <w:pPr>
              <w:pStyle w:val="2"/>
              <w:numPr>
                <w:ilvl w:val="0"/>
                <w:numId w:val="4"/>
              </w:numPr>
              <w:spacing w:before="156"/>
              <w:rPr>
                <w:color w:val="auto"/>
                <w:highlight w:val="none"/>
              </w:rPr>
            </w:pPr>
            <w:r>
              <w:rPr>
                <w:rFonts w:hint="eastAsia"/>
                <w:color w:val="auto"/>
                <w:highlight w:val="none"/>
              </w:rPr>
              <w:t>施工期</w:t>
            </w:r>
          </w:p>
          <w:p w14:paraId="048319D0">
            <w:pPr>
              <w:pStyle w:val="18"/>
              <w:rPr>
                <w:color w:val="auto"/>
                <w:highlight w:val="none"/>
              </w:rPr>
            </w:pPr>
            <w:r>
              <w:rPr>
                <w:rFonts w:hint="eastAsia"/>
                <w:color w:val="auto"/>
                <w:highlight w:val="none"/>
                <w:lang w:val="en-US" w:eastAsia="zh-CN"/>
              </w:rPr>
              <w:t>扩建</w:t>
            </w:r>
            <w:r>
              <w:rPr>
                <w:rFonts w:hint="eastAsia"/>
                <w:color w:val="auto"/>
                <w:highlight w:val="none"/>
              </w:rPr>
              <w:t>项目施工期主要是</w:t>
            </w:r>
            <w:r>
              <w:rPr>
                <w:rFonts w:hint="eastAsia"/>
                <w:color w:val="auto"/>
                <w:highlight w:val="none"/>
                <w:lang w:val="en-US" w:eastAsia="zh-CN"/>
              </w:rPr>
              <w:t>租用已建</w:t>
            </w:r>
            <w:r>
              <w:rPr>
                <w:rFonts w:hint="eastAsia"/>
                <w:color w:val="auto"/>
                <w:highlight w:val="none"/>
              </w:rPr>
              <w:t>厂房进行</w:t>
            </w:r>
            <w:r>
              <w:rPr>
                <w:rFonts w:hint="eastAsia"/>
                <w:color w:val="auto"/>
                <w:highlight w:val="none"/>
                <w:lang w:val="en-US" w:eastAsia="zh-CN"/>
              </w:rPr>
              <w:t>生产线改造以及新增</w:t>
            </w:r>
            <w:r>
              <w:rPr>
                <w:rFonts w:hint="eastAsia"/>
                <w:color w:val="auto"/>
                <w:highlight w:val="none"/>
              </w:rPr>
              <w:t>设备安装，工期较短，</w:t>
            </w:r>
            <w:r>
              <w:rPr>
                <w:rFonts w:hint="eastAsia"/>
                <w:color w:val="auto"/>
                <w:highlight w:val="none"/>
                <w:lang w:val="en-US" w:eastAsia="zh-CN"/>
              </w:rPr>
              <w:t>无</w:t>
            </w:r>
            <w:r>
              <w:rPr>
                <w:rFonts w:hint="eastAsia"/>
                <w:color w:val="auto"/>
                <w:highlight w:val="none"/>
              </w:rPr>
              <w:t>土建施工，施工活动对周边环境影响较小。</w:t>
            </w:r>
          </w:p>
          <w:p w14:paraId="3570C65C">
            <w:pPr>
              <w:pStyle w:val="18"/>
              <w:rPr>
                <w:color w:val="auto"/>
                <w:highlight w:val="none"/>
              </w:rPr>
            </w:pPr>
            <w:r>
              <w:rPr>
                <w:rFonts w:hint="eastAsia"/>
                <w:color w:val="auto"/>
                <w:highlight w:val="none"/>
              </w:rPr>
              <w:t>施工期废气主要是运输车辆产生的尾气，施工期废水主要为施工人员的生活污水，施工期噪声主要来源于施工现场各类机械设备和物料运输的交通噪声，施工期固体废物主要为</w:t>
            </w:r>
            <w:r>
              <w:rPr>
                <w:rFonts w:hint="eastAsia"/>
                <w:color w:val="auto"/>
                <w:highlight w:val="none"/>
                <w:lang w:val="en-US" w:eastAsia="zh-CN"/>
              </w:rPr>
              <w:t>改造过程中产生的建筑垃圾以及设备</w:t>
            </w:r>
            <w:r>
              <w:rPr>
                <w:rFonts w:hint="eastAsia"/>
                <w:color w:val="auto"/>
                <w:highlight w:val="none"/>
              </w:rPr>
              <w:t>安装过程中产生的固体废物和施工人员的生活垃圾。</w:t>
            </w:r>
          </w:p>
          <w:p w14:paraId="5EA66BFA">
            <w:pPr>
              <w:pStyle w:val="2"/>
              <w:numPr>
                <w:ilvl w:val="0"/>
                <w:numId w:val="4"/>
              </w:numPr>
              <w:spacing w:before="156"/>
              <w:rPr>
                <w:color w:val="auto"/>
                <w:highlight w:val="none"/>
              </w:rPr>
            </w:pPr>
            <w:bookmarkStart w:id="21" w:name="工艺"/>
            <w:r>
              <w:rPr>
                <w:rFonts w:hint="eastAsia"/>
                <w:color w:val="auto"/>
                <w:highlight w:val="none"/>
              </w:rPr>
              <w:t>运营期</w:t>
            </w:r>
          </w:p>
          <w:bookmarkEnd w:id="21"/>
          <w:p w14:paraId="0BFA81B1">
            <w:pPr>
              <w:pStyle w:val="18"/>
              <w:rPr>
                <w:rFonts w:hint="default"/>
                <w:color w:val="auto"/>
                <w:highlight w:val="none"/>
                <w:lang w:val="en-US"/>
              </w:rPr>
            </w:pPr>
            <w:r>
              <w:rPr>
                <w:rFonts w:hint="eastAsia"/>
                <w:color w:val="auto"/>
                <w:highlight w:val="none"/>
                <w:lang w:eastAsia="zh-CN"/>
              </w:rPr>
              <w:t>扩建项目</w:t>
            </w:r>
            <w:r>
              <w:rPr>
                <w:rFonts w:hint="eastAsia"/>
                <w:color w:val="auto"/>
                <w:highlight w:val="none"/>
                <w:lang w:val="en-US" w:eastAsia="zh-CN"/>
              </w:rPr>
              <w:t>不同产品生产工艺基本一致，仅谐振器产品需使用平板焊接，项目生产工艺及产污环节示意图如下：</w:t>
            </w:r>
          </w:p>
          <w:p w14:paraId="03DB86CC">
            <w:pPr>
              <w:pStyle w:val="18"/>
              <w:keepNext w:val="0"/>
              <w:keepLines w:val="0"/>
              <w:pageBreakBefore w:val="0"/>
              <w:widowControl/>
              <w:kinsoku/>
              <w:wordWrap/>
              <w:overflowPunct/>
              <w:topLinePunct w:val="0"/>
              <w:autoSpaceDE/>
              <w:autoSpaceDN/>
              <w:bidi w:val="0"/>
              <w:adjustRightInd/>
              <w:snapToGrid/>
              <w:ind w:firstLine="0" w:firstLineChars="0"/>
              <w:jc w:val="center"/>
              <w:textAlignment w:val="auto"/>
              <w:rPr>
                <w:color w:val="auto"/>
                <w:highlight w:val="none"/>
              </w:rPr>
            </w:pPr>
            <w:r>
              <w:rPr>
                <w:rFonts w:hint="eastAsia"/>
                <w:color w:val="auto"/>
                <w:highlight w:val="none"/>
              </w:rPr>
              <w:object>
                <v:shape id="_x0000_i1026" o:spt="75" type="#_x0000_t75" style="height:155.15pt;width:346.35pt;" o:ole="t" filled="f" o:preferrelative="t" stroked="f" coordsize="21600,21600">
                  <v:path/>
                  <v:fill on="f" focussize="0,0"/>
                  <v:stroke on="f"/>
                  <v:imagedata r:id="rId22" cropleft="3896f" croptop="8855f" cropright="15983f" cropbottom="41091f" o:title=""/>
                  <o:lock v:ext="edit" aspectratio="t"/>
                  <w10:wrap type="none"/>
                  <w10:anchorlock/>
                </v:shape>
                <o:OLEObject Type="Embed" ProgID="Visio.Drawing.15" ShapeID="_x0000_i1026" DrawAspect="Content" ObjectID="_1468075726" r:id="rId21">
                  <o:LockedField>false</o:LockedField>
                </o:OLEObject>
              </w:object>
            </w:r>
          </w:p>
          <w:p w14:paraId="17AC2DDC">
            <w:pPr>
              <w:pStyle w:val="25"/>
              <w:spacing w:after="156" w:line="240" w:lineRule="auto"/>
              <w:rPr>
                <w:color w:val="auto"/>
                <w:highlight w:val="none"/>
              </w:rPr>
            </w:pPr>
            <w:bookmarkStart w:id="22" w:name="_Ref19654"/>
            <w:r>
              <w:rPr>
                <w:rFonts w:hint="eastAsia"/>
                <w:color w:val="auto"/>
                <w:highlight w:val="none"/>
              </w:rPr>
              <w:t>图2-</w:t>
            </w:r>
            <w:r>
              <w:rPr>
                <w:rFonts w:hint="eastAsia"/>
                <w:color w:val="auto"/>
                <w:highlight w:val="none"/>
              </w:rPr>
              <w:fldChar w:fldCharType="begin"/>
            </w:r>
            <w:r>
              <w:rPr>
                <w:rFonts w:hint="eastAsia"/>
                <w:color w:val="auto"/>
                <w:highlight w:val="none"/>
              </w:rPr>
              <w:instrText xml:space="preserve"> SEQ 图2- \* ARABIC </w:instrText>
            </w:r>
            <w:r>
              <w:rPr>
                <w:rFonts w:hint="eastAsia"/>
                <w:color w:val="auto"/>
                <w:highlight w:val="none"/>
              </w:rPr>
              <w:fldChar w:fldCharType="separate"/>
            </w:r>
            <w:r>
              <w:rPr>
                <w:rFonts w:hint="eastAsia"/>
                <w:color w:val="auto"/>
                <w:highlight w:val="none"/>
              </w:rPr>
              <w:t>2</w:t>
            </w:r>
            <w:r>
              <w:rPr>
                <w:rFonts w:hint="eastAsia"/>
                <w:color w:val="auto"/>
                <w:highlight w:val="none"/>
              </w:rPr>
              <w:fldChar w:fldCharType="end"/>
            </w:r>
            <w:bookmarkEnd w:id="22"/>
            <w:r>
              <w:rPr>
                <w:rFonts w:hint="eastAsia"/>
                <w:color w:val="auto"/>
                <w:highlight w:val="none"/>
              </w:rPr>
              <w:t xml:space="preserve"> </w:t>
            </w:r>
            <w:r>
              <w:rPr>
                <w:rFonts w:hint="eastAsia"/>
                <w:color w:val="auto"/>
                <w:highlight w:val="none"/>
                <w:lang w:val="en-US" w:eastAsia="zh-CN"/>
              </w:rPr>
              <w:t>项目注塑</w:t>
            </w:r>
            <w:r>
              <w:rPr>
                <w:rFonts w:hint="eastAsia"/>
                <w:color w:val="auto"/>
                <w:highlight w:val="none"/>
              </w:rPr>
              <w:t>生产工艺流程及产污环节示意图</w:t>
            </w:r>
          </w:p>
          <w:p w14:paraId="4EF0A7FB">
            <w:pPr>
              <w:pStyle w:val="18"/>
              <w:ind w:firstLine="0" w:firstLineChars="0"/>
              <w:rPr>
                <w:b/>
                <w:bCs/>
                <w:color w:val="auto"/>
                <w:highlight w:val="none"/>
                <w:u w:val="double"/>
              </w:rPr>
            </w:pPr>
            <w:r>
              <w:rPr>
                <w:rFonts w:hint="eastAsia"/>
                <w:b/>
                <w:bCs/>
                <w:color w:val="auto"/>
                <w:highlight w:val="none"/>
                <w:u w:val="double"/>
              </w:rPr>
              <w:t>生产工艺流程简述：</w:t>
            </w:r>
          </w:p>
          <w:p w14:paraId="7FD47CE7">
            <w:pPr>
              <w:pStyle w:val="18"/>
              <w:bidi w:val="0"/>
              <w:rPr>
                <w:color w:val="auto"/>
                <w:highlight w:val="none"/>
              </w:rPr>
            </w:pPr>
            <w:r>
              <w:rPr>
                <w:rFonts w:hint="eastAsia"/>
                <w:b/>
                <w:bCs/>
                <w:color w:val="auto"/>
                <w:highlight w:val="none"/>
                <w:lang w:val="en-US" w:eastAsia="zh-CN"/>
              </w:rPr>
              <w:t>混料：</w:t>
            </w:r>
            <w:r>
              <w:rPr>
                <w:rFonts w:hint="eastAsia"/>
                <w:color w:val="auto"/>
                <w:highlight w:val="none"/>
              </w:rPr>
              <w:t>经破碎后的塑料与购买的</w:t>
            </w:r>
            <w:r>
              <w:rPr>
                <w:rFonts w:hint="eastAsia"/>
                <w:color w:val="auto"/>
                <w:highlight w:val="none"/>
                <w:lang w:val="en-US" w:eastAsia="zh-CN"/>
              </w:rPr>
              <w:t>ABS或PP或ASA</w:t>
            </w:r>
            <w:r>
              <w:rPr>
                <w:rFonts w:hint="eastAsia"/>
                <w:color w:val="auto"/>
                <w:highlight w:val="none"/>
              </w:rPr>
              <w:t>塑料颗粒（新料）按照旧料不高于</w:t>
            </w:r>
            <w:r>
              <w:rPr>
                <w:color w:val="auto"/>
                <w:highlight w:val="none"/>
              </w:rPr>
              <w:t>10%</w:t>
            </w:r>
            <w:r>
              <w:rPr>
                <w:rFonts w:hint="eastAsia"/>
                <w:color w:val="auto"/>
                <w:highlight w:val="none"/>
              </w:rPr>
              <w:t>的比例与新料由人工投入混料机内进行搅拌混合</w:t>
            </w:r>
            <w:r>
              <w:rPr>
                <w:rFonts w:hint="eastAsia"/>
                <w:color w:val="auto"/>
                <w:highlight w:val="none"/>
                <w:lang w:eastAsia="zh-CN"/>
              </w:rPr>
              <w:t>，</w:t>
            </w:r>
            <w:r>
              <w:rPr>
                <w:rFonts w:hint="eastAsia"/>
                <w:color w:val="auto"/>
                <w:highlight w:val="none"/>
                <w:lang w:val="en-US" w:eastAsia="zh-CN"/>
              </w:rPr>
              <w:t>密闭搅拌。项目按照产品要求购买相应颜色塑料颗粒，无需额外添加色母、白油等添加剂。</w:t>
            </w:r>
            <w:r>
              <w:rPr>
                <w:rFonts w:hint="eastAsia"/>
                <w:color w:val="auto"/>
                <w:highlight w:val="none"/>
              </w:rPr>
              <w:t>塑料粒子粒径较大且颗粒表面光洁，</w:t>
            </w:r>
            <w:r>
              <w:rPr>
                <w:rFonts w:hint="eastAsia"/>
                <w:color w:val="auto"/>
                <w:highlight w:val="none"/>
                <w:lang w:val="en-US" w:eastAsia="zh-CN"/>
              </w:rPr>
              <w:t>密闭搅拌，</w:t>
            </w:r>
            <w:r>
              <w:rPr>
                <w:rFonts w:hint="eastAsia"/>
                <w:color w:val="auto"/>
                <w:highlight w:val="none"/>
              </w:rPr>
              <w:t>投料、混料过程</w:t>
            </w:r>
            <w:r>
              <w:rPr>
                <w:rFonts w:hint="eastAsia"/>
                <w:color w:val="auto"/>
                <w:highlight w:val="none"/>
                <w:lang w:val="en-US" w:eastAsia="zh-CN"/>
              </w:rPr>
              <w:t>中仅有少量颗粒物产生，不定量分析</w:t>
            </w:r>
            <w:r>
              <w:rPr>
                <w:rFonts w:hint="eastAsia"/>
                <w:color w:val="auto"/>
                <w:highlight w:val="none"/>
                <w:lang w:eastAsia="zh-CN"/>
              </w:rPr>
              <w:t>。</w:t>
            </w:r>
            <w:r>
              <w:rPr>
                <w:rFonts w:hint="eastAsia"/>
                <w:color w:val="auto"/>
                <w:highlight w:val="none"/>
              </w:rPr>
              <w:t>物料搅拌均匀后</w:t>
            </w:r>
            <w:r>
              <w:rPr>
                <w:rFonts w:hint="eastAsia"/>
                <w:color w:val="auto"/>
                <w:highlight w:val="none"/>
                <w:lang w:val="en-US" w:eastAsia="zh-CN"/>
              </w:rPr>
              <w:t>自混料机出料口装入包装袋中，暂存于库房内待用。</w:t>
            </w:r>
            <w:r>
              <w:rPr>
                <w:rFonts w:hint="eastAsia"/>
                <w:color w:val="auto"/>
                <w:highlight w:val="none"/>
              </w:rPr>
              <w:t>此工序会产生</w:t>
            </w:r>
            <w:r>
              <w:rPr>
                <w:rFonts w:hint="eastAsia"/>
                <w:color w:val="auto"/>
                <w:highlight w:val="none"/>
                <w:lang w:val="en-US" w:eastAsia="zh-CN"/>
              </w:rPr>
              <w:t>设备噪声N，废原料包装S1</w:t>
            </w:r>
            <w:r>
              <w:rPr>
                <w:rFonts w:hint="eastAsia"/>
                <w:color w:val="auto"/>
                <w:highlight w:val="none"/>
              </w:rPr>
              <w:t>。</w:t>
            </w:r>
          </w:p>
          <w:p w14:paraId="34A90F37">
            <w:pPr>
              <w:pStyle w:val="18"/>
              <w:bidi w:val="0"/>
              <w:rPr>
                <w:rFonts w:hint="default"/>
                <w:color w:val="auto"/>
                <w:highlight w:val="none"/>
                <w:lang w:val="en-US" w:eastAsia="zh-CN"/>
              </w:rPr>
            </w:pPr>
            <w:r>
              <w:rPr>
                <w:rFonts w:hint="eastAsia"/>
                <w:b/>
                <w:bCs/>
                <w:color w:val="auto"/>
                <w:highlight w:val="none"/>
                <w:lang w:val="en-US" w:eastAsia="zh-CN"/>
              </w:rPr>
              <w:t>投料：</w:t>
            </w:r>
            <w:r>
              <w:rPr>
                <w:rFonts w:hint="eastAsia"/>
                <w:color w:val="auto"/>
                <w:highlight w:val="none"/>
                <w:lang w:val="en-US" w:eastAsia="zh-CN"/>
              </w:rPr>
              <w:t>混合料或新料自库房内取出运送至注塑机区域，人工拆包倒入注塑机料箱中。</w:t>
            </w:r>
            <w:r>
              <w:rPr>
                <w:rFonts w:hint="eastAsia"/>
                <w:color w:val="auto"/>
                <w:highlight w:val="none"/>
              </w:rPr>
              <w:t>塑料粒子粒径较大且颗粒表面光洁，</w:t>
            </w:r>
            <w:r>
              <w:rPr>
                <w:rFonts w:hint="eastAsia"/>
                <w:color w:val="auto"/>
                <w:highlight w:val="none"/>
                <w:lang w:val="en-US" w:eastAsia="zh-CN"/>
              </w:rPr>
              <w:t>投料</w:t>
            </w:r>
            <w:r>
              <w:rPr>
                <w:rFonts w:hint="eastAsia"/>
                <w:color w:val="auto"/>
                <w:highlight w:val="none"/>
              </w:rPr>
              <w:t>过程</w:t>
            </w:r>
            <w:r>
              <w:rPr>
                <w:rFonts w:hint="eastAsia"/>
                <w:color w:val="auto"/>
                <w:highlight w:val="none"/>
                <w:lang w:val="en-US" w:eastAsia="zh-CN"/>
              </w:rPr>
              <w:t>中仅有少量颗粒物产生，不定量分析。此工序产生废原料包装S1。</w:t>
            </w:r>
          </w:p>
          <w:p w14:paraId="7B5CB9F4">
            <w:pPr>
              <w:pStyle w:val="18"/>
              <w:bidi w:val="0"/>
              <w:rPr>
                <w:color w:val="auto"/>
                <w:highlight w:val="none"/>
              </w:rPr>
            </w:pPr>
            <w:r>
              <w:rPr>
                <w:rFonts w:hint="eastAsia"/>
                <w:b/>
                <w:bCs/>
                <w:color w:val="auto"/>
                <w:highlight w:val="none"/>
                <w:lang w:val="en-US" w:eastAsia="zh-CN"/>
              </w:rPr>
              <w:t>干燥：</w:t>
            </w:r>
            <w:r>
              <w:rPr>
                <w:rFonts w:hint="eastAsia"/>
                <w:color w:val="auto"/>
                <w:highlight w:val="none"/>
                <w:lang w:val="en-US" w:eastAsia="zh-CN"/>
              </w:rPr>
              <w:t>塑料颗粒贮存中可能会受潮，注塑前应保证物料干燥，对塑料颗粒进行干燥处理。注塑机进料口上方安装有干燥料斗，使用配套</w:t>
            </w:r>
            <w:r>
              <w:rPr>
                <w:rFonts w:hint="eastAsia"/>
                <w:color w:val="auto"/>
                <w:highlight w:val="none"/>
              </w:rPr>
              <w:t>负压吸料机</w:t>
            </w:r>
            <w:r>
              <w:rPr>
                <w:rFonts w:hint="eastAsia"/>
                <w:color w:val="auto"/>
                <w:highlight w:val="none"/>
                <w:lang w:val="en-US" w:eastAsia="zh-CN"/>
              </w:rPr>
              <w:t>将料箱中的塑料颗粒泵入干燥料斗中，</w:t>
            </w:r>
            <w:r>
              <w:rPr>
                <w:rFonts w:hint="eastAsia"/>
                <w:color w:val="auto"/>
                <w:highlight w:val="none"/>
              </w:rPr>
              <w:t>以电作能源</w:t>
            </w:r>
            <w:r>
              <w:rPr>
                <w:rFonts w:hint="eastAsia"/>
                <w:color w:val="auto"/>
                <w:highlight w:val="none"/>
                <w:lang w:eastAsia="zh-CN"/>
              </w:rPr>
              <w:t>，</w:t>
            </w:r>
            <w:r>
              <w:rPr>
                <w:rFonts w:hint="eastAsia"/>
                <w:color w:val="auto"/>
                <w:highlight w:val="none"/>
              </w:rPr>
              <w:t>对原料进行</w:t>
            </w:r>
            <w:r>
              <w:rPr>
                <w:rFonts w:hint="eastAsia"/>
                <w:color w:val="auto"/>
                <w:highlight w:val="none"/>
                <w:lang w:val="en-US" w:eastAsia="zh-CN"/>
              </w:rPr>
              <w:t>热风</w:t>
            </w:r>
            <w:r>
              <w:rPr>
                <w:rFonts w:hint="eastAsia"/>
                <w:color w:val="auto"/>
                <w:highlight w:val="none"/>
              </w:rPr>
              <w:t>烘干，烘干温度约70~80℃，烘干时间为30min</w:t>
            </w:r>
            <w:r>
              <w:rPr>
                <w:rFonts w:hint="eastAsia"/>
                <w:color w:val="auto"/>
                <w:highlight w:val="none"/>
                <w:lang w:eastAsia="zh-CN"/>
              </w:rPr>
              <w:t>。</w:t>
            </w:r>
            <w:r>
              <w:rPr>
                <w:rFonts w:hint="eastAsia"/>
                <w:color w:val="auto"/>
                <w:highlight w:val="none"/>
              </w:rPr>
              <w:t>生产期间料筒上层持续吸料</w:t>
            </w:r>
            <w:r>
              <w:rPr>
                <w:rFonts w:hint="eastAsia"/>
                <w:color w:val="auto"/>
                <w:highlight w:val="none"/>
                <w:lang w:val="en-US" w:eastAsia="zh-CN"/>
              </w:rPr>
              <w:t>烘干</w:t>
            </w:r>
            <w:r>
              <w:rPr>
                <w:rFonts w:hint="eastAsia"/>
                <w:color w:val="auto"/>
                <w:highlight w:val="none"/>
                <w:lang w:eastAsia="zh-CN"/>
              </w:rPr>
              <w:t>，</w:t>
            </w:r>
            <w:r>
              <w:rPr>
                <w:rFonts w:hint="eastAsia"/>
                <w:color w:val="auto"/>
                <w:highlight w:val="none"/>
              </w:rPr>
              <w:t>下层物料持续输送至注塑机</w:t>
            </w:r>
            <w:r>
              <w:rPr>
                <w:rFonts w:hint="eastAsia"/>
                <w:color w:val="auto"/>
                <w:highlight w:val="none"/>
                <w:lang w:val="en-US" w:eastAsia="zh-CN"/>
              </w:rPr>
              <w:t>加热筒。</w:t>
            </w:r>
            <w:r>
              <w:rPr>
                <w:rFonts w:hint="eastAsia"/>
                <w:color w:val="auto"/>
                <w:highlight w:val="none"/>
              </w:rPr>
              <w:t>由于烘干温度远低于注塑原料熔化热解温度，因此不考虑有机废气。</w:t>
            </w:r>
            <w:r>
              <w:rPr>
                <w:rFonts w:hint="eastAsia"/>
                <w:color w:val="auto"/>
                <w:highlight w:val="none"/>
                <w:lang w:val="en-US" w:eastAsia="zh-CN"/>
              </w:rPr>
              <w:t>此外配备有一台独立电烘干机，用于注塑机烘干设施故障时备用</w:t>
            </w:r>
            <w:r>
              <w:rPr>
                <w:rFonts w:hint="eastAsia"/>
                <w:color w:val="auto"/>
                <w:highlight w:val="none"/>
              </w:rPr>
              <w:t>。</w:t>
            </w:r>
          </w:p>
          <w:p w14:paraId="325146F3">
            <w:pPr>
              <w:pStyle w:val="18"/>
              <w:bidi w:val="0"/>
              <w:rPr>
                <w:rFonts w:hint="default"/>
                <w:color w:val="auto"/>
                <w:highlight w:val="none"/>
                <w:lang w:val="en-US" w:eastAsia="zh-CN"/>
              </w:rPr>
            </w:pPr>
            <w:r>
              <w:rPr>
                <w:rFonts w:hint="eastAsia"/>
                <w:b/>
                <w:bCs/>
                <w:color w:val="auto"/>
                <w:highlight w:val="none"/>
                <w:lang w:val="en-US" w:eastAsia="zh-CN"/>
              </w:rPr>
              <w:t>注塑：</w:t>
            </w:r>
            <w:r>
              <w:rPr>
                <w:rFonts w:hint="eastAsia"/>
                <w:color w:val="auto"/>
                <w:highlight w:val="none"/>
                <w:lang w:val="en-US" w:eastAsia="zh-CN"/>
              </w:rPr>
              <w:t>烘完料的塑料颗粒进入注塑机加热料筒内，物料经过以电作为能源的加热筒密闭加热，根据选用的塑料原料选取适合的加热温度，加热温度约160-220℃，使树脂颗粒融化，再通过注塑机螺杆将融化后的塑胶料推射入模具内成型，</w:t>
            </w:r>
            <w:r>
              <w:rPr>
                <w:rFonts w:hint="eastAsia"/>
                <w:color w:val="auto"/>
                <w:highlight w:val="none"/>
              </w:rPr>
              <w:t>模腔填充</w:t>
            </w:r>
            <w:r>
              <w:rPr>
                <w:color w:val="auto"/>
                <w:highlight w:val="none"/>
              </w:rPr>
              <w:t>95%~99%</w:t>
            </w:r>
            <w:r>
              <w:rPr>
                <w:rFonts w:hint="eastAsia"/>
                <w:color w:val="auto"/>
                <w:highlight w:val="none"/>
              </w:rPr>
              <w:t>后，注塑机受到压力增大的反馈，停止加压，此时压力会保持一段时间，称为“保压”，主要用于补偿模腔内由于塑料冷却收缩而减少的体积，注射压力为</w:t>
            </w:r>
            <w:r>
              <w:rPr>
                <w:color w:val="auto"/>
                <w:highlight w:val="none"/>
              </w:rPr>
              <w:t>8~12MPa</w:t>
            </w:r>
            <w:r>
              <w:rPr>
                <w:rFonts w:hint="eastAsia"/>
                <w:color w:val="auto"/>
                <w:highlight w:val="none"/>
              </w:rPr>
              <w:t>、保压压力为</w:t>
            </w:r>
            <w:r>
              <w:rPr>
                <w:color w:val="auto"/>
                <w:highlight w:val="none"/>
              </w:rPr>
              <w:t>6~10MPa</w:t>
            </w:r>
            <w:r>
              <w:rPr>
                <w:rFonts w:hint="eastAsia"/>
                <w:color w:val="auto"/>
                <w:highlight w:val="none"/>
              </w:rPr>
              <w:t>。注塑完成</w:t>
            </w:r>
            <w:r>
              <w:rPr>
                <w:rFonts w:hint="eastAsia"/>
                <w:color w:val="auto"/>
                <w:highlight w:val="none"/>
                <w:lang w:val="en-US" w:eastAsia="zh-CN"/>
              </w:rPr>
              <w:t>使用循环冷却水对注塑机模具进行冷却</w:t>
            </w:r>
            <w:r>
              <w:rPr>
                <w:rFonts w:hint="eastAsia"/>
                <w:color w:val="auto"/>
                <w:highlight w:val="none"/>
              </w:rPr>
              <w:t>（注塑机配有冷却管道，冷却水在封闭的管路内通过热交换形式发挥作用，冷却介质不直接和被冷却物品接触）</w:t>
            </w:r>
            <w:r>
              <w:rPr>
                <w:rFonts w:hint="eastAsia"/>
                <w:color w:val="auto"/>
                <w:highlight w:val="none"/>
                <w:lang w:eastAsia="zh-CN"/>
              </w:rPr>
              <w:t>，模腔内的塑料冷却后便硬化成型</w:t>
            </w:r>
            <w:r>
              <w:rPr>
                <w:rFonts w:hint="eastAsia"/>
                <w:color w:val="auto"/>
                <w:highlight w:val="none"/>
                <w:lang w:val="en-US" w:eastAsia="zh-CN"/>
              </w:rPr>
              <w:t>。注塑成型后，模具打开，产品自动顶出脱落。注塑机停机前，尽量将加热筒内剩余塑料注出，开机运行后，初料应废弃，其中更换塑料颗粒后的初料为不同材质混合料，不宜回用，为废料，其余边角料破碎后回用。此工序产生废料S2，边角料S3，注塑废气G1以及设备噪声N。</w:t>
            </w:r>
          </w:p>
          <w:p w14:paraId="684D9D99">
            <w:pPr>
              <w:pStyle w:val="18"/>
              <w:ind w:firstLine="482"/>
              <w:rPr>
                <w:rStyle w:val="17"/>
                <w:rFonts w:hint="default" w:eastAsia="宋体"/>
                <w:color w:val="auto"/>
                <w:highlight w:val="none"/>
                <w:lang w:val="en-US" w:eastAsia="zh-CN"/>
              </w:rPr>
            </w:pPr>
            <w:r>
              <w:rPr>
                <w:rStyle w:val="17"/>
                <w:rFonts w:hint="eastAsia"/>
                <w:b/>
                <w:bCs/>
                <w:color w:val="auto"/>
                <w:highlight w:val="none"/>
                <w:lang w:val="en-US" w:eastAsia="zh-CN"/>
              </w:rPr>
              <w:t>修边：</w:t>
            </w:r>
            <w:r>
              <w:rPr>
                <w:rStyle w:val="17"/>
                <w:rFonts w:hint="eastAsia"/>
                <w:color w:val="auto"/>
                <w:highlight w:val="none"/>
                <w:lang w:val="en-US" w:eastAsia="zh-CN"/>
              </w:rPr>
              <w:t>成型的塑料件由工人采用美工刀进行修边，去除成型的注塑件上连接的料柄以及多余毛刺，此过程会产生边角料S3。</w:t>
            </w:r>
          </w:p>
          <w:p w14:paraId="3CAD99D0">
            <w:pPr>
              <w:pStyle w:val="18"/>
              <w:bidi w:val="0"/>
              <w:rPr>
                <w:rFonts w:hint="default"/>
                <w:color w:val="auto"/>
                <w:highlight w:val="none"/>
                <w:lang w:val="en-US" w:eastAsia="zh-CN"/>
              </w:rPr>
            </w:pPr>
            <w:r>
              <w:rPr>
                <w:rFonts w:hint="eastAsia"/>
                <w:b/>
                <w:bCs/>
                <w:color w:val="auto"/>
                <w:highlight w:val="none"/>
                <w:lang w:val="en-US" w:eastAsia="zh-CN"/>
              </w:rPr>
              <w:t>焊接：</w:t>
            </w:r>
            <w:r>
              <w:rPr>
                <w:rFonts w:hint="eastAsia"/>
                <w:color w:val="auto"/>
                <w:highlight w:val="none"/>
                <w:lang w:val="en-US" w:eastAsia="zh-CN"/>
              </w:rPr>
              <w:t>谐振器产品为上下两部分，使用伺服热板焊接机将两部分焊接为一个整体。</w:t>
            </w:r>
            <w:r>
              <w:rPr>
                <w:color w:val="auto"/>
                <w:highlight w:val="none"/>
              </w:rPr>
              <w:t>伺服热板焊接机是一种基于电热熔化原理的塑料焊接设备</w:t>
            </w:r>
            <w:r>
              <w:rPr>
                <w:rFonts w:hint="eastAsia"/>
                <w:color w:val="auto"/>
                <w:highlight w:val="none"/>
                <w:lang w:eastAsia="zh-CN"/>
              </w:rPr>
              <w:t>，</w:t>
            </w:r>
            <w:r>
              <w:rPr>
                <w:rFonts w:hint="eastAsia"/>
                <w:color w:val="auto"/>
                <w:highlight w:val="none"/>
              </w:rPr>
              <w:t>将温度可控的加热板置于两塑料件之间，工件紧贴加热板后，塑料接合面受热熔融</w:t>
            </w:r>
            <w:r>
              <w:rPr>
                <w:rFonts w:hint="eastAsia"/>
                <w:color w:val="auto"/>
                <w:highlight w:val="none"/>
                <w:lang w:eastAsia="zh-CN"/>
              </w:rPr>
              <w:t>，</w:t>
            </w:r>
            <w:r>
              <w:rPr>
                <w:color w:val="auto"/>
                <w:highlight w:val="none"/>
              </w:rPr>
              <w:t>加热板移开后，两工件在预设压力下迅速合拢，熔融面分子链相互渗透，冷却后形成强度</w:t>
            </w:r>
            <w:r>
              <w:rPr>
                <w:rFonts w:hint="eastAsia"/>
                <w:color w:val="auto"/>
                <w:highlight w:val="none"/>
                <w:lang w:val="en-US" w:eastAsia="zh-CN"/>
              </w:rPr>
              <w:t>与</w:t>
            </w:r>
            <w:r>
              <w:rPr>
                <w:color w:val="auto"/>
                <w:highlight w:val="none"/>
              </w:rPr>
              <w:t>原材料</w:t>
            </w:r>
            <w:r>
              <w:rPr>
                <w:rFonts w:hint="eastAsia"/>
                <w:color w:val="auto"/>
                <w:highlight w:val="none"/>
                <w:lang w:val="en-US" w:eastAsia="zh-CN"/>
              </w:rPr>
              <w:t>一致</w:t>
            </w:r>
            <w:r>
              <w:rPr>
                <w:color w:val="auto"/>
                <w:highlight w:val="none"/>
              </w:rPr>
              <w:t>的一体化结构‌</w:t>
            </w:r>
            <w:r>
              <w:rPr>
                <w:rFonts w:hint="eastAsia"/>
                <w:color w:val="auto"/>
                <w:highlight w:val="none"/>
                <w:lang w:eastAsia="zh-CN"/>
              </w:rPr>
              <w:t>。</w:t>
            </w:r>
            <w:r>
              <w:rPr>
                <w:rFonts w:hint="eastAsia"/>
                <w:color w:val="auto"/>
                <w:highlight w:val="none"/>
                <w:lang w:val="en-US" w:eastAsia="zh-CN"/>
              </w:rPr>
              <w:t>谐振器使用PP材料，识别污染物为非甲烷总烃，此工序产生焊接废气G2。</w:t>
            </w:r>
          </w:p>
          <w:p w14:paraId="4A918BA2">
            <w:pPr>
              <w:pStyle w:val="18"/>
              <w:ind w:firstLine="482"/>
              <w:rPr>
                <w:rStyle w:val="17"/>
                <w:rFonts w:hint="eastAsia"/>
                <w:color w:val="auto"/>
                <w:highlight w:val="none"/>
              </w:rPr>
            </w:pPr>
            <w:r>
              <w:rPr>
                <w:rStyle w:val="17"/>
                <w:rFonts w:hint="eastAsia"/>
                <w:b/>
                <w:bCs/>
                <w:color w:val="auto"/>
                <w:highlight w:val="none"/>
                <w:lang w:val="en-US" w:eastAsia="zh-CN"/>
              </w:rPr>
              <w:t>质检：</w:t>
            </w:r>
            <w:r>
              <w:rPr>
                <w:rStyle w:val="17"/>
                <w:rFonts w:hint="eastAsia"/>
                <w:color w:val="auto"/>
                <w:highlight w:val="none"/>
              </w:rPr>
              <w:t>对产出的产品进行人工检验，检查是否有裂纹、是否完整、尺寸是否符合要求等。合格产品包装入库。此工序将产生不合格品S</w:t>
            </w:r>
            <w:r>
              <w:rPr>
                <w:rStyle w:val="17"/>
                <w:rFonts w:hint="eastAsia"/>
                <w:color w:val="auto"/>
                <w:highlight w:val="none"/>
                <w:lang w:val="en-US" w:eastAsia="zh-CN"/>
              </w:rPr>
              <w:t>4</w:t>
            </w:r>
            <w:r>
              <w:rPr>
                <w:rStyle w:val="17"/>
                <w:rFonts w:hint="eastAsia"/>
                <w:color w:val="auto"/>
                <w:highlight w:val="none"/>
              </w:rPr>
              <w:t>，不合格产品经破碎机破碎后全部回用。</w:t>
            </w:r>
          </w:p>
          <w:p w14:paraId="5B11DD98">
            <w:pPr>
              <w:pStyle w:val="18"/>
              <w:ind w:firstLine="482"/>
              <w:rPr>
                <w:rStyle w:val="17"/>
                <w:rFonts w:hint="default" w:eastAsia="宋体"/>
                <w:color w:val="auto"/>
                <w:highlight w:val="none"/>
                <w:lang w:val="en-US" w:eastAsia="zh-CN"/>
              </w:rPr>
            </w:pPr>
            <w:r>
              <w:rPr>
                <w:rStyle w:val="17"/>
                <w:rFonts w:hint="eastAsia"/>
                <w:b/>
                <w:bCs/>
                <w:color w:val="auto"/>
                <w:highlight w:val="none"/>
                <w:lang w:val="en-US" w:eastAsia="zh-CN"/>
              </w:rPr>
              <w:t>包装：</w:t>
            </w:r>
            <w:r>
              <w:rPr>
                <w:rStyle w:val="17"/>
                <w:rFonts w:hint="eastAsia"/>
                <w:color w:val="auto"/>
                <w:highlight w:val="none"/>
                <w:lang w:val="en-US" w:eastAsia="zh-CN"/>
              </w:rPr>
              <w:t>使用塑料袋、包装纸、泡泡纸、海绵纸或其他包装材料，对合格产品进行分别包装、装箱。此工序产生废产品包装材料S5。</w:t>
            </w:r>
          </w:p>
          <w:p w14:paraId="68748A92">
            <w:pPr>
              <w:pStyle w:val="18"/>
              <w:ind w:firstLine="482"/>
              <w:rPr>
                <w:rStyle w:val="17"/>
                <w:rFonts w:hint="eastAsia"/>
                <w:color w:val="auto"/>
                <w:highlight w:val="none"/>
                <w:lang w:val="en-US" w:eastAsia="zh-CN"/>
              </w:rPr>
            </w:pPr>
            <w:r>
              <w:rPr>
                <w:rStyle w:val="17"/>
                <w:rFonts w:hint="eastAsia"/>
                <w:b/>
                <w:bCs/>
                <w:color w:val="auto"/>
                <w:highlight w:val="none"/>
                <w:lang w:val="en-US" w:eastAsia="zh-CN"/>
              </w:rPr>
              <w:t>入库：</w:t>
            </w:r>
            <w:r>
              <w:rPr>
                <w:rStyle w:val="17"/>
                <w:rFonts w:hint="eastAsia"/>
                <w:color w:val="auto"/>
                <w:highlight w:val="none"/>
                <w:lang w:val="en-US" w:eastAsia="zh-CN"/>
              </w:rPr>
              <w:t>成品运送至成品仓库料架，以待交货。</w:t>
            </w:r>
          </w:p>
          <w:p w14:paraId="519DC516">
            <w:pPr>
              <w:pStyle w:val="18"/>
              <w:bidi w:val="0"/>
              <w:rPr>
                <w:color w:val="auto"/>
                <w:highlight w:val="none"/>
              </w:rPr>
            </w:pPr>
            <w:r>
              <w:rPr>
                <w:rFonts w:hint="eastAsia"/>
                <w:b/>
                <w:bCs/>
                <w:color w:val="auto"/>
                <w:highlight w:val="none"/>
              </w:rPr>
              <w:t>破碎：</w:t>
            </w:r>
            <w:r>
              <w:rPr>
                <w:rFonts w:hint="eastAsia"/>
                <w:color w:val="auto"/>
                <w:highlight w:val="none"/>
              </w:rPr>
              <w:t>项目的不合格品和边角料暂存至</w:t>
            </w:r>
            <w:r>
              <w:rPr>
                <w:rFonts w:hint="eastAsia"/>
                <w:color w:val="auto"/>
                <w:highlight w:val="none"/>
                <w:lang w:val="en-US" w:eastAsia="zh-CN"/>
              </w:rPr>
              <w:t>破碎间</w:t>
            </w:r>
            <w:r>
              <w:rPr>
                <w:rFonts w:hint="eastAsia"/>
                <w:color w:val="auto"/>
                <w:highlight w:val="none"/>
              </w:rPr>
              <w:t>，待储存量达到一定水平之后，再分类进行破碎</w:t>
            </w:r>
            <w:r>
              <w:rPr>
                <w:rFonts w:hint="eastAsia"/>
                <w:color w:val="auto"/>
                <w:highlight w:val="none"/>
                <w:lang w:eastAsia="zh-CN"/>
              </w:rPr>
              <w:t>。</w:t>
            </w:r>
            <w:r>
              <w:rPr>
                <w:rFonts w:hint="eastAsia"/>
                <w:color w:val="auto"/>
                <w:highlight w:val="none"/>
                <w:lang w:val="en-US" w:eastAsia="zh-CN"/>
              </w:rPr>
              <w:t>设置两台破碎机，每周运行2h，</w:t>
            </w:r>
            <w:r>
              <w:rPr>
                <w:rFonts w:hint="eastAsia"/>
                <w:color w:val="auto"/>
                <w:highlight w:val="none"/>
              </w:rPr>
              <w:t>不合格品和边角料经人工投入破碎设备，破碎过程中破碎设备关闭，整个破碎过程几乎密闭进行，破碎过程产生的大颗粒粉尘直接沉降至破碎设备底部，极少量小颗粒粉尘从投料口缝隙逸出。破碎后的物料粒径约为</w:t>
            </w:r>
            <w:r>
              <w:rPr>
                <w:rFonts w:hint="eastAsia"/>
                <w:color w:val="auto"/>
                <w:highlight w:val="none"/>
                <w:lang w:val="en-US" w:eastAsia="zh-CN"/>
              </w:rPr>
              <w:t>3</w:t>
            </w:r>
            <w:r>
              <w:rPr>
                <w:color w:val="auto"/>
                <w:highlight w:val="none"/>
              </w:rPr>
              <w:t>~</w:t>
            </w:r>
            <w:r>
              <w:rPr>
                <w:rFonts w:hint="eastAsia"/>
                <w:color w:val="auto"/>
                <w:highlight w:val="none"/>
                <w:lang w:val="en-US" w:eastAsia="zh-CN"/>
              </w:rPr>
              <w:t>5</w:t>
            </w:r>
            <w:r>
              <w:rPr>
                <w:color w:val="auto"/>
                <w:highlight w:val="none"/>
              </w:rPr>
              <w:t>mm</w:t>
            </w:r>
            <w:r>
              <w:rPr>
                <w:rFonts w:hint="eastAsia"/>
                <w:color w:val="auto"/>
                <w:highlight w:val="none"/>
              </w:rPr>
              <w:t>，破碎后物料沉降至破碎设备底部，破碎后的塑料</w:t>
            </w:r>
            <w:r>
              <w:rPr>
                <w:rFonts w:hint="eastAsia"/>
                <w:color w:val="auto"/>
                <w:highlight w:val="none"/>
                <w:lang w:val="en-US" w:eastAsia="zh-CN"/>
              </w:rPr>
              <w:t>颗粒</w:t>
            </w:r>
            <w:r>
              <w:rPr>
                <w:rFonts w:hint="eastAsia"/>
                <w:color w:val="auto"/>
                <w:highlight w:val="none"/>
              </w:rPr>
              <w:t>作为原材料</w:t>
            </w:r>
            <w:r>
              <w:rPr>
                <w:rFonts w:hint="eastAsia"/>
                <w:color w:val="auto"/>
                <w:highlight w:val="none"/>
                <w:lang w:eastAsia="zh-CN"/>
              </w:rPr>
              <w:t>分类</w:t>
            </w:r>
            <w:r>
              <w:rPr>
                <w:rFonts w:hint="eastAsia"/>
                <w:color w:val="auto"/>
                <w:highlight w:val="none"/>
              </w:rPr>
              <w:t>回用于注塑工序</w:t>
            </w:r>
            <w:r>
              <w:rPr>
                <w:rFonts w:hint="eastAsia"/>
                <w:color w:val="auto"/>
                <w:highlight w:val="none"/>
                <w:lang w:eastAsia="zh-CN"/>
              </w:rPr>
              <w:t>。</w:t>
            </w:r>
            <w:r>
              <w:rPr>
                <w:rFonts w:hint="eastAsia"/>
                <w:color w:val="auto"/>
                <w:highlight w:val="none"/>
              </w:rPr>
              <w:t>在破碎过程中会产生破碎粉尘</w:t>
            </w:r>
            <w:r>
              <w:rPr>
                <w:color w:val="auto"/>
                <w:highlight w:val="none"/>
              </w:rPr>
              <w:t>G</w:t>
            </w:r>
            <w:r>
              <w:rPr>
                <w:rFonts w:hint="eastAsia"/>
                <w:color w:val="auto"/>
                <w:highlight w:val="none"/>
                <w:lang w:val="en-US" w:eastAsia="zh-CN"/>
              </w:rPr>
              <w:t>3</w:t>
            </w:r>
            <w:r>
              <w:rPr>
                <w:rFonts w:hint="eastAsia"/>
                <w:color w:val="auto"/>
                <w:highlight w:val="none"/>
              </w:rPr>
              <w:t>、设备噪声</w:t>
            </w:r>
            <w:r>
              <w:rPr>
                <w:color w:val="auto"/>
                <w:highlight w:val="none"/>
              </w:rPr>
              <w:t>N</w:t>
            </w:r>
            <w:r>
              <w:rPr>
                <w:rFonts w:hint="eastAsia"/>
                <w:color w:val="auto"/>
                <w:highlight w:val="none"/>
              </w:rPr>
              <w:t>。</w:t>
            </w:r>
          </w:p>
          <w:p w14:paraId="7300C919">
            <w:pPr>
              <w:pStyle w:val="18"/>
              <w:ind w:firstLine="482"/>
              <w:rPr>
                <w:b/>
                <w:bCs/>
                <w:color w:val="auto"/>
                <w:highlight w:val="none"/>
              </w:rPr>
            </w:pPr>
            <w:r>
              <w:rPr>
                <w:rFonts w:hint="eastAsia"/>
                <w:b/>
                <w:bCs/>
                <w:color w:val="auto"/>
                <w:highlight w:val="none"/>
              </w:rPr>
              <w:t>其他产污环节识别：</w:t>
            </w:r>
          </w:p>
          <w:p w14:paraId="4C908E45">
            <w:pPr>
              <w:pStyle w:val="18"/>
              <w:rPr>
                <w:rFonts w:hint="eastAsia"/>
                <w:color w:val="auto"/>
                <w:highlight w:val="none"/>
                <w:lang w:val="en-US" w:eastAsia="zh-CN"/>
              </w:rPr>
            </w:pPr>
            <w:r>
              <w:rPr>
                <w:color w:val="auto"/>
                <w:highlight w:val="none"/>
              </w:rPr>
              <w:t>①</w:t>
            </w:r>
            <w:r>
              <w:rPr>
                <w:rFonts w:hint="eastAsia"/>
                <w:color w:val="auto"/>
                <w:highlight w:val="none"/>
                <w:lang w:val="en-US" w:eastAsia="zh-CN"/>
              </w:rPr>
              <w:t>设备保养维护</w:t>
            </w:r>
          </w:p>
          <w:p w14:paraId="73D61965">
            <w:pPr>
              <w:pStyle w:val="18"/>
              <w:rPr>
                <w:rFonts w:hint="default"/>
                <w:color w:val="auto"/>
                <w:highlight w:val="none"/>
                <w:lang w:val="en-US" w:eastAsia="zh-CN"/>
              </w:rPr>
            </w:pPr>
            <w:r>
              <w:rPr>
                <w:rFonts w:hint="eastAsia"/>
                <w:color w:val="auto"/>
                <w:highlight w:val="none"/>
                <w:lang w:val="en-US" w:eastAsia="zh-CN"/>
              </w:rPr>
              <w:t>金属模具使用过程中产生易沾染油污影响注塑效果，使用清洗剂喷涂模具内外，保持模具洁净。再使用脱模剂喷涂模具内部，使脱模顺畅。平均每4小时人工喷涂保养一次，单台设备单次清洗剂喷涂量约3g，脱模剂喷涂量约2g。对更换下来的模具，检查模具各零件状况，对不符合生产要求的进行更换，对顶针等零件进行润滑。</w:t>
            </w:r>
          </w:p>
          <w:p w14:paraId="266376A1">
            <w:pPr>
              <w:pStyle w:val="18"/>
              <w:rPr>
                <w:rFonts w:hint="default"/>
                <w:color w:val="auto"/>
                <w:highlight w:val="none"/>
                <w:lang w:val="en-US" w:eastAsia="zh-CN"/>
              </w:rPr>
            </w:pPr>
            <w:r>
              <w:rPr>
                <w:rFonts w:hint="eastAsia"/>
                <w:color w:val="auto"/>
                <w:highlight w:val="none"/>
                <w:lang w:val="en-US" w:eastAsia="zh-CN"/>
              </w:rPr>
              <w:t>项目仅对模具进行简单保养，不涉及机加打磨，重大维修或报废由模具厂家负责。定期对生产设备进行维护保养，注塑机液压油每三年更换一次。设备维护保养工序产生脱模剂、清洗剂废气G4，废润滑油S6、废油桶S7、废含油棉纱及手套S8，废液压油S9、废零件（未沾染油渍）S10，废零件（沾有油渍）S11以及废脱模剂、清洗剂瓶S12。</w:t>
            </w:r>
          </w:p>
          <w:p w14:paraId="23FDB51F">
            <w:pPr>
              <w:pStyle w:val="18"/>
              <w:bidi w:val="0"/>
              <w:rPr>
                <w:rFonts w:hint="eastAsia"/>
                <w:color w:val="auto"/>
                <w:highlight w:val="none"/>
                <w:lang w:val="en-US" w:eastAsia="zh-CN"/>
              </w:rPr>
            </w:pPr>
            <w:r>
              <w:rPr>
                <w:rFonts w:hint="default"/>
                <w:color w:val="auto"/>
                <w:highlight w:val="none"/>
              </w:rPr>
              <w:t>②</w:t>
            </w:r>
            <w:r>
              <w:rPr>
                <w:rFonts w:hint="eastAsia"/>
                <w:color w:val="auto"/>
                <w:highlight w:val="none"/>
                <w:lang w:val="en-US" w:eastAsia="zh-CN"/>
              </w:rPr>
              <w:t>循环冷却水</w:t>
            </w:r>
          </w:p>
          <w:p w14:paraId="288C706B">
            <w:pPr>
              <w:pStyle w:val="18"/>
              <w:bidi w:val="0"/>
              <w:rPr>
                <w:rFonts w:hint="eastAsia"/>
                <w:color w:val="auto"/>
                <w:highlight w:val="none"/>
                <w:lang w:val="en-US" w:eastAsia="zh-CN"/>
              </w:rPr>
            </w:pPr>
            <w:r>
              <w:rPr>
                <w:rFonts w:hint="eastAsia"/>
                <w:color w:val="auto"/>
                <w:highlight w:val="none"/>
                <w:lang w:val="en-US" w:eastAsia="zh-CN"/>
              </w:rPr>
              <w:t>采用循环水进行间接冷却，回水通过密闭管道输送至冷却塔降温，‌通过喷淋分散成水滴，利用蒸发和对流换热原理降温。</w:t>
            </w:r>
            <w:r>
              <w:rPr>
                <w:rFonts w:hint="eastAsia"/>
                <w:color w:val="auto"/>
                <w:highlight w:val="none"/>
                <w:lang w:eastAsia="zh-CN"/>
              </w:rPr>
              <w:t>厂区</w:t>
            </w:r>
            <w:r>
              <w:rPr>
                <w:rFonts w:hint="eastAsia"/>
                <w:color w:val="auto"/>
                <w:highlight w:val="none"/>
                <w:lang w:val="en-US" w:eastAsia="zh-CN"/>
              </w:rPr>
              <w:t>设置有1套循环水量为65m</w:t>
            </w:r>
            <w:r>
              <w:rPr>
                <w:rFonts w:hint="eastAsia"/>
                <w:color w:val="auto"/>
                <w:highlight w:val="none"/>
                <w:vertAlign w:val="superscript"/>
                <w:lang w:val="en-US" w:eastAsia="zh-CN"/>
              </w:rPr>
              <w:t>3</w:t>
            </w:r>
            <w:r>
              <w:rPr>
                <w:rFonts w:hint="eastAsia"/>
                <w:color w:val="auto"/>
                <w:highlight w:val="none"/>
                <w:lang w:val="en-US" w:eastAsia="zh-CN"/>
              </w:rPr>
              <w:t>/h的冷却塔，冷却水池20m</w:t>
            </w:r>
            <w:r>
              <w:rPr>
                <w:rFonts w:hint="eastAsia"/>
                <w:color w:val="auto"/>
                <w:highlight w:val="none"/>
                <w:vertAlign w:val="superscript"/>
                <w:lang w:val="en-US" w:eastAsia="zh-CN"/>
              </w:rPr>
              <w:t>3</w:t>
            </w:r>
            <w:r>
              <w:rPr>
                <w:rFonts w:hint="eastAsia"/>
                <w:color w:val="auto"/>
                <w:highlight w:val="none"/>
                <w:lang w:val="en-US" w:eastAsia="zh-CN"/>
              </w:rPr>
              <w:t>，拟新增一套循环水量15m</w:t>
            </w:r>
            <w:r>
              <w:rPr>
                <w:rFonts w:hint="eastAsia"/>
                <w:color w:val="auto"/>
                <w:highlight w:val="none"/>
                <w:vertAlign w:val="superscript"/>
                <w:lang w:val="en-US" w:eastAsia="zh-CN"/>
              </w:rPr>
              <w:t>3</w:t>
            </w:r>
            <w:r>
              <w:rPr>
                <w:rFonts w:hint="eastAsia"/>
                <w:color w:val="auto"/>
                <w:highlight w:val="none"/>
                <w:lang w:val="en-US" w:eastAsia="zh-CN"/>
              </w:rPr>
              <w:t>/h的冷却塔，冷却水池5m</w:t>
            </w:r>
            <w:r>
              <w:rPr>
                <w:rFonts w:hint="eastAsia"/>
                <w:color w:val="auto"/>
                <w:highlight w:val="none"/>
                <w:vertAlign w:val="superscript"/>
                <w:lang w:val="en-US" w:eastAsia="zh-CN"/>
              </w:rPr>
              <w:t>3</w:t>
            </w:r>
            <w:r>
              <w:rPr>
                <w:rFonts w:hint="eastAsia"/>
                <w:color w:val="auto"/>
                <w:highlight w:val="none"/>
                <w:lang w:val="en-US" w:eastAsia="zh-CN"/>
              </w:rPr>
              <w:t>。</w:t>
            </w:r>
          </w:p>
          <w:p w14:paraId="290E575B">
            <w:pPr>
              <w:pStyle w:val="18"/>
              <w:bidi w:val="0"/>
              <w:rPr>
                <w:rFonts w:hint="eastAsia"/>
                <w:color w:val="auto"/>
                <w:highlight w:val="none"/>
                <w:lang w:val="en-US" w:eastAsia="zh-CN"/>
              </w:rPr>
            </w:pPr>
            <w:r>
              <w:rPr>
                <w:rFonts w:hint="eastAsia"/>
                <w:color w:val="auto"/>
                <w:highlight w:val="none"/>
                <w:lang w:val="en-US" w:eastAsia="zh-CN"/>
              </w:rPr>
              <w:t>循环水系统每日排放一定的水量以维持确定的循环水浓缩倍率，此外冷却水每年更换一次。</w:t>
            </w:r>
            <w:r>
              <w:rPr>
                <w:rFonts w:hint="eastAsia"/>
                <w:color w:val="auto"/>
                <w:highlight w:val="none"/>
                <w:lang w:eastAsia="zh-CN"/>
              </w:rPr>
              <w:t>冷却水不与物料直接接触，间接冷却，</w:t>
            </w:r>
            <w:r>
              <w:rPr>
                <w:rFonts w:hint="eastAsia"/>
                <w:color w:val="auto"/>
                <w:highlight w:val="none"/>
                <w:lang w:val="en-US" w:eastAsia="zh-CN"/>
              </w:rPr>
              <w:t>每日有新鲜水补充，冷却水较为洁净，排入市政污水管网。此工序主要为冷却塔设备运行噪声N，冷却水排水W1。</w:t>
            </w:r>
          </w:p>
          <w:p w14:paraId="2C6E6174">
            <w:pPr>
              <w:pStyle w:val="18"/>
              <w:bidi w:val="0"/>
              <w:rPr>
                <w:rFonts w:hint="default"/>
                <w:color w:val="auto"/>
                <w:highlight w:val="none"/>
                <w:lang w:val="en-US" w:eastAsia="zh-CN"/>
              </w:rPr>
            </w:pPr>
            <w:r>
              <w:rPr>
                <w:rFonts w:hint="default"/>
                <w:color w:val="auto"/>
                <w:highlight w:val="none"/>
              </w:rPr>
              <w:t>③</w:t>
            </w:r>
            <w:r>
              <w:rPr>
                <w:rFonts w:hint="eastAsia"/>
                <w:color w:val="auto"/>
                <w:highlight w:val="none"/>
                <w:lang w:val="en-US" w:eastAsia="zh-CN"/>
              </w:rPr>
              <w:t>空压机系统</w:t>
            </w:r>
          </w:p>
          <w:p w14:paraId="6123CDFB">
            <w:pPr>
              <w:pStyle w:val="18"/>
              <w:keepNext w:val="0"/>
              <w:keepLines w:val="0"/>
              <w:suppressLineNumbers w:val="0"/>
              <w:bidi w:val="0"/>
              <w:spacing w:before="0" w:beforeAutospacing="0" w:after="0" w:afterAutospacing="0"/>
              <w:ind w:left="0" w:right="0"/>
              <w:rPr>
                <w:rFonts w:hint="eastAsia" w:ascii="Times New Roman" w:hAnsi="Times New Roman" w:eastAsia="宋体" w:cs="宋体"/>
                <w:b w:val="0"/>
                <w:bCs w:val="0"/>
                <w:color w:val="auto"/>
                <w:highlight w:val="none"/>
                <w:lang w:val="en-US" w:eastAsia="zh-CN"/>
              </w:rPr>
            </w:pPr>
            <w:r>
              <w:rPr>
                <w:rFonts w:hint="eastAsia" w:ascii="Times New Roman" w:hAnsi="Times New Roman" w:eastAsia="宋体" w:cs="宋体"/>
                <w:b w:val="0"/>
                <w:bCs w:val="0"/>
                <w:color w:val="auto"/>
                <w:highlight w:val="none"/>
                <w:lang w:val="en-US" w:eastAsia="zh-CN"/>
              </w:rPr>
              <w:t>项目</w:t>
            </w:r>
            <w:r>
              <w:rPr>
                <w:rFonts w:hint="eastAsia" w:cs="宋体"/>
                <w:b w:val="0"/>
                <w:bCs w:val="0"/>
                <w:color w:val="auto"/>
                <w:highlight w:val="none"/>
                <w:lang w:val="en-US" w:eastAsia="zh-CN"/>
              </w:rPr>
              <w:t>扩建后共</w:t>
            </w:r>
            <w:r>
              <w:rPr>
                <w:rFonts w:hint="eastAsia" w:ascii="Times New Roman" w:hAnsi="Times New Roman" w:cs="宋体"/>
                <w:b w:val="0"/>
                <w:bCs w:val="0"/>
                <w:color w:val="auto"/>
                <w:highlight w:val="none"/>
                <w:lang w:val="en-US" w:eastAsia="zh-CN"/>
              </w:rPr>
              <w:t>设置</w:t>
            </w:r>
            <w:r>
              <w:rPr>
                <w:rFonts w:hint="eastAsia" w:cs="宋体"/>
                <w:b w:val="0"/>
                <w:bCs w:val="0"/>
                <w:color w:val="auto"/>
                <w:highlight w:val="none"/>
                <w:lang w:val="en-US" w:eastAsia="zh-CN"/>
              </w:rPr>
              <w:t>2</w:t>
            </w:r>
            <w:r>
              <w:rPr>
                <w:rFonts w:hint="eastAsia" w:ascii="Times New Roman" w:hAnsi="Times New Roman" w:eastAsia="宋体" w:cs="宋体"/>
                <w:b w:val="0"/>
                <w:bCs w:val="0"/>
                <w:color w:val="auto"/>
                <w:highlight w:val="none"/>
                <w:lang w:val="en-US" w:eastAsia="zh-CN"/>
              </w:rPr>
              <w:t>台螺杆式空压机</w:t>
            </w:r>
            <w:r>
              <w:rPr>
                <w:rFonts w:hint="eastAsia" w:ascii="Times New Roman" w:hAnsi="Times New Roman" w:cs="宋体"/>
                <w:b w:val="0"/>
                <w:bCs w:val="0"/>
                <w:color w:val="auto"/>
                <w:highlight w:val="none"/>
                <w:lang w:val="en-US" w:eastAsia="zh-CN"/>
              </w:rPr>
              <w:t>供压缩空气</w:t>
            </w:r>
            <w:r>
              <w:rPr>
                <w:rFonts w:hint="eastAsia" w:cs="宋体"/>
                <w:b w:val="0"/>
                <w:bCs w:val="0"/>
                <w:color w:val="auto"/>
                <w:highlight w:val="none"/>
                <w:lang w:val="en-US" w:eastAsia="zh-CN"/>
              </w:rPr>
              <w:t>。</w:t>
            </w:r>
            <w:r>
              <w:rPr>
                <w:rFonts w:hint="eastAsia" w:ascii="Times New Roman" w:hAnsi="Times New Roman" w:eastAsia="宋体" w:cs="宋体"/>
                <w:b w:val="0"/>
                <w:bCs w:val="0"/>
                <w:color w:val="auto"/>
                <w:highlight w:val="none"/>
                <w:lang w:val="en-US" w:eastAsia="zh-CN"/>
              </w:rPr>
              <w:t>空压机运行有设备噪声N。空压机使用润滑油润滑，压缩过程中润滑油因压力差的作用喷入压缩室内，起到润滑螺杆转子、密封和冷却压缩空气等作用，同时，润滑油也会随着压缩空气进入到后端气路当中，其中大量润滑油被油气分离器分离，少量润滑油与压缩过程产生的冷凝水混合，收集在空压机内部集液器中，设备运行高温蒸发大部分水，残留高浓度空压机</w:t>
            </w:r>
            <w:r>
              <w:rPr>
                <w:rFonts w:hint="eastAsia" w:cs="宋体"/>
                <w:b w:val="0"/>
                <w:bCs w:val="0"/>
                <w:color w:val="auto"/>
                <w:highlight w:val="none"/>
                <w:lang w:val="en-US" w:eastAsia="zh-CN"/>
              </w:rPr>
              <w:t>废油</w:t>
            </w:r>
            <w:r>
              <w:rPr>
                <w:rFonts w:hint="eastAsia" w:ascii="Times New Roman" w:hAnsi="Times New Roman" w:eastAsia="宋体" w:cs="宋体"/>
                <w:b w:val="0"/>
                <w:bCs w:val="0"/>
                <w:color w:val="auto"/>
                <w:highlight w:val="none"/>
                <w:lang w:val="en-US" w:eastAsia="zh-CN"/>
              </w:rPr>
              <w:t>S1</w:t>
            </w:r>
            <w:r>
              <w:rPr>
                <w:rFonts w:hint="eastAsia" w:cs="宋体"/>
                <w:b w:val="0"/>
                <w:bCs w:val="0"/>
                <w:color w:val="auto"/>
                <w:highlight w:val="none"/>
                <w:lang w:val="en-US" w:eastAsia="zh-CN"/>
              </w:rPr>
              <w:t>3</w:t>
            </w:r>
            <w:r>
              <w:rPr>
                <w:rFonts w:hint="eastAsia" w:ascii="Times New Roman" w:hAnsi="Times New Roman" w:eastAsia="宋体" w:cs="宋体"/>
                <w:b w:val="0"/>
                <w:bCs w:val="0"/>
                <w:color w:val="auto"/>
                <w:highlight w:val="none"/>
                <w:lang w:val="en-US" w:eastAsia="zh-CN"/>
              </w:rPr>
              <w:t>，</w:t>
            </w:r>
            <w:r>
              <w:rPr>
                <w:rFonts w:hint="eastAsia" w:cs="宋体"/>
                <w:b w:val="0"/>
                <w:bCs w:val="0"/>
                <w:color w:val="auto"/>
                <w:highlight w:val="none"/>
                <w:lang w:val="en-US" w:eastAsia="zh-CN"/>
              </w:rPr>
              <w:t>为危险废物</w:t>
            </w:r>
            <w:r>
              <w:rPr>
                <w:rFonts w:hint="eastAsia" w:ascii="Times New Roman" w:hAnsi="Times New Roman" w:eastAsia="宋体" w:cs="宋体"/>
                <w:b w:val="0"/>
                <w:bCs w:val="0"/>
                <w:color w:val="auto"/>
                <w:highlight w:val="none"/>
                <w:lang w:val="en-US" w:eastAsia="zh-CN"/>
              </w:rPr>
              <w:t>。</w:t>
            </w:r>
          </w:p>
          <w:p w14:paraId="55BC1BC6">
            <w:pPr>
              <w:pStyle w:val="18"/>
              <w:bidi w:val="0"/>
              <w:rPr>
                <w:rFonts w:hint="eastAsia"/>
                <w:color w:val="auto"/>
                <w:highlight w:val="none"/>
              </w:rPr>
            </w:pPr>
            <w:r>
              <w:rPr>
                <w:rFonts w:hint="default"/>
                <w:color w:val="auto"/>
                <w:highlight w:val="none"/>
              </w:rPr>
              <w:t>④</w:t>
            </w:r>
            <w:r>
              <w:rPr>
                <w:rFonts w:hint="eastAsia"/>
                <w:color w:val="auto"/>
                <w:highlight w:val="none"/>
              </w:rPr>
              <w:t>废气处理设施运行过程中，产生</w:t>
            </w:r>
            <w:r>
              <w:rPr>
                <w:rFonts w:hint="eastAsia"/>
                <w:color w:val="auto"/>
                <w:highlight w:val="none"/>
                <w:lang w:val="en-US" w:eastAsia="zh-CN"/>
              </w:rPr>
              <w:t>废UV灯管S14、废过滤棉S15、</w:t>
            </w:r>
            <w:r>
              <w:rPr>
                <w:rFonts w:hint="eastAsia"/>
                <w:color w:val="auto"/>
                <w:highlight w:val="none"/>
              </w:rPr>
              <w:t>废活性炭S</w:t>
            </w:r>
            <w:r>
              <w:rPr>
                <w:rFonts w:hint="eastAsia"/>
                <w:color w:val="auto"/>
                <w:highlight w:val="none"/>
                <w:lang w:val="en-US" w:eastAsia="zh-CN"/>
              </w:rPr>
              <w:t>16</w:t>
            </w:r>
            <w:r>
              <w:rPr>
                <w:rFonts w:hint="eastAsia"/>
                <w:color w:val="auto"/>
                <w:highlight w:val="none"/>
              </w:rPr>
              <w:t>。风机设备运行产生设备噪声N。</w:t>
            </w:r>
          </w:p>
          <w:p w14:paraId="57A598A3">
            <w:pPr>
              <w:pStyle w:val="18"/>
              <w:bidi w:val="0"/>
              <w:rPr>
                <w:rFonts w:hint="default"/>
                <w:color w:val="auto"/>
                <w:highlight w:val="none"/>
                <w:lang w:val="en-US"/>
              </w:rPr>
            </w:pPr>
            <w:r>
              <w:rPr>
                <w:rFonts w:hint="eastAsia"/>
                <w:color w:val="auto"/>
                <w:highlight w:val="none"/>
              </w:rPr>
              <w:t>⑤</w:t>
            </w:r>
            <w:r>
              <w:rPr>
                <w:rFonts w:hint="eastAsia"/>
                <w:color w:val="auto"/>
                <w:highlight w:val="none"/>
                <w:lang w:val="en-US" w:eastAsia="zh-CN"/>
              </w:rPr>
              <w:t>地面清洁。</w:t>
            </w:r>
            <w:r>
              <w:rPr>
                <w:rFonts w:hint="eastAsia"/>
                <w:color w:val="auto"/>
                <w:highlight w:val="none"/>
                <w:lang w:eastAsia="zh-CN"/>
              </w:rPr>
              <w:t>地面清洁采用湿拖把清洁，每周清洁一次，</w:t>
            </w:r>
            <w:r>
              <w:rPr>
                <w:rFonts w:hint="eastAsia"/>
                <w:color w:val="auto"/>
                <w:highlight w:val="none"/>
                <w:lang w:val="en-US" w:eastAsia="zh-CN"/>
              </w:rPr>
              <w:t>产生地面清洁废水W2。</w:t>
            </w:r>
          </w:p>
          <w:p w14:paraId="7D435D2C">
            <w:pPr>
              <w:pStyle w:val="18"/>
              <w:bidi w:val="0"/>
              <w:rPr>
                <w:rFonts w:hint="eastAsia"/>
                <w:color w:val="auto"/>
                <w:highlight w:val="none"/>
                <w:lang w:val="en-US" w:eastAsia="zh-CN"/>
              </w:rPr>
            </w:pPr>
            <w:r>
              <w:rPr>
                <w:rFonts w:hint="eastAsia" w:ascii="宋体" w:hAnsi="宋体" w:eastAsia="宋体" w:cs="宋体"/>
                <w:color w:val="auto"/>
                <w:highlight w:val="none"/>
              </w:rPr>
              <w:t>⑥</w:t>
            </w:r>
            <w:r>
              <w:rPr>
                <w:rFonts w:hint="eastAsia"/>
                <w:color w:val="auto"/>
                <w:highlight w:val="none"/>
                <w:lang w:val="en-US" w:eastAsia="zh-CN"/>
              </w:rPr>
              <w:t>员工生活。产生生活废水W3，生活垃圾S17。</w:t>
            </w:r>
          </w:p>
          <w:p w14:paraId="1A4EA36B">
            <w:pPr>
              <w:pStyle w:val="18"/>
              <w:keepNext w:val="0"/>
              <w:keepLines w:val="0"/>
              <w:suppressLineNumbers w:val="0"/>
              <w:spacing w:before="0" w:beforeAutospacing="0" w:after="0" w:afterAutospacing="0"/>
              <w:ind w:left="0" w:right="0"/>
              <w:rPr>
                <w:rFonts w:hint="eastAsia"/>
                <w:color w:val="auto"/>
                <w:highlight w:val="none"/>
              </w:rPr>
            </w:pPr>
            <w:r>
              <w:rPr>
                <w:rFonts w:hint="eastAsia"/>
                <w:b w:val="0"/>
                <w:bCs w:val="0"/>
                <w:color w:val="auto"/>
                <w:highlight w:val="none"/>
                <w:lang w:val="en-US" w:eastAsia="zh-CN"/>
              </w:rPr>
              <w:t>综上，</w:t>
            </w:r>
            <w:r>
              <w:rPr>
                <w:rFonts w:hint="eastAsia"/>
                <w:color w:val="auto"/>
                <w:highlight w:val="none"/>
              </w:rPr>
              <w:t>本项目主要污染源及产生情况见下</w:t>
            </w:r>
            <w:r>
              <w:rPr>
                <w:rFonts w:hint="eastAsia"/>
                <w:color w:val="auto"/>
                <w:highlight w:val="none"/>
              </w:rPr>
              <w:fldChar w:fldCharType="begin"/>
            </w:r>
            <w:r>
              <w:rPr>
                <w:rFonts w:hint="eastAsia"/>
                <w:color w:val="auto"/>
                <w:highlight w:val="none"/>
              </w:rPr>
              <w:instrText xml:space="preserve"> REF _Ref3779 \h </w:instrText>
            </w:r>
            <w:r>
              <w:rPr>
                <w:rFonts w:hint="eastAsia"/>
                <w:color w:val="auto"/>
                <w:highlight w:val="none"/>
              </w:rPr>
              <w:fldChar w:fldCharType="separate"/>
            </w:r>
            <w:r>
              <w:rPr>
                <w:color w:val="auto"/>
                <w:highlight w:val="none"/>
              </w:rPr>
              <w:t>表2-8</w:t>
            </w:r>
            <w:r>
              <w:rPr>
                <w:rFonts w:hint="eastAsia"/>
                <w:color w:val="auto"/>
                <w:highlight w:val="none"/>
              </w:rPr>
              <w:fldChar w:fldCharType="end"/>
            </w:r>
            <w:r>
              <w:rPr>
                <w:rFonts w:hint="eastAsia"/>
                <w:color w:val="auto"/>
                <w:highlight w:val="none"/>
              </w:rPr>
              <w:t>。</w:t>
            </w:r>
          </w:p>
          <w:p w14:paraId="574C0675">
            <w:pPr>
              <w:pStyle w:val="19"/>
              <w:bidi w:val="0"/>
              <w:rPr>
                <w:rFonts w:hint="eastAsia"/>
                <w:color w:val="auto"/>
                <w:highlight w:val="none"/>
                <w:lang w:val="en-US" w:eastAsia="zh-CN"/>
              </w:rPr>
            </w:pPr>
            <w:bookmarkStart w:id="23" w:name="_Ref3779"/>
            <w:r>
              <w:rPr>
                <w:color w:val="auto"/>
                <w:highlight w:val="none"/>
              </w:rPr>
              <w:t>表2-</w:t>
            </w:r>
            <w:r>
              <w:rPr>
                <w:color w:val="auto"/>
                <w:highlight w:val="none"/>
              </w:rPr>
              <w:fldChar w:fldCharType="begin"/>
            </w:r>
            <w:r>
              <w:rPr>
                <w:color w:val="auto"/>
                <w:highlight w:val="none"/>
              </w:rPr>
              <w:instrText xml:space="preserve"> SEQ 表2- \* ARABIC </w:instrText>
            </w:r>
            <w:r>
              <w:rPr>
                <w:color w:val="auto"/>
                <w:highlight w:val="none"/>
              </w:rPr>
              <w:fldChar w:fldCharType="separate"/>
            </w:r>
            <w:r>
              <w:rPr>
                <w:color w:val="auto"/>
                <w:highlight w:val="none"/>
              </w:rPr>
              <w:t>8</w:t>
            </w:r>
            <w:r>
              <w:rPr>
                <w:color w:val="auto"/>
                <w:highlight w:val="none"/>
              </w:rPr>
              <w:fldChar w:fldCharType="end"/>
            </w:r>
            <w:bookmarkEnd w:id="23"/>
            <w:r>
              <w:rPr>
                <w:rFonts w:hint="eastAsia"/>
                <w:color w:val="auto"/>
                <w:highlight w:val="none"/>
              </w:rPr>
              <w:t xml:space="preserve"> </w:t>
            </w:r>
            <w:r>
              <w:rPr>
                <w:color w:val="auto"/>
                <w:highlight w:val="none"/>
              </w:rPr>
              <w:t>项目</w:t>
            </w:r>
            <w:r>
              <w:rPr>
                <w:rFonts w:hint="eastAsia"/>
                <w:color w:val="auto"/>
                <w:highlight w:val="none"/>
                <w:lang w:val="en-US" w:eastAsia="zh-CN"/>
              </w:rPr>
              <w:t>其他环节</w:t>
            </w:r>
            <w:r>
              <w:rPr>
                <w:color w:val="auto"/>
                <w:highlight w:val="none"/>
              </w:rPr>
              <w:t>运营期主要污染工序汇总</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83"/>
              <w:gridCol w:w="688"/>
              <w:gridCol w:w="896"/>
              <w:gridCol w:w="2083"/>
              <w:gridCol w:w="1457"/>
              <w:gridCol w:w="2613"/>
            </w:tblGrid>
            <w:tr w14:paraId="777C2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6" w:hRule="atLeast"/>
                <w:jc w:val="center"/>
              </w:trPr>
              <w:tc>
                <w:tcPr>
                  <w:tcW w:w="350" w:type="pct"/>
                  <w:tcMar>
                    <w:top w:w="0" w:type="dxa"/>
                    <w:left w:w="57" w:type="dxa"/>
                    <w:bottom w:w="0" w:type="dxa"/>
                    <w:right w:w="57" w:type="dxa"/>
                  </w:tcMar>
                  <w:vAlign w:val="center"/>
                </w:tcPr>
                <w:p w14:paraId="5B5CF9C3">
                  <w:pPr>
                    <w:pStyle w:val="20"/>
                    <w:spacing w:before="31"/>
                    <w:rPr>
                      <w:b/>
                      <w:bCs/>
                      <w:color w:val="auto"/>
                      <w:highlight w:val="none"/>
                    </w:rPr>
                  </w:pPr>
                  <w:r>
                    <w:rPr>
                      <w:rFonts w:hint="eastAsia"/>
                      <w:b/>
                      <w:bCs/>
                      <w:color w:val="auto"/>
                      <w:highlight w:val="none"/>
                    </w:rPr>
                    <w:t>生产单元</w:t>
                  </w:r>
                </w:p>
              </w:tc>
              <w:tc>
                <w:tcPr>
                  <w:tcW w:w="413" w:type="pct"/>
                  <w:tcMar>
                    <w:top w:w="0" w:type="dxa"/>
                    <w:left w:w="57" w:type="dxa"/>
                    <w:bottom w:w="0" w:type="dxa"/>
                    <w:right w:w="57" w:type="dxa"/>
                  </w:tcMar>
                  <w:vAlign w:val="center"/>
                </w:tcPr>
                <w:p w14:paraId="1727B580">
                  <w:pPr>
                    <w:pStyle w:val="20"/>
                    <w:spacing w:before="31"/>
                    <w:rPr>
                      <w:b/>
                      <w:bCs/>
                      <w:color w:val="auto"/>
                      <w:highlight w:val="none"/>
                    </w:rPr>
                  </w:pPr>
                  <w:r>
                    <w:rPr>
                      <w:b/>
                      <w:bCs/>
                      <w:color w:val="auto"/>
                      <w:highlight w:val="none"/>
                    </w:rPr>
                    <w:t>污染类别</w:t>
                  </w:r>
                </w:p>
              </w:tc>
              <w:tc>
                <w:tcPr>
                  <w:tcW w:w="538" w:type="pct"/>
                  <w:tcMar>
                    <w:top w:w="0" w:type="dxa"/>
                    <w:left w:w="57" w:type="dxa"/>
                    <w:bottom w:w="0" w:type="dxa"/>
                    <w:right w:w="57" w:type="dxa"/>
                  </w:tcMar>
                  <w:vAlign w:val="center"/>
                </w:tcPr>
                <w:p w14:paraId="237655D2">
                  <w:pPr>
                    <w:pStyle w:val="20"/>
                    <w:spacing w:before="31"/>
                    <w:rPr>
                      <w:b/>
                      <w:bCs/>
                      <w:color w:val="auto"/>
                      <w:highlight w:val="none"/>
                    </w:rPr>
                  </w:pPr>
                  <w:r>
                    <w:rPr>
                      <w:rFonts w:hint="eastAsia"/>
                      <w:b/>
                      <w:bCs/>
                      <w:color w:val="auto"/>
                      <w:highlight w:val="none"/>
                    </w:rPr>
                    <w:t>编号</w:t>
                  </w:r>
                </w:p>
              </w:tc>
              <w:tc>
                <w:tcPr>
                  <w:tcW w:w="1251" w:type="pct"/>
                  <w:tcMar>
                    <w:top w:w="0" w:type="dxa"/>
                    <w:left w:w="57" w:type="dxa"/>
                    <w:bottom w:w="0" w:type="dxa"/>
                    <w:right w:w="57" w:type="dxa"/>
                  </w:tcMar>
                  <w:vAlign w:val="center"/>
                </w:tcPr>
                <w:p w14:paraId="6AB5F7A3">
                  <w:pPr>
                    <w:pStyle w:val="20"/>
                    <w:spacing w:before="31"/>
                    <w:rPr>
                      <w:b/>
                      <w:bCs/>
                      <w:color w:val="auto"/>
                      <w:highlight w:val="none"/>
                    </w:rPr>
                  </w:pPr>
                  <w:r>
                    <w:rPr>
                      <w:rFonts w:hint="eastAsia"/>
                      <w:b/>
                      <w:bCs/>
                      <w:color w:val="auto"/>
                      <w:highlight w:val="none"/>
                    </w:rPr>
                    <w:t>名称</w:t>
                  </w:r>
                </w:p>
              </w:tc>
              <w:tc>
                <w:tcPr>
                  <w:tcW w:w="875" w:type="pct"/>
                  <w:tcMar>
                    <w:top w:w="0" w:type="dxa"/>
                    <w:left w:w="57" w:type="dxa"/>
                    <w:bottom w:w="0" w:type="dxa"/>
                    <w:right w:w="57" w:type="dxa"/>
                  </w:tcMar>
                  <w:vAlign w:val="center"/>
                </w:tcPr>
                <w:p w14:paraId="70DBB1EB">
                  <w:pPr>
                    <w:pStyle w:val="20"/>
                    <w:spacing w:before="31"/>
                    <w:rPr>
                      <w:b/>
                      <w:bCs/>
                      <w:color w:val="auto"/>
                      <w:highlight w:val="none"/>
                    </w:rPr>
                  </w:pPr>
                  <w:r>
                    <w:rPr>
                      <w:rFonts w:hint="eastAsia"/>
                      <w:b/>
                      <w:bCs/>
                      <w:color w:val="auto"/>
                      <w:highlight w:val="none"/>
                    </w:rPr>
                    <w:t>产污环节</w:t>
                  </w:r>
                </w:p>
              </w:tc>
              <w:tc>
                <w:tcPr>
                  <w:tcW w:w="1569" w:type="pct"/>
                  <w:tcMar>
                    <w:top w:w="0" w:type="dxa"/>
                    <w:left w:w="57" w:type="dxa"/>
                    <w:bottom w:w="0" w:type="dxa"/>
                    <w:right w:w="57" w:type="dxa"/>
                  </w:tcMar>
                  <w:vAlign w:val="center"/>
                </w:tcPr>
                <w:p w14:paraId="389D1312">
                  <w:pPr>
                    <w:pStyle w:val="20"/>
                    <w:spacing w:before="31"/>
                    <w:rPr>
                      <w:b/>
                      <w:bCs/>
                      <w:color w:val="auto"/>
                      <w:highlight w:val="none"/>
                    </w:rPr>
                  </w:pPr>
                  <w:r>
                    <w:rPr>
                      <w:b/>
                      <w:bCs/>
                      <w:color w:val="auto"/>
                      <w:highlight w:val="none"/>
                    </w:rPr>
                    <w:t>主要污染因子</w:t>
                  </w:r>
                </w:p>
              </w:tc>
            </w:tr>
            <w:tr w14:paraId="675D9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0" w:type="pct"/>
                  <w:vMerge w:val="restart"/>
                  <w:tcMar>
                    <w:left w:w="57" w:type="dxa"/>
                    <w:right w:w="57" w:type="dxa"/>
                  </w:tcMar>
                  <w:vAlign w:val="center"/>
                </w:tcPr>
                <w:p w14:paraId="26D62BFC">
                  <w:pPr>
                    <w:pStyle w:val="20"/>
                    <w:spacing w:before="31"/>
                    <w:rPr>
                      <w:color w:val="auto"/>
                      <w:highlight w:val="none"/>
                    </w:rPr>
                  </w:pPr>
                  <w:r>
                    <w:rPr>
                      <w:rFonts w:hint="eastAsia"/>
                      <w:color w:val="auto"/>
                      <w:highlight w:val="none"/>
                    </w:rPr>
                    <w:t>其他产污环节</w:t>
                  </w:r>
                </w:p>
              </w:tc>
              <w:tc>
                <w:tcPr>
                  <w:tcW w:w="413" w:type="pct"/>
                  <w:vMerge w:val="restart"/>
                  <w:tcMar>
                    <w:left w:w="57" w:type="dxa"/>
                    <w:right w:w="57" w:type="dxa"/>
                  </w:tcMar>
                  <w:vAlign w:val="center"/>
                </w:tcPr>
                <w:p w14:paraId="20B2ED1A">
                  <w:pPr>
                    <w:pStyle w:val="20"/>
                    <w:spacing w:before="31"/>
                    <w:rPr>
                      <w:rFonts w:hint="eastAsia"/>
                      <w:color w:val="auto"/>
                      <w:highlight w:val="none"/>
                    </w:rPr>
                  </w:pPr>
                  <w:r>
                    <w:rPr>
                      <w:rFonts w:hint="eastAsia"/>
                      <w:color w:val="auto"/>
                      <w:highlight w:val="none"/>
                    </w:rPr>
                    <w:t>废气</w:t>
                  </w:r>
                </w:p>
              </w:tc>
              <w:tc>
                <w:tcPr>
                  <w:tcW w:w="538" w:type="pct"/>
                  <w:tcMar>
                    <w:left w:w="57" w:type="dxa"/>
                    <w:right w:w="57" w:type="dxa"/>
                  </w:tcMar>
                  <w:vAlign w:val="center"/>
                </w:tcPr>
                <w:p w14:paraId="0172DCB0">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G1</w:t>
                  </w:r>
                </w:p>
              </w:tc>
              <w:tc>
                <w:tcPr>
                  <w:tcW w:w="1251" w:type="pct"/>
                  <w:tcMar>
                    <w:left w:w="57" w:type="dxa"/>
                    <w:right w:w="57" w:type="dxa"/>
                  </w:tcMar>
                  <w:vAlign w:val="center"/>
                </w:tcPr>
                <w:p w14:paraId="44341C21">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注塑废气</w:t>
                  </w:r>
                </w:p>
              </w:tc>
              <w:tc>
                <w:tcPr>
                  <w:tcW w:w="875" w:type="pct"/>
                  <w:tcMar>
                    <w:left w:w="57" w:type="dxa"/>
                    <w:right w:w="57" w:type="dxa"/>
                  </w:tcMar>
                  <w:vAlign w:val="center"/>
                </w:tcPr>
                <w:p w14:paraId="085651CA">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注塑</w:t>
                  </w:r>
                </w:p>
              </w:tc>
              <w:tc>
                <w:tcPr>
                  <w:tcW w:w="1569" w:type="pct"/>
                  <w:tcMar>
                    <w:left w:w="57" w:type="dxa"/>
                    <w:right w:w="57" w:type="dxa"/>
                  </w:tcMar>
                  <w:vAlign w:val="center"/>
                </w:tcPr>
                <w:p w14:paraId="290C7D10">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非甲烷总烃</w:t>
                  </w:r>
                  <w:r>
                    <w:rPr>
                      <w:rFonts w:hint="eastAsia"/>
                      <w:color w:val="auto"/>
                      <w:highlight w:val="none"/>
                      <w:lang w:eastAsia="zh-CN"/>
                    </w:rPr>
                    <w:t>、</w:t>
                  </w:r>
                  <w:r>
                    <w:rPr>
                      <w:rFonts w:hint="eastAsia"/>
                      <w:color w:val="auto"/>
                      <w:highlight w:val="none"/>
                    </w:rPr>
                    <w:t>丙烯腈</w:t>
                  </w:r>
                  <w:r>
                    <w:rPr>
                      <w:rFonts w:hint="eastAsia"/>
                      <w:color w:val="auto"/>
                      <w:highlight w:val="none"/>
                      <w:lang w:eastAsia="zh-CN"/>
                    </w:rPr>
                    <w:t>、</w:t>
                  </w:r>
                  <w:r>
                    <w:rPr>
                      <w:rFonts w:hint="eastAsia"/>
                      <w:color w:val="auto"/>
                      <w:highlight w:val="none"/>
                    </w:rPr>
                    <w:t>1,3-丁二烯</w:t>
                  </w:r>
                  <w:r>
                    <w:rPr>
                      <w:rFonts w:hint="eastAsia"/>
                      <w:color w:val="auto"/>
                      <w:highlight w:val="none"/>
                      <w:lang w:eastAsia="zh-CN"/>
                    </w:rPr>
                    <w:t>、</w:t>
                  </w:r>
                  <w:r>
                    <w:rPr>
                      <w:rFonts w:hint="eastAsia"/>
                      <w:color w:val="auto"/>
                      <w:highlight w:val="none"/>
                    </w:rPr>
                    <w:t>苯乙烯</w:t>
                  </w:r>
                  <w:r>
                    <w:rPr>
                      <w:rFonts w:hint="eastAsia"/>
                      <w:color w:val="auto"/>
                      <w:highlight w:val="none"/>
                      <w:lang w:eastAsia="zh-CN"/>
                    </w:rPr>
                    <w:t>、</w:t>
                  </w:r>
                  <w:r>
                    <w:rPr>
                      <w:rFonts w:hint="eastAsia"/>
                      <w:color w:val="auto"/>
                      <w:highlight w:val="none"/>
                    </w:rPr>
                    <w:t>甲苯</w:t>
                  </w:r>
                  <w:r>
                    <w:rPr>
                      <w:rFonts w:hint="eastAsia"/>
                      <w:color w:val="auto"/>
                      <w:highlight w:val="none"/>
                      <w:lang w:eastAsia="zh-CN"/>
                    </w:rPr>
                    <w:t>、</w:t>
                  </w:r>
                  <w:r>
                    <w:rPr>
                      <w:rFonts w:hint="eastAsia"/>
                      <w:color w:val="auto"/>
                      <w:highlight w:val="none"/>
                    </w:rPr>
                    <w:t>乙苯</w:t>
                  </w:r>
                  <w:r>
                    <w:rPr>
                      <w:rFonts w:hint="eastAsia"/>
                      <w:color w:val="auto"/>
                      <w:highlight w:val="none"/>
                      <w:lang w:eastAsia="zh-CN"/>
                    </w:rPr>
                    <w:t>、</w:t>
                  </w:r>
                  <w:r>
                    <w:rPr>
                      <w:rFonts w:hint="eastAsia"/>
                      <w:color w:val="auto"/>
                      <w:highlight w:val="none"/>
                    </w:rPr>
                    <w:t>甲基丙烯酸甲酯</w:t>
                  </w:r>
                  <w:r>
                    <w:rPr>
                      <w:rFonts w:hint="eastAsia"/>
                      <w:color w:val="auto"/>
                      <w:highlight w:val="none"/>
                      <w:lang w:eastAsia="zh-CN"/>
                    </w:rPr>
                    <w:t>、</w:t>
                  </w:r>
                  <w:r>
                    <w:rPr>
                      <w:rFonts w:hint="eastAsia"/>
                      <w:color w:val="auto"/>
                      <w:highlight w:val="none"/>
                    </w:rPr>
                    <w:t>丙烯酸甲酯</w:t>
                  </w:r>
                  <w:r>
                    <w:rPr>
                      <w:rFonts w:hint="eastAsia"/>
                      <w:color w:val="auto"/>
                      <w:highlight w:val="none"/>
                      <w:lang w:eastAsia="zh-CN"/>
                    </w:rPr>
                    <w:t>、</w:t>
                  </w:r>
                  <w:r>
                    <w:rPr>
                      <w:rFonts w:hint="eastAsia"/>
                      <w:color w:val="auto"/>
                      <w:highlight w:val="none"/>
                    </w:rPr>
                    <w:t>丙烯酸</w:t>
                  </w:r>
                  <w:r>
                    <w:rPr>
                      <w:rFonts w:hint="eastAsia"/>
                      <w:color w:val="auto"/>
                      <w:highlight w:val="none"/>
                      <w:lang w:eastAsia="zh-CN"/>
                    </w:rPr>
                    <w:t>、</w:t>
                  </w:r>
                  <w:r>
                    <w:rPr>
                      <w:rFonts w:hint="eastAsia"/>
                      <w:color w:val="auto"/>
                      <w:highlight w:val="none"/>
                    </w:rPr>
                    <w:t>丙烯酸丁酯</w:t>
                  </w:r>
                  <w:r>
                    <w:rPr>
                      <w:rFonts w:hint="eastAsia"/>
                      <w:color w:val="auto"/>
                      <w:highlight w:val="none"/>
                      <w:lang w:eastAsia="zh-CN"/>
                    </w:rPr>
                    <w:t>、</w:t>
                  </w:r>
                  <w:r>
                    <w:rPr>
                      <w:rFonts w:hint="eastAsia"/>
                      <w:color w:val="auto"/>
                      <w:highlight w:val="none"/>
                    </w:rPr>
                    <w:t>颗粒物</w:t>
                  </w:r>
                  <w:r>
                    <w:rPr>
                      <w:rFonts w:hint="eastAsia"/>
                      <w:color w:val="auto"/>
                      <w:highlight w:val="none"/>
                      <w:lang w:eastAsia="zh-CN"/>
                    </w:rPr>
                    <w:t>、</w:t>
                  </w:r>
                  <w:r>
                    <w:rPr>
                      <w:rFonts w:hint="eastAsia"/>
                      <w:color w:val="auto"/>
                      <w:highlight w:val="none"/>
                      <w:lang w:val="en-US" w:eastAsia="zh-CN"/>
                    </w:rPr>
                    <w:t>臭气浓度</w:t>
                  </w:r>
                </w:p>
              </w:tc>
            </w:tr>
            <w:tr w14:paraId="6A4E7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0" w:type="pct"/>
                  <w:vMerge w:val="continue"/>
                  <w:tcMar>
                    <w:left w:w="57" w:type="dxa"/>
                    <w:right w:w="57" w:type="dxa"/>
                  </w:tcMar>
                  <w:vAlign w:val="center"/>
                </w:tcPr>
                <w:p w14:paraId="4D9F63A9">
                  <w:pPr>
                    <w:pStyle w:val="20"/>
                    <w:spacing w:before="31"/>
                    <w:rPr>
                      <w:rFonts w:hint="eastAsia"/>
                      <w:color w:val="auto"/>
                      <w:highlight w:val="none"/>
                    </w:rPr>
                  </w:pPr>
                </w:p>
              </w:tc>
              <w:tc>
                <w:tcPr>
                  <w:tcW w:w="413" w:type="pct"/>
                  <w:vMerge w:val="continue"/>
                  <w:tcMar>
                    <w:left w:w="57" w:type="dxa"/>
                    <w:right w:w="57" w:type="dxa"/>
                  </w:tcMar>
                  <w:vAlign w:val="center"/>
                </w:tcPr>
                <w:p w14:paraId="5D3E0424">
                  <w:pPr>
                    <w:pStyle w:val="20"/>
                    <w:spacing w:before="31"/>
                    <w:rPr>
                      <w:rFonts w:hint="eastAsia"/>
                      <w:color w:val="auto"/>
                      <w:highlight w:val="none"/>
                    </w:rPr>
                  </w:pPr>
                </w:p>
              </w:tc>
              <w:tc>
                <w:tcPr>
                  <w:tcW w:w="538" w:type="pct"/>
                  <w:tcMar>
                    <w:left w:w="57" w:type="dxa"/>
                    <w:right w:w="57" w:type="dxa"/>
                  </w:tcMar>
                  <w:vAlign w:val="center"/>
                </w:tcPr>
                <w:p w14:paraId="6E5D58C2">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G2</w:t>
                  </w:r>
                </w:p>
              </w:tc>
              <w:tc>
                <w:tcPr>
                  <w:tcW w:w="1251" w:type="pct"/>
                  <w:tcMar>
                    <w:left w:w="57" w:type="dxa"/>
                    <w:right w:w="57" w:type="dxa"/>
                  </w:tcMar>
                  <w:vAlign w:val="center"/>
                </w:tcPr>
                <w:p w14:paraId="26BFD4EF">
                  <w:pPr>
                    <w:pStyle w:val="20"/>
                    <w:spacing w:before="31"/>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焊接废气</w:t>
                  </w:r>
                </w:p>
              </w:tc>
              <w:tc>
                <w:tcPr>
                  <w:tcW w:w="875" w:type="pct"/>
                  <w:tcMar>
                    <w:left w:w="57" w:type="dxa"/>
                    <w:right w:w="57" w:type="dxa"/>
                  </w:tcMar>
                  <w:vAlign w:val="center"/>
                </w:tcPr>
                <w:p w14:paraId="279ADD6E">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焊接</w:t>
                  </w:r>
                </w:p>
              </w:tc>
              <w:tc>
                <w:tcPr>
                  <w:tcW w:w="1569" w:type="pct"/>
                  <w:tcMar>
                    <w:left w:w="57" w:type="dxa"/>
                    <w:right w:w="57" w:type="dxa"/>
                  </w:tcMar>
                  <w:vAlign w:val="center"/>
                </w:tcPr>
                <w:p w14:paraId="6DCC0E6E">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非甲烷总烃</w:t>
                  </w:r>
                </w:p>
              </w:tc>
            </w:tr>
            <w:tr w14:paraId="7CE0F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0" w:type="pct"/>
                  <w:vMerge w:val="continue"/>
                  <w:tcMar>
                    <w:left w:w="57" w:type="dxa"/>
                    <w:right w:w="57" w:type="dxa"/>
                  </w:tcMar>
                  <w:vAlign w:val="center"/>
                </w:tcPr>
                <w:p w14:paraId="39285C65">
                  <w:pPr>
                    <w:pStyle w:val="20"/>
                    <w:spacing w:before="31"/>
                    <w:rPr>
                      <w:rFonts w:hint="eastAsia"/>
                      <w:color w:val="auto"/>
                      <w:highlight w:val="none"/>
                    </w:rPr>
                  </w:pPr>
                </w:p>
              </w:tc>
              <w:tc>
                <w:tcPr>
                  <w:tcW w:w="413" w:type="pct"/>
                  <w:vMerge w:val="continue"/>
                  <w:tcMar>
                    <w:left w:w="57" w:type="dxa"/>
                    <w:right w:w="57" w:type="dxa"/>
                  </w:tcMar>
                  <w:vAlign w:val="center"/>
                </w:tcPr>
                <w:p w14:paraId="5551615B">
                  <w:pPr>
                    <w:pStyle w:val="20"/>
                    <w:spacing w:before="31"/>
                    <w:rPr>
                      <w:rFonts w:hint="eastAsia"/>
                      <w:color w:val="auto"/>
                      <w:highlight w:val="none"/>
                    </w:rPr>
                  </w:pPr>
                </w:p>
              </w:tc>
              <w:tc>
                <w:tcPr>
                  <w:tcW w:w="538" w:type="pct"/>
                  <w:tcMar>
                    <w:left w:w="57" w:type="dxa"/>
                    <w:right w:w="57" w:type="dxa"/>
                  </w:tcMar>
                  <w:vAlign w:val="center"/>
                </w:tcPr>
                <w:p w14:paraId="2F4360AE">
                  <w:pPr>
                    <w:pStyle w:val="20"/>
                    <w:spacing w:before="31"/>
                    <w:rPr>
                      <w:rFonts w:hint="default" w:eastAsia="宋体"/>
                      <w:color w:val="auto"/>
                      <w:highlight w:val="none"/>
                      <w:lang w:val="en-US" w:eastAsia="zh-CN"/>
                    </w:rPr>
                  </w:pPr>
                  <w:r>
                    <w:rPr>
                      <w:color w:val="auto"/>
                      <w:kern w:val="0"/>
                      <w:sz w:val="24"/>
                      <w:szCs w:val="20"/>
                      <w:highlight w:val="none"/>
                    </w:rPr>
                    <w:t>G</w:t>
                  </w:r>
                  <w:r>
                    <w:rPr>
                      <w:rFonts w:hint="eastAsia"/>
                      <w:color w:val="auto"/>
                      <w:kern w:val="0"/>
                      <w:sz w:val="24"/>
                      <w:szCs w:val="20"/>
                      <w:highlight w:val="none"/>
                      <w:lang w:val="en-US" w:eastAsia="zh-CN"/>
                    </w:rPr>
                    <w:t>3</w:t>
                  </w:r>
                </w:p>
              </w:tc>
              <w:tc>
                <w:tcPr>
                  <w:tcW w:w="1251" w:type="pct"/>
                  <w:tcMar>
                    <w:left w:w="57" w:type="dxa"/>
                    <w:right w:w="57" w:type="dxa"/>
                  </w:tcMar>
                  <w:vAlign w:val="center"/>
                </w:tcPr>
                <w:p w14:paraId="4B96443A">
                  <w:pPr>
                    <w:pStyle w:val="20"/>
                    <w:spacing w:before="31"/>
                    <w:rPr>
                      <w:rFonts w:hint="default"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破碎粉尘</w:t>
                  </w:r>
                </w:p>
              </w:tc>
              <w:tc>
                <w:tcPr>
                  <w:tcW w:w="875" w:type="pct"/>
                  <w:tcMar>
                    <w:left w:w="57" w:type="dxa"/>
                    <w:right w:w="57" w:type="dxa"/>
                  </w:tcMar>
                  <w:vAlign w:val="center"/>
                </w:tcPr>
                <w:p w14:paraId="39D6654E">
                  <w:pPr>
                    <w:pStyle w:val="20"/>
                    <w:spacing w:before="31"/>
                    <w:rPr>
                      <w:rFonts w:hint="default" w:eastAsia="宋体"/>
                      <w:color w:val="auto"/>
                      <w:highlight w:val="none"/>
                      <w:lang w:val="en-US" w:eastAsia="zh-CN"/>
                    </w:rPr>
                  </w:pPr>
                  <w:r>
                    <w:rPr>
                      <w:rFonts w:hint="eastAsia"/>
                      <w:color w:val="auto"/>
                      <w:highlight w:val="none"/>
                      <w:lang w:val="en-US" w:eastAsia="zh-CN"/>
                    </w:rPr>
                    <w:t>破碎</w:t>
                  </w:r>
                </w:p>
              </w:tc>
              <w:tc>
                <w:tcPr>
                  <w:tcW w:w="1569" w:type="pct"/>
                  <w:tcMar>
                    <w:left w:w="57" w:type="dxa"/>
                    <w:right w:w="57" w:type="dxa"/>
                  </w:tcMar>
                  <w:vAlign w:val="center"/>
                </w:tcPr>
                <w:p w14:paraId="393DE087">
                  <w:pPr>
                    <w:pStyle w:val="20"/>
                    <w:spacing w:before="31"/>
                    <w:rPr>
                      <w:rFonts w:hint="default" w:eastAsia="宋体"/>
                      <w:color w:val="auto"/>
                      <w:highlight w:val="none"/>
                      <w:lang w:val="en-US" w:eastAsia="zh-CN"/>
                    </w:rPr>
                  </w:pPr>
                  <w:r>
                    <w:rPr>
                      <w:rFonts w:hint="eastAsia"/>
                      <w:color w:val="auto"/>
                      <w:highlight w:val="none"/>
                      <w:lang w:val="en-US" w:eastAsia="zh-CN"/>
                    </w:rPr>
                    <w:t>颗粒物</w:t>
                  </w:r>
                </w:p>
              </w:tc>
            </w:tr>
            <w:tr w14:paraId="38339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0" w:type="pct"/>
                  <w:vMerge w:val="continue"/>
                  <w:tcMar>
                    <w:left w:w="57" w:type="dxa"/>
                    <w:right w:w="57" w:type="dxa"/>
                  </w:tcMar>
                  <w:vAlign w:val="center"/>
                </w:tcPr>
                <w:p w14:paraId="78994DFB">
                  <w:pPr>
                    <w:pStyle w:val="20"/>
                    <w:spacing w:before="31"/>
                    <w:rPr>
                      <w:rFonts w:hint="eastAsia"/>
                      <w:color w:val="auto"/>
                      <w:highlight w:val="none"/>
                    </w:rPr>
                  </w:pPr>
                </w:p>
              </w:tc>
              <w:tc>
                <w:tcPr>
                  <w:tcW w:w="413" w:type="pct"/>
                  <w:vMerge w:val="continue"/>
                  <w:tcMar>
                    <w:left w:w="57" w:type="dxa"/>
                    <w:right w:w="57" w:type="dxa"/>
                  </w:tcMar>
                  <w:vAlign w:val="center"/>
                </w:tcPr>
                <w:p w14:paraId="04195D60">
                  <w:pPr>
                    <w:pStyle w:val="20"/>
                    <w:spacing w:before="31"/>
                    <w:rPr>
                      <w:rFonts w:hint="eastAsia"/>
                      <w:color w:val="auto"/>
                      <w:highlight w:val="none"/>
                    </w:rPr>
                  </w:pPr>
                </w:p>
              </w:tc>
              <w:tc>
                <w:tcPr>
                  <w:tcW w:w="538" w:type="pct"/>
                  <w:tcMar>
                    <w:left w:w="57" w:type="dxa"/>
                    <w:right w:w="57" w:type="dxa"/>
                  </w:tcMar>
                  <w:vAlign w:val="center"/>
                </w:tcPr>
                <w:p w14:paraId="0945028D">
                  <w:pPr>
                    <w:pStyle w:val="20"/>
                    <w:spacing w:before="31"/>
                    <w:rPr>
                      <w:color w:val="auto"/>
                      <w:kern w:val="0"/>
                      <w:sz w:val="24"/>
                      <w:szCs w:val="20"/>
                      <w:highlight w:val="none"/>
                    </w:rPr>
                  </w:pPr>
                  <w:r>
                    <w:rPr>
                      <w:rFonts w:hint="eastAsia"/>
                      <w:color w:val="auto"/>
                      <w:highlight w:val="none"/>
                      <w:lang w:val="en-US" w:eastAsia="zh-CN"/>
                    </w:rPr>
                    <w:t>G4</w:t>
                  </w:r>
                </w:p>
              </w:tc>
              <w:tc>
                <w:tcPr>
                  <w:tcW w:w="1251" w:type="pct"/>
                  <w:tcMar>
                    <w:left w:w="57" w:type="dxa"/>
                    <w:right w:w="57" w:type="dxa"/>
                  </w:tcMar>
                  <w:vAlign w:val="center"/>
                </w:tcPr>
                <w:p w14:paraId="6CDD9D01">
                  <w:pPr>
                    <w:pStyle w:val="20"/>
                    <w:spacing w:before="31"/>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脱模</w:t>
                  </w:r>
                  <w:r>
                    <w:rPr>
                      <w:rFonts w:hint="eastAsia" w:cs="宋体"/>
                      <w:color w:val="auto"/>
                      <w:highlight w:val="none"/>
                      <w:lang w:val="en-US" w:eastAsia="zh-CN"/>
                    </w:rPr>
                    <w:t>、</w:t>
                  </w:r>
                  <w:r>
                    <w:rPr>
                      <w:rFonts w:hint="eastAsia" w:ascii="Times New Roman" w:hAnsi="Times New Roman" w:eastAsia="宋体" w:cs="宋体"/>
                      <w:color w:val="auto"/>
                      <w:highlight w:val="none"/>
                      <w:lang w:val="en-US" w:eastAsia="zh-CN"/>
                    </w:rPr>
                    <w:t>清洗剂废气</w:t>
                  </w:r>
                </w:p>
              </w:tc>
              <w:tc>
                <w:tcPr>
                  <w:tcW w:w="875" w:type="pct"/>
                  <w:tcMar>
                    <w:left w:w="57" w:type="dxa"/>
                    <w:right w:w="57" w:type="dxa"/>
                  </w:tcMar>
                  <w:vAlign w:val="center"/>
                </w:tcPr>
                <w:p w14:paraId="1136377D">
                  <w:pPr>
                    <w:pStyle w:val="20"/>
                    <w:spacing w:before="31"/>
                    <w:rPr>
                      <w:rFonts w:hint="default"/>
                      <w:color w:val="auto"/>
                      <w:highlight w:val="none"/>
                      <w:lang w:val="en-US" w:eastAsia="zh-CN"/>
                    </w:rPr>
                  </w:pPr>
                  <w:r>
                    <w:rPr>
                      <w:rFonts w:hint="eastAsia"/>
                      <w:color w:val="auto"/>
                      <w:highlight w:val="none"/>
                      <w:lang w:val="en-US" w:eastAsia="zh-CN"/>
                    </w:rPr>
                    <w:t>设备保养维护</w:t>
                  </w:r>
                </w:p>
              </w:tc>
              <w:tc>
                <w:tcPr>
                  <w:tcW w:w="1569" w:type="pct"/>
                  <w:tcMar>
                    <w:left w:w="57" w:type="dxa"/>
                    <w:right w:w="57" w:type="dxa"/>
                  </w:tcMar>
                  <w:vAlign w:val="center"/>
                </w:tcPr>
                <w:p w14:paraId="63A5ADE4">
                  <w:pPr>
                    <w:pStyle w:val="20"/>
                    <w:spacing w:before="31"/>
                    <w:rPr>
                      <w:rFonts w:hint="default"/>
                      <w:color w:val="auto"/>
                      <w:highlight w:val="none"/>
                      <w:lang w:val="en-US" w:eastAsia="zh-CN"/>
                    </w:rPr>
                  </w:pPr>
                  <w:r>
                    <w:rPr>
                      <w:rFonts w:hint="eastAsia"/>
                      <w:color w:val="auto"/>
                      <w:highlight w:val="none"/>
                      <w:lang w:val="en-US" w:eastAsia="zh-CN"/>
                    </w:rPr>
                    <w:t>非甲烷总烃</w:t>
                  </w:r>
                </w:p>
              </w:tc>
            </w:tr>
            <w:tr w14:paraId="22254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0" w:type="pct"/>
                  <w:vMerge w:val="continue"/>
                  <w:tcMar>
                    <w:left w:w="57" w:type="dxa"/>
                    <w:right w:w="57" w:type="dxa"/>
                  </w:tcMar>
                  <w:vAlign w:val="center"/>
                </w:tcPr>
                <w:p w14:paraId="34ABF9DF">
                  <w:pPr>
                    <w:pStyle w:val="20"/>
                    <w:spacing w:before="31"/>
                    <w:rPr>
                      <w:color w:val="auto"/>
                      <w:highlight w:val="none"/>
                    </w:rPr>
                  </w:pPr>
                </w:p>
              </w:tc>
              <w:tc>
                <w:tcPr>
                  <w:tcW w:w="413" w:type="pct"/>
                  <w:vMerge w:val="restart"/>
                  <w:tcMar>
                    <w:left w:w="57" w:type="dxa"/>
                    <w:right w:w="57" w:type="dxa"/>
                  </w:tcMar>
                  <w:vAlign w:val="center"/>
                </w:tcPr>
                <w:p w14:paraId="58009604">
                  <w:pPr>
                    <w:pStyle w:val="20"/>
                    <w:spacing w:before="31"/>
                    <w:rPr>
                      <w:color w:val="auto"/>
                      <w:highlight w:val="none"/>
                    </w:rPr>
                  </w:pPr>
                  <w:r>
                    <w:rPr>
                      <w:rFonts w:hint="eastAsia"/>
                      <w:color w:val="auto"/>
                      <w:highlight w:val="none"/>
                    </w:rPr>
                    <w:t>废水</w:t>
                  </w:r>
                </w:p>
              </w:tc>
              <w:tc>
                <w:tcPr>
                  <w:tcW w:w="538" w:type="pct"/>
                  <w:tcMar>
                    <w:left w:w="57" w:type="dxa"/>
                    <w:right w:w="57" w:type="dxa"/>
                  </w:tcMar>
                  <w:vAlign w:val="center"/>
                </w:tcPr>
                <w:p w14:paraId="614D5822">
                  <w:pPr>
                    <w:pStyle w:val="20"/>
                    <w:bidi w:val="0"/>
                    <w:rPr>
                      <w:rFonts w:hint="eastAsia"/>
                      <w:color w:val="auto"/>
                      <w:highlight w:val="none"/>
                      <w:lang w:eastAsia="zh-CN"/>
                    </w:rPr>
                  </w:pPr>
                  <w:r>
                    <w:rPr>
                      <w:rFonts w:hint="eastAsia"/>
                      <w:color w:val="auto"/>
                      <w:highlight w:val="none"/>
                    </w:rPr>
                    <w:t>W</w:t>
                  </w:r>
                  <w:r>
                    <w:rPr>
                      <w:rFonts w:hint="eastAsia"/>
                      <w:color w:val="auto"/>
                      <w:highlight w:val="none"/>
                      <w:lang w:val="en-US" w:eastAsia="zh-CN"/>
                    </w:rPr>
                    <w:t>1</w:t>
                  </w:r>
                </w:p>
              </w:tc>
              <w:tc>
                <w:tcPr>
                  <w:tcW w:w="1251" w:type="pct"/>
                  <w:tcMar>
                    <w:left w:w="57" w:type="dxa"/>
                    <w:right w:w="57" w:type="dxa"/>
                  </w:tcMar>
                  <w:vAlign w:val="center"/>
                </w:tcPr>
                <w:p w14:paraId="3BD13510">
                  <w:pPr>
                    <w:pStyle w:val="20"/>
                    <w:bidi w:val="0"/>
                    <w:rPr>
                      <w:rFonts w:hint="eastAsia"/>
                      <w:color w:val="auto"/>
                      <w:highlight w:val="none"/>
                    </w:rPr>
                  </w:pPr>
                  <w:r>
                    <w:rPr>
                      <w:rFonts w:hint="eastAsia"/>
                      <w:color w:val="auto"/>
                      <w:highlight w:val="none"/>
                      <w:lang w:val="en-US" w:eastAsia="zh-CN"/>
                    </w:rPr>
                    <w:t>冷却水排水</w:t>
                  </w:r>
                </w:p>
              </w:tc>
              <w:tc>
                <w:tcPr>
                  <w:tcW w:w="875" w:type="pct"/>
                  <w:tcMar>
                    <w:left w:w="57" w:type="dxa"/>
                    <w:right w:w="57" w:type="dxa"/>
                  </w:tcMar>
                  <w:vAlign w:val="center"/>
                </w:tcPr>
                <w:p w14:paraId="5D2D588A">
                  <w:pPr>
                    <w:pStyle w:val="20"/>
                    <w:bidi w:val="0"/>
                    <w:rPr>
                      <w:rFonts w:hint="default"/>
                      <w:color w:val="auto"/>
                      <w:highlight w:val="none"/>
                      <w:lang w:val="en-US"/>
                    </w:rPr>
                  </w:pPr>
                  <w:r>
                    <w:rPr>
                      <w:rFonts w:hint="eastAsia"/>
                      <w:color w:val="auto"/>
                      <w:highlight w:val="none"/>
                      <w:lang w:val="en-US" w:eastAsia="zh-CN"/>
                    </w:rPr>
                    <w:t>冷却水更换、日常排水</w:t>
                  </w:r>
                </w:p>
              </w:tc>
              <w:tc>
                <w:tcPr>
                  <w:tcW w:w="1569" w:type="pct"/>
                  <w:tcMar>
                    <w:left w:w="57" w:type="dxa"/>
                    <w:right w:w="57" w:type="dxa"/>
                  </w:tcMar>
                  <w:vAlign w:val="center"/>
                </w:tcPr>
                <w:p w14:paraId="587A3F83">
                  <w:pPr>
                    <w:pStyle w:val="20"/>
                    <w:bidi w:val="0"/>
                    <w:rPr>
                      <w:rFonts w:hint="eastAsia"/>
                      <w:color w:val="auto"/>
                      <w:highlight w:val="none"/>
                    </w:rPr>
                  </w:pPr>
                  <w:r>
                    <w:rPr>
                      <w:rFonts w:hint="eastAsia"/>
                      <w:color w:val="auto"/>
                      <w:highlight w:val="none"/>
                    </w:rPr>
                    <w:t>SS</w:t>
                  </w:r>
                </w:p>
              </w:tc>
            </w:tr>
            <w:tr w14:paraId="5013B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0" w:type="pct"/>
                  <w:vMerge w:val="continue"/>
                  <w:tcMar>
                    <w:left w:w="57" w:type="dxa"/>
                    <w:right w:w="57" w:type="dxa"/>
                  </w:tcMar>
                  <w:vAlign w:val="center"/>
                </w:tcPr>
                <w:p w14:paraId="633D2545">
                  <w:pPr>
                    <w:pStyle w:val="20"/>
                    <w:spacing w:before="31"/>
                    <w:rPr>
                      <w:color w:val="auto"/>
                      <w:highlight w:val="none"/>
                    </w:rPr>
                  </w:pPr>
                </w:p>
              </w:tc>
              <w:tc>
                <w:tcPr>
                  <w:tcW w:w="413" w:type="pct"/>
                  <w:vMerge w:val="continue"/>
                  <w:tcMar>
                    <w:left w:w="57" w:type="dxa"/>
                    <w:right w:w="57" w:type="dxa"/>
                  </w:tcMar>
                  <w:vAlign w:val="center"/>
                </w:tcPr>
                <w:p w14:paraId="3F475583">
                  <w:pPr>
                    <w:pStyle w:val="20"/>
                    <w:spacing w:before="31"/>
                    <w:rPr>
                      <w:color w:val="auto"/>
                      <w:highlight w:val="none"/>
                    </w:rPr>
                  </w:pPr>
                </w:p>
              </w:tc>
              <w:tc>
                <w:tcPr>
                  <w:tcW w:w="538" w:type="pct"/>
                  <w:shd w:val="clear" w:color="auto" w:fill="auto"/>
                  <w:tcMar>
                    <w:left w:w="57" w:type="dxa"/>
                    <w:right w:w="57" w:type="dxa"/>
                  </w:tcMar>
                  <w:vAlign w:val="center"/>
                </w:tcPr>
                <w:p w14:paraId="5DC2D9A6">
                  <w:pPr>
                    <w:pStyle w:val="20"/>
                    <w:bidi w:val="0"/>
                    <w:rPr>
                      <w:rFonts w:hint="eastAsia"/>
                      <w:color w:val="auto"/>
                      <w:highlight w:val="none"/>
                      <w:lang w:val="en-US" w:eastAsia="zh-CN"/>
                    </w:rPr>
                  </w:pPr>
                  <w:r>
                    <w:rPr>
                      <w:rFonts w:hint="eastAsia"/>
                      <w:color w:val="auto"/>
                      <w:highlight w:val="none"/>
                    </w:rPr>
                    <w:t>W2</w:t>
                  </w:r>
                </w:p>
              </w:tc>
              <w:tc>
                <w:tcPr>
                  <w:tcW w:w="1251" w:type="pct"/>
                  <w:shd w:val="clear" w:color="auto" w:fill="auto"/>
                  <w:tcMar>
                    <w:left w:w="57" w:type="dxa"/>
                    <w:right w:w="57" w:type="dxa"/>
                  </w:tcMar>
                  <w:vAlign w:val="center"/>
                </w:tcPr>
                <w:p w14:paraId="70CB6B1C">
                  <w:pPr>
                    <w:pStyle w:val="20"/>
                    <w:bidi w:val="0"/>
                    <w:rPr>
                      <w:rFonts w:hint="eastAsia"/>
                      <w:color w:val="auto"/>
                      <w:highlight w:val="none"/>
                      <w:lang w:val="en-US" w:eastAsia="zh-CN"/>
                    </w:rPr>
                  </w:pPr>
                  <w:r>
                    <w:rPr>
                      <w:rFonts w:hint="eastAsia"/>
                      <w:color w:val="auto"/>
                      <w:highlight w:val="none"/>
                    </w:rPr>
                    <w:t>地面清洁</w:t>
                  </w:r>
                </w:p>
              </w:tc>
              <w:tc>
                <w:tcPr>
                  <w:tcW w:w="875" w:type="pct"/>
                  <w:shd w:val="clear" w:color="auto" w:fill="auto"/>
                  <w:tcMar>
                    <w:left w:w="57" w:type="dxa"/>
                    <w:right w:w="57" w:type="dxa"/>
                  </w:tcMar>
                  <w:vAlign w:val="center"/>
                </w:tcPr>
                <w:p w14:paraId="56C99A5C">
                  <w:pPr>
                    <w:pStyle w:val="20"/>
                    <w:bidi w:val="0"/>
                    <w:rPr>
                      <w:rFonts w:hint="eastAsia"/>
                      <w:color w:val="auto"/>
                      <w:highlight w:val="none"/>
                      <w:lang w:val="en-US" w:eastAsia="zh-CN"/>
                    </w:rPr>
                  </w:pPr>
                  <w:r>
                    <w:rPr>
                      <w:rFonts w:hint="eastAsia"/>
                      <w:color w:val="auto"/>
                      <w:highlight w:val="none"/>
                    </w:rPr>
                    <w:t>地面清洁废水</w:t>
                  </w:r>
                </w:p>
              </w:tc>
              <w:tc>
                <w:tcPr>
                  <w:tcW w:w="1569" w:type="pct"/>
                  <w:tcMar>
                    <w:left w:w="57" w:type="dxa"/>
                    <w:right w:w="57" w:type="dxa"/>
                  </w:tcMar>
                  <w:vAlign w:val="center"/>
                </w:tcPr>
                <w:p w14:paraId="4EC609BC">
                  <w:pPr>
                    <w:pStyle w:val="20"/>
                    <w:bidi w:val="0"/>
                    <w:rPr>
                      <w:color w:val="auto"/>
                      <w:highlight w:val="none"/>
                    </w:rPr>
                  </w:pPr>
                  <w:r>
                    <w:rPr>
                      <w:rFonts w:hint="eastAsia"/>
                      <w:color w:val="auto"/>
                      <w:highlight w:val="none"/>
                    </w:rPr>
                    <w:t>COD、</w:t>
                  </w:r>
                  <w:r>
                    <w:rPr>
                      <w:rFonts w:hint="eastAsia"/>
                      <w:color w:val="auto"/>
                      <w:highlight w:val="none"/>
                      <w:lang w:val="en-US" w:eastAsia="zh-CN"/>
                    </w:rPr>
                    <w:t>BOD</w:t>
                  </w:r>
                  <w:r>
                    <w:rPr>
                      <w:rFonts w:hint="eastAsia"/>
                      <w:color w:val="auto"/>
                      <w:highlight w:val="none"/>
                      <w:vertAlign w:val="subscript"/>
                      <w:lang w:val="en-US" w:eastAsia="zh-CN"/>
                    </w:rPr>
                    <w:t>5</w:t>
                  </w:r>
                  <w:r>
                    <w:rPr>
                      <w:rFonts w:hint="eastAsia"/>
                      <w:color w:val="auto"/>
                      <w:highlight w:val="none"/>
                      <w:lang w:val="en-US" w:eastAsia="zh-CN"/>
                    </w:rPr>
                    <w:t>、</w:t>
                  </w:r>
                  <w:r>
                    <w:rPr>
                      <w:rFonts w:hint="eastAsia"/>
                      <w:color w:val="auto"/>
                      <w:highlight w:val="none"/>
                    </w:rPr>
                    <w:t>SS</w:t>
                  </w:r>
                  <w:r>
                    <w:rPr>
                      <w:rFonts w:hint="eastAsia"/>
                      <w:color w:val="auto"/>
                      <w:highlight w:val="none"/>
                      <w:lang w:eastAsia="zh-CN"/>
                    </w:rPr>
                    <w:t>、</w:t>
                  </w:r>
                  <w:r>
                    <w:rPr>
                      <w:rFonts w:hint="eastAsia"/>
                      <w:color w:val="auto"/>
                      <w:highlight w:val="none"/>
                      <w:lang w:val="en-US" w:eastAsia="zh-CN"/>
                    </w:rPr>
                    <w:t>石油类</w:t>
                  </w:r>
                </w:p>
              </w:tc>
            </w:tr>
            <w:tr w14:paraId="65F24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0" w:type="pct"/>
                  <w:vMerge w:val="continue"/>
                  <w:tcMar>
                    <w:left w:w="57" w:type="dxa"/>
                    <w:right w:w="57" w:type="dxa"/>
                  </w:tcMar>
                  <w:vAlign w:val="center"/>
                </w:tcPr>
                <w:p w14:paraId="11A203B6">
                  <w:pPr>
                    <w:pStyle w:val="20"/>
                    <w:spacing w:before="31"/>
                    <w:rPr>
                      <w:color w:val="auto"/>
                      <w:highlight w:val="none"/>
                    </w:rPr>
                  </w:pPr>
                </w:p>
              </w:tc>
              <w:tc>
                <w:tcPr>
                  <w:tcW w:w="413" w:type="pct"/>
                  <w:vMerge w:val="continue"/>
                  <w:tcMar>
                    <w:left w:w="57" w:type="dxa"/>
                    <w:right w:w="57" w:type="dxa"/>
                  </w:tcMar>
                  <w:vAlign w:val="center"/>
                </w:tcPr>
                <w:p w14:paraId="2C6C02A4">
                  <w:pPr>
                    <w:pStyle w:val="20"/>
                    <w:spacing w:before="31"/>
                    <w:rPr>
                      <w:color w:val="auto"/>
                      <w:highlight w:val="none"/>
                    </w:rPr>
                  </w:pPr>
                </w:p>
              </w:tc>
              <w:tc>
                <w:tcPr>
                  <w:tcW w:w="538" w:type="pct"/>
                  <w:shd w:val="clear" w:color="auto" w:fill="auto"/>
                  <w:tcMar>
                    <w:left w:w="57" w:type="dxa"/>
                    <w:right w:w="57" w:type="dxa"/>
                  </w:tcMar>
                  <w:vAlign w:val="center"/>
                </w:tcPr>
                <w:p w14:paraId="24AB27DB">
                  <w:pPr>
                    <w:pStyle w:val="20"/>
                    <w:bidi w:val="0"/>
                    <w:rPr>
                      <w:color w:val="auto"/>
                      <w:highlight w:val="none"/>
                      <w:lang w:val="en-US" w:eastAsia="zh-CN"/>
                    </w:rPr>
                  </w:pPr>
                  <w:r>
                    <w:rPr>
                      <w:rFonts w:hint="eastAsia"/>
                      <w:color w:val="auto"/>
                      <w:highlight w:val="none"/>
                    </w:rPr>
                    <w:t>W3</w:t>
                  </w:r>
                </w:p>
              </w:tc>
              <w:tc>
                <w:tcPr>
                  <w:tcW w:w="1251" w:type="pct"/>
                  <w:shd w:val="clear" w:color="auto" w:fill="auto"/>
                  <w:tcMar>
                    <w:left w:w="57" w:type="dxa"/>
                    <w:right w:w="57" w:type="dxa"/>
                  </w:tcMar>
                  <w:vAlign w:val="center"/>
                </w:tcPr>
                <w:p w14:paraId="692433AF">
                  <w:pPr>
                    <w:pStyle w:val="20"/>
                    <w:bidi w:val="0"/>
                    <w:rPr>
                      <w:rFonts w:hint="eastAsia"/>
                      <w:color w:val="auto"/>
                      <w:highlight w:val="none"/>
                      <w:lang w:val="en-US" w:eastAsia="zh-CN"/>
                    </w:rPr>
                  </w:pPr>
                  <w:r>
                    <w:rPr>
                      <w:rFonts w:hint="eastAsia"/>
                      <w:color w:val="auto"/>
                      <w:highlight w:val="none"/>
                    </w:rPr>
                    <w:t>员工生活</w:t>
                  </w:r>
                </w:p>
              </w:tc>
              <w:tc>
                <w:tcPr>
                  <w:tcW w:w="875" w:type="pct"/>
                  <w:shd w:val="clear" w:color="auto" w:fill="auto"/>
                  <w:tcMar>
                    <w:left w:w="57" w:type="dxa"/>
                    <w:right w:w="57" w:type="dxa"/>
                  </w:tcMar>
                  <w:vAlign w:val="center"/>
                </w:tcPr>
                <w:p w14:paraId="2175EB3B">
                  <w:pPr>
                    <w:pStyle w:val="20"/>
                    <w:bidi w:val="0"/>
                    <w:rPr>
                      <w:rFonts w:hint="eastAsia"/>
                      <w:color w:val="auto"/>
                      <w:highlight w:val="none"/>
                      <w:lang w:val="en-US" w:eastAsia="zh-CN"/>
                    </w:rPr>
                  </w:pPr>
                  <w:r>
                    <w:rPr>
                      <w:rFonts w:hint="eastAsia"/>
                      <w:color w:val="auto"/>
                      <w:highlight w:val="none"/>
                    </w:rPr>
                    <w:t>生活污水</w:t>
                  </w:r>
                </w:p>
              </w:tc>
              <w:tc>
                <w:tcPr>
                  <w:tcW w:w="1569" w:type="pct"/>
                  <w:tcMar>
                    <w:left w:w="57" w:type="dxa"/>
                    <w:right w:w="57" w:type="dxa"/>
                  </w:tcMar>
                  <w:vAlign w:val="center"/>
                </w:tcPr>
                <w:p w14:paraId="060DAE5D">
                  <w:pPr>
                    <w:pStyle w:val="20"/>
                    <w:bidi w:val="0"/>
                    <w:rPr>
                      <w:rFonts w:hint="default" w:eastAsia="宋体"/>
                      <w:color w:val="auto"/>
                      <w:highlight w:val="none"/>
                      <w:lang w:val="en-US" w:eastAsia="zh-CN"/>
                    </w:rPr>
                  </w:pPr>
                  <w:r>
                    <w:rPr>
                      <w:rFonts w:hint="eastAsia"/>
                      <w:color w:val="auto"/>
                      <w:highlight w:val="none"/>
                    </w:rPr>
                    <w:t>pH、COD、BOD</w:t>
                  </w:r>
                  <w:r>
                    <w:rPr>
                      <w:rFonts w:hint="eastAsia"/>
                      <w:color w:val="auto"/>
                      <w:highlight w:val="none"/>
                      <w:vertAlign w:val="subscript"/>
                    </w:rPr>
                    <w:t>5</w:t>
                  </w:r>
                  <w:r>
                    <w:rPr>
                      <w:rFonts w:hint="eastAsia"/>
                      <w:color w:val="auto"/>
                      <w:highlight w:val="none"/>
                    </w:rPr>
                    <w:t>、SS、氨氮</w:t>
                  </w:r>
                  <w:r>
                    <w:rPr>
                      <w:rFonts w:hint="eastAsia"/>
                      <w:color w:val="auto"/>
                      <w:highlight w:val="none"/>
                      <w:lang w:eastAsia="zh-CN"/>
                    </w:rPr>
                    <w:t>、</w:t>
                  </w:r>
                  <w:r>
                    <w:rPr>
                      <w:rFonts w:hint="eastAsia"/>
                      <w:color w:val="auto"/>
                      <w:highlight w:val="none"/>
                      <w:lang w:val="en-US" w:eastAsia="zh-CN"/>
                    </w:rPr>
                    <w:t>TP、TN</w:t>
                  </w:r>
                </w:p>
              </w:tc>
            </w:tr>
            <w:tr w14:paraId="25EE9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0" w:type="pct"/>
                  <w:vMerge w:val="continue"/>
                  <w:tcMar>
                    <w:left w:w="57" w:type="dxa"/>
                    <w:right w:w="57" w:type="dxa"/>
                  </w:tcMar>
                  <w:vAlign w:val="center"/>
                </w:tcPr>
                <w:p w14:paraId="2C1E5705">
                  <w:pPr>
                    <w:pStyle w:val="20"/>
                    <w:spacing w:before="31"/>
                    <w:rPr>
                      <w:color w:val="auto"/>
                      <w:highlight w:val="none"/>
                    </w:rPr>
                  </w:pPr>
                </w:p>
              </w:tc>
              <w:tc>
                <w:tcPr>
                  <w:tcW w:w="413" w:type="pct"/>
                  <w:vMerge w:val="restart"/>
                  <w:tcMar>
                    <w:left w:w="57" w:type="dxa"/>
                    <w:right w:w="57" w:type="dxa"/>
                  </w:tcMar>
                  <w:vAlign w:val="center"/>
                </w:tcPr>
                <w:p w14:paraId="0C733E5A">
                  <w:pPr>
                    <w:pStyle w:val="20"/>
                    <w:spacing w:before="31"/>
                    <w:rPr>
                      <w:color w:val="auto"/>
                      <w:highlight w:val="none"/>
                    </w:rPr>
                  </w:pPr>
                  <w:r>
                    <w:rPr>
                      <w:rFonts w:hint="eastAsia"/>
                      <w:color w:val="auto"/>
                      <w:highlight w:val="none"/>
                    </w:rPr>
                    <w:t>固废</w:t>
                  </w:r>
                </w:p>
              </w:tc>
              <w:tc>
                <w:tcPr>
                  <w:tcW w:w="538" w:type="pct"/>
                  <w:tcMar>
                    <w:left w:w="57" w:type="dxa"/>
                    <w:right w:w="57" w:type="dxa"/>
                  </w:tcMar>
                  <w:vAlign w:val="center"/>
                </w:tcPr>
                <w:p w14:paraId="3ACE3591">
                  <w:pPr>
                    <w:pStyle w:val="20"/>
                    <w:spacing w:before="31"/>
                    <w:rPr>
                      <w:color w:val="auto"/>
                      <w:highlight w:val="none"/>
                    </w:rPr>
                  </w:pPr>
                  <w:r>
                    <w:rPr>
                      <w:rFonts w:hint="eastAsia"/>
                      <w:color w:val="auto"/>
                      <w:highlight w:val="none"/>
                    </w:rPr>
                    <w:t>S1</w:t>
                  </w:r>
                </w:p>
              </w:tc>
              <w:tc>
                <w:tcPr>
                  <w:tcW w:w="1251" w:type="pct"/>
                  <w:tcMar>
                    <w:left w:w="57" w:type="dxa"/>
                    <w:right w:w="57" w:type="dxa"/>
                  </w:tcMar>
                  <w:vAlign w:val="center"/>
                </w:tcPr>
                <w:p w14:paraId="416801F8">
                  <w:pPr>
                    <w:pStyle w:val="20"/>
                    <w:spacing w:before="31"/>
                    <w:rPr>
                      <w:rFonts w:hint="default" w:eastAsia="宋体"/>
                      <w:color w:val="auto"/>
                      <w:highlight w:val="none"/>
                      <w:lang w:val="en-US" w:eastAsia="zh-CN"/>
                    </w:rPr>
                  </w:pPr>
                  <w:r>
                    <w:rPr>
                      <w:rFonts w:hint="eastAsia"/>
                      <w:color w:val="auto"/>
                      <w:highlight w:val="none"/>
                      <w:lang w:val="en-US" w:eastAsia="zh-CN"/>
                    </w:rPr>
                    <w:t>废原料包装</w:t>
                  </w:r>
                </w:p>
              </w:tc>
              <w:tc>
                <w:tcPr>
                  <w:tcW w:w="875" w:type="pct"/>
                  <w:tcMar>
                    <w:left w:w="57" w:type="dxa"/>
                    <w:right w:w="57" w:type="dxa"/>
                  </w:tcMar>
                  <w:vAlign w:val="center"/>
                </w:tcPr>
                <w:p w14:paraId="46D57A56">
                  <w:pPr>
                    <w:pStyle w:val="20"/>
                    <w:spacing w:before="31"/>
                    <w:rPr>
                      <w:color w:val="auto"/>
                      <w:highlight w:val="none"/>
                    </w:rPr>
                  </w:pPr>
                  <w:r>
                    <w:rPr>
                      <w:rFonts w:hint="eastAsia"/>
                      <w:color w:val="auto"/>
                      <w:highlight w:val="none"/>
                    </w:rPr>
                    <w:t>原材料使用</w:t>
                  </w:r>
                </w:p>
              </w:tc>
              <w:tc>
                <w:tcPr>
                  <w:tcW w:w="1569" w:type="pct"/>
                  <w:tcMar>
                    <w:left w:w="57" w:type="dxa"/>
                    <w:right w:w="57" w:type="dxa"/>
                  </w:tcMar>
                  <w:vAlign w:val="center"/>
                </w:tcPr>
                <w:p w14:paraId="7B3C4131">
                  <w:pPr>
                    <w:pStyle w:val="20"/>
                    <w:spacing w:before="31"/>
                    <w:rPr>
                      <w:color w:val="auto"/>
                      <w:highlight w:val="none"/>
                    </w:rPr>
                  </w:pPr>
                  <w:r>
                    <w:rPr>
                      <w:rFonts w:hint="eastAsia"/>
                      <w:color w:val="auto"/>
                      <w:szCs w:val="21"/>
                      <w:highlight w:val="none"/>
                    </w:rPr>
                    <w:t>原料包装袋，材质为塑料或纸</w:t>
                  </w:r>
                </w:p>
              </w:tc>
            </w:tr>
            <w:tr w14:paraId="5EA89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0" w:type="pct"/>
                  <w:vMerge w:val="continue"/>
                  <w:tcMar>
                    <w:left w:w="57" w:type="dxa"/>
                    <w:right w:w="57" w:type="dxa"/>
                  </w:tcMar>
                  <w:vAlign w:val="center"/>
                </w:tcPr>
                <w:p w14:paraId="740B55A8">
                  <w:pPr>
                    <w:pStyle w:val="20"/>
                    <w:spacing w:before="31"/>
                    <w:rPr>
                      <w:color w:val="auto"/>
                      <w:highlight w:val="none"/>
                    </w:rPr>
                  </w:pPr>
                </w:p>
              </w:tc>
              <w:tc>
                <w:tcPr>
                  <w:tcW w:w="413" w:type="pct"/>
                  <w:vMerge w:val="continue"/>
                  <w:tcMar>
                    <w:left w:w="57" w:type="dxa"/>
                    <w:right w:w="57" w:type="dxa"/>
                  </w:tcMar>
                  <w:vAlign w:val="center"/>
                </w:tcPr>
                <w:p w14:paraId="6AE14865">
                  <w:pPr>
                    <w:pStyle w:val="20"/>
                    <w:spacing w:before="31"/>
                    <w:rPr>
                      <w:rFonts w:hint="eastAsia"/>
                      <w:color w:val="auto"/>
                      <w:highlight w:val="none"/>
                    </w:rPr>
                  </w:pPr>
                </w:p>
              </w:tc>
              <w:tc>
                <w:tcPr>
                  <w:tcW w:w="538" w:type="pct"/>
                  <w:shd w:val="clear" w:color="auto" w:fill="auto"/>
                  <w:tcMar>
                    <w:left w:w="57" w:type="dxa"/>
                    <w:right w:w="57" w:type="dxa"/>
                  </w:tcMar>
                  <w:vAlign w:val="center"/>
                </w:tcPr>
                <w:p w14:paraId="303E90E8">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S2</w:t>
                  </w:r>
                </w:p>
              </w:tc>
              <w:tc>
                <w:tcPr>
                  <w:tcW w:w="1251" w:type="pct"/>
                  <w:tcMar>
                    <w:left w:w="57" w:type="dxa"/>
                    <w:right w:w="57" w:type="dxa"/>
                  </w:tcMar>
                  <w:vAlign w:val="center"/>
                </w:tcPr>
                <w:p w14:paraId="7B3581A7">
                  <w:pPr>
                    <w:pStyle w:val="20"/>
                    <w:spacing w:before="31"/>
                    <w:rPr>
                      <w:rFonts w:hint="default"/>
                      <w:color w:val="auto"/>
                      <w:highlight w:val="none"/>
                      <w:lang w:val="en-US" w:eastAsia="zh-CN"/>
                    </w:rPr>
                  </w:pPr>
                  <w:r>
                    <w:rPr>
                      <w:rFonts w:hint="eastAsia"/>
                      <w:color w:val="auto"/>
                      <w:highlight w:val="none"/>
                      <w:lang w:val="en-US" w:eastAsia="zh-CN"/>
                    </w:rPr>
                    <w:t>废料</w:t>
                  </w:r>
                </w:p>
              </w:tc>
              <w:tc>
                <w:tcPr>
                  <w:tcW w:w="875" w:type="pct"/>
                  <w:tcMar>
                    <w:left w:w="57" w:type="dxa"/>
                    <w:right w:w="57" w:type="dxa"/>
                  </w:tcMar>
                  <w:vAlign w:val="center"/>
                </w:tcPr>
                <w:p w14:paraId="1E7531EE">
                  <w:pPr>
                    <w:pStyle w:val="20"/>
                    <w:spacing w:before="31"/>
                    <w:rPr>
                      <w:rFonts w:hint="eastAsia" w:eastAsia="宋体"/>
                      <w:color w:val="auto"/>
                      <w:highlight w:val="none"/>
                      <w:lang w:val="en-US" w:eastAsia="zh-CN"/>
                    </w:rPr>
                  </w:pPr>
                  <w:r>
                    <w:rPr>
                      <w:rFonts w:hint="eastAsia"/>
                      <w:color w:val="auto"/>
                      <w:highlight w:val="none"/>
                      <w:lang w:val="en-US" w:eastAsia="zh-CN"/>
                    </w:rPr>
                    <w:t>注塑</w:t>
                  </w:r>
                </w:p>
              </w:tc>
              <w:tc>
                <w:tcPr>
                  <w:tcW w:w="1569" w:type="pct"/>
                  <w:tcMar>
                    <w:left w:w="57" w:type="dxa"/>
                    <w:right w:w="57" w:type="dxa"/>
                  </w:tcMar>
                  <w:vAlign w:val="center"/>
                </w:tcPr>
                <w:p w14:paraId="2A78A239">
                  <w:pPr>
                    <w:pStyle w:val="20"/>
                    <w:spacing w:before="31"/>
                    <w:rPr>
                      <w:rFonts w:hint="default" w:eastAsia="宋体"/>
                      <w:color w:val="auto"/>
                      <w:szCs w:val="21"/>
                      <w:highlight w:val="none"/>
                      <w:lang w:val="en-US" w:eastAsia="zh-CN"/>
                    </w:rPr>
                  </w:pPr>
                  <w:r>
                    <w:rPr>
                      <w:rFonts w:hint="eastAsia"/>
                      <w:color w:val="auto"/>
                      <w:szCs w:val="21"/>
                      <w:highlight w:val="none"/>
                      <w:lang w:val="en-US" w:eastAsia="zh-CN"/>
                    </w:rPr>
                    <w:t>混合不同材质的料头</w:t>
                  </w:r>
                </w:p>
              </w:tc>
            </w:tr>
            <w:tr w14:paraId="52E60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0" w:type="pct"/>
                  <w:vMerge w:val="continue"/>
                  <w:tcMar>
                    <w:left w:w="57" w:type="dxa"/>
                    <w:right w:w="57" w:type="dxa"/>
                  </w:tcMar>
                  <w:vAlign w:val="center"/>
                </w:tcPr>
                <w:p w14:paraId="58265CF5">
                  <w:pPr>
                    <w:pStyle w:val="20"/>
                    <w:spacing w:before="31"/>
                    <w:rPr>
                      <w:color w:val="auto"/>
                      <w:highlight w:val="none"/>
                    </w:rPr>
                  </w:pPr>
                </w:p>
              </w:tc>
              <w:tc>
                <w:tcPr>
                  <w:tcW w:w="413" w:type="pct"/>
                  <w:vMerge w:val="continue"/>
                  <w:tcMar>
                    <w:left w:w="57" w:type="dxa"/>
                    <w:right w:w="57" w:type="dxa"/>
                  </w:tcMar>
                  <w:vAlign w:val="center"/>
                </w:tcPr>
                <w:p w14:paraId="4BAE3841">
                  <w:pPr>
                    <w:pStyle w:val="20"/>
                    <w:spacing w:before="31"/>
                    <w:rPr>
                      <w:rFonts w:hint="eastAsia"/>
                      <w:color w:val="auto"/>
                      <w:highlight w:val="none"/>
                    </w:rPr>
                  </w:pPr>
                </w:p>
              </w:tc>
              <w:tc>
                <w:tcPr>
                  <w:tcW w:w="538" w:type="pct"/>
                  <w:shd w:val="clear" w:color="auto" w:fill="auto"/>
                  <w:tcMar>
                    <w:left w:w="57" w:type="dxa"/>
                    <w:right w:w="57" w:type="dxa"/>
                  </w:tcMar>
                  <w:vAlign w:val="center"/>
                </w:tcPr>
                <w:p w14:paraId="1025A087">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S3</w:t>
                  </w:r>
                </w:p>
              </w:tc>
              <w:tc>
                <w:tcPr>
                  <w:tcW w:w="1251" w:type="pct"/>
                  <w:tcMar>
                    <w:left w:w="57" w:type="dxa"/>
                    <w:right w:w="57" w:type="dxa"/>
                  </w:tcMar>
                  <w:vAlign w:val="center"/>
                </w:tcPr>
                <w:p w14:paraId="476FAF93">
                  <w:pPr>
                    <w:pStyle w:val="20"/>
                    <w:spacing w:before="31"/>
                    <w:rPr>
                      <w:rFonts w:hint="default"/>
                      <w:color w:val="auto"/>
                      <w:highlight w:val="none"/>
                      <w:lang w:val="en-US" w:eastAsia="zh-CN"/>
                    </w:rPr>
                  </w:pPr>
                  <w:r>
                    <w:rPr>
                      <w:rFonts w:hint="eastAsia"/>
                      <w:color w:val="auto"/>
                      <w:highlight w:val="none"/>
                      <w:lang w:val="en-US" w:eastAsia="zh-CN"/>
                    </w:rPr>
                    <w:t>边角料</w:t>
                  </w:r>
                </w:p>
              </w:tc>
              <w:tc>
                <w:tcPr>
                  <w:tcW w:w="875" w:type="pct"/>
                  <w:tcMar>
                    <w:left w:w="57" w:type="dxa"/>
                    <w:right w:w="57" w:type="dxa"/>
                  </w:tcMar>
                  <w:vAlign w:val="center"/>
                </w:tcPr>
                <w:p w14:paraId="5E98B02B">
                  <w:pPr>
                    <w:pStyle w:val="20"/>
                    <w:spacing w:before="31"/>
                    <w:rPr>
                      <w:rFonts w:hint="default" w:eastAsia="宋体"/>
                      <w:color w:val="auto"/>
                      <w:highlight w:val="none"/>
                      <w:lang w:val="en-US" w:eastAsia="zh-CN"/>
                    </w:rPr>
                  </w:pPr>
                  <w:r>
                    <w:rPr>
                      <w:rFonts w:hint="eastAsia"/>
                      <w:color w:val="auto"/>
                      <w:highlight w:val="none"/>
                      <w:lang w:val="en-US" w:eastAsia="zh-CN"/>
                    </w:rPr>
                    <w:t>注塑、修边</w:t>
                  </w:r>
                </w:p>
              </w:tc>
              <w:tc>
                <w:tcPr>
                  <w:tcW w:w="1569" w:type="pct"/>
                  <w:tcMar>
                    <w:left w:w="57" w:type="dxa"/>
                    <w:right w:w="57" w:type="dxa"/>
                  </w:tcMar>
                  <w:vAlign w:val="center"/>
                </w:tcPr>
                <w:p w14:paraId="46F3568D">
                  <w:pPr>
                    <w:pStyle w:val="20"/>
                    <w:spacing w:before="31"/>
                    <w:rPr>
                      <w:rFonts w:hint="default" w:eastAsia="宋体"/>
                      <w:color w:val="auto"/>
                      <w:szCs w:val="21"/>
                      <w:highlight w:val="none"/>
                      <w:lang w:val="en-US" w:eastAsia="zh-CN"/>
                    </w:rPr>
                  </w:pPr>
                  <w:r>
                    <w:rPr>
                      <w:rFonts w:hint="eastAsia"/>
                      <w:color w:val="auto"/>
                      <w:szCs w:val="21"/>
                      <w:highlight w:val="none"/>
                      <w:lang w:val="en-US" w:eastAsia="zh-CN"/>
                    </w:rPr>
                    <w:t>其他料头等</w:t>
                  </w:r>
                </w:p>
              </w:tc>
            </w:tr>
            <w:tr w14:paraId="258C0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0" w:type="pct"/>
                  <w:vMerge w:val="continue"/>
                  <w:tcMar>
                    <w:left w:w="57" w:type="dxa"/>
                    <w:right w:w="57" w:type="dxa"/>
                  </w:tcMar>
                  <w:vAlign w:val="center"/>
                </w:tcPr>
                <w:p w14:paraId="0D744719">
                  <w:pPr>
                    <w:pStyle w:val="20"/>
                    <w:spacing w:before="31"/>
                    <w:rPr>
                      <w:color w:val="auto"/>
                      <w:highlight w:val="none"/>
                    </w:rPr>
                  </w:pPr>
                </w:p>
              </w:tc>
              <w:tc>
                <w:tcPr>
                  <w:tcW w:w="413" w:type="pct"/>
                  <w:vMerge w:val="continue"/>
                  <w:tcMar>
                    <w:left w:w="57" w:type="dxa"/>
                    <w:right w:w="57" w:type="dxa"/>
                  </w:tcMar>
                  <w:vAlign w:val="center"/>
                </w:tcPr>
                <w:p w14:paraId="1E8C5DB1">
                  <w:pPr>
                    <w:pStyle w:val="20"/>
                    <w:spacing w:before="31"/>
                    <w:rPr>
                      <w:rFonts w:hint="eastAsia"/>
                      <w:color w:val="auto"/>
                      <w:highlight w:val="none"/>
                    </w:rPr>
                  </w:pPr>
                </w:p>
              </w:tc>
              <w:tc>
                <w:tcPr>
                  <w:tcW w:w="538" w:type="pct"/>
                  <w:shd w:val="clear" w:color="auto" w:fill="auto"/>
                  <w:tcMar>
                    <w:left w:w="57" w:type="dxa"/>
                    <w:right w:w="57" w:type="dxa"/>
                  </w:tcMar>
                  <w:vAlign w:val="center"/>
                </w:tcPr>
                <w:p w14:paraId="59B5B1B8">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S4</w:t>
                  </w:r>
                </w:p>
              </w:tc>
              <w:tc>
                <w:tcPr>
                  <w:tcW w:w="1251" w:type="pct"/>
                  <w:tcMar>
                    <w:left w:w="57" w:type="dxa"/>
                    <w:right w:w="57" w:type="dxa"/>
                  </w:tcMar>
                  <w:vAlign w:val="center"/>
                </w:tcPr>
                <w:p w14:paraId="0DBB7F0F">
                  <w:pPr>
                    <w:pStyle w:val="20"/>
                    <w:spacing w:before="31"/>
                    <w:rPr>
                      <w:rFonts w:hint="eastAsia"/>
                      <w:color w:val="auto"/>
                      <w:highlight w:val="none"/>
                      <w:lang w:val="en-US" w:eastAsia="zh-CN"/>
                    </w:rPr>
                  </w:pPr>
                  <w:r>
                    <w:rPr>
                      <w:rFonts w:hint="eastAsia"/>
                      <w:color w:val="auto"/>
                      <w:highlight w:val="none"/>
                      <w:lang w:val="en-US" w:eastAsia="zh-CN"/>
                    </w:rPr>
                    <w:t>不合格品</w:t>
                  </w:r>
                </w:p>
              </w:tc>
              <w:tc>
                <w:tcPr>
                  <w:tcW w:w="875" w:type="pct"/>
                  <w:tcMar>
                    <w:left w:w="57" w:type="dxa"/>
                    <w:right w:w="57" w:type="dxa"/>
                  </w:tcMar>
                  <w:vAlign w:val="center"/>
                </w:tcPr>
                <w:p w14:paraId="55A6B68E">
                  <w:pPr>
                    <w:pStyle w:val="20"/>
                    <w:spacing w:before="31"/>
                    <w:rPr>
                      <w:rFonts w:hint="eastAsia" w:eastAsia="宋体"/>
                      <w:color w:val="auto"/>
                      <w:highlight w:val="none"/>
                      <w:lang w:val="en-US" w:eastAsia="zh-CN"/>
                    </w:rPr>
                  </w:pPr>
                  <w:r>
                    <w:rPr>
                      <w:rFonts w:hint="eastAsia"/>
                      <w:color w:val="auto"/>
                      <w:highlight w:val="none"/>
                      <w:lang w:val="en-US" w:eastAsia="zh-CN"/>
                    </w:rPr>
                    <w:t>质检</w:t>
                  </w:r>
                </w:p>
              </w:tc>
              <w:tc>
                <w:tcPr>
                  <w:tcW w:w="1569" w:type="pct"/>
                  <w:tcMar>
                    <w:left w:w="57" w:type="dxa"/>
                    <w:right w:w="57" w:type="dxa"/>
                  </w:tcMar>
                  <w:vAlign w:val="center"/>
                </w:tcPr>
                <w:p w14:paraId="02E08C87">
                  <w:pPr>
                    <w:pStyle w:val="20"/>
                    <w:spacing w:before="31"/>
                    <w:rPr>
                      <w:rFonts w:hint="default"/>
                      <w:color w:val="auto"/>
                      <w:szCs w:val="21"/>
                      <w:highlight w:val="none"/>
                      <w:lang w:val="en-US"/>
                    </w:rPr>
                  </w:pPr>
                  <w:r>
                    <w:rPr>
                      <w:rFonts w:hint="eastAsia"/>
                      <w:color w:val="auto"/>
                      <w:szCs w:val="21"/>
                      <w:highlight w:val="none"/>
                      <w:lang w:val="en-US" w:eastAsia="zh-CN"/>
                    </w:rPr>
                    <w:t>不合格品</w:t>
                  </w:r>
                </w:p>
              </w:tc>
            </w:tr>
            <w:tr w14:paraId="31EEC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0" w:type="pct"/>
                  <w:vMerge w:val="continue"/>
                  <w:tcMar>
                    <w:left w:w="57" w:type="dxa"/>
                    <w:right w:w="57" w:type="dxa"/>
                  </w:tcMar>
                  <w:vAlign w:val="center"/>
                </w:tcPr>
                <w:p w14:paraId="0273C646">
                  <w:pPr>
                    <w:pStyle w:val="20"/>
                    <w:spacing w:before="31"/>
                    <w:rPr>
                      <w:color w:val="auto"/>
                      <w:highlight w:val="none"/>
                    </w:rPr>
                  </w:pPr>
                </w:p>
              </w:tc>
              <w:tc>
                <w:tcPr>
                  <w:tcW w:w="413" w:type="pct"/>
                  <w:vMerge w:val="continue"/>
                  <w:tcMar>
                    <w:left w:w="57" w:type="dxa"/>
                    <w:right w:w="57" w:type="dxa"/>
                  </w:tcMar>
                  <w:vAlign w:val="center"/>
                </w:tcPr>
                <w:p w14:paraId="150CA6C5">
                  <w:pPr>
                    <w:pStyle w:val="20"/>
                    <w:spacing w:before="31"/>
                    <w:rPr>
                      <w:rFonts w:hint="eastAsia"/>
                      <w:color w:val="auto"/>
                      <w:highlight w:val="none"/>
                    </w:rPr>
                  </w:pPr>
                </w:p>
              </w:tc>
              <w:tc>
                <w:tcPr>
                  <w:tcW w:w="538" w:type="pct"/>
                  <w:shd w:val="clear" w:color="auto" w:fill="auto"/>
                  <w:tcMar>
                    <w:left w:w="57" w:type="dxa"/>
                    <w:right w:w="57" w:type="dxa"/>
                  </w:tcMar>
                  <w:vAlign w:val="center"/>
                </w:tcPr>
                <w:p w14:paraId="2F9464FB">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S5</w:t>
                  </w:r>
                </w:p>
              </w:tc>
              <w:tc>
                <w:tcPr>
                  <w:tcW w:w="1251" w:type="pct"/>
                  <w:tcMar>
                    <w:left w:w="57" w:type="dxa"/>
                    <w:right w:w="57" w:type="dxa"/>
                  </w:tcMar>
                  <w:vAlign w:val="center"/>
                </w:tcPr>
                <w:p w14:paraId="7E5632EC">
                  <w:pPr>
                    <w:pStyle w:val="20"/>
                    <w:spacing w:before="31"/>
                    <w:rPr>
                      <w:rFonts w:hint="eastAsia"/>
                      <w:color w:val="auto"/>
                      <w:highlight w:val="none"/>
                      <w:lang w:val="en-US" w:eastAsia="zh-CN"/>
                    </w:rPr>
                  </w:pPr>
                  <w:r>
                    <w:rPr>
                      <w:rFonts w:hint="eastAsia"/>
                      <w:color w:val="auto"/>
                      <w:highlight w:val="none"/>
                      <w:lang w:val="en-US" w:eastAsia="zh-CN"/>
                    </w:rPr>
                    <w:t>废产品包装材料</w:t>
                  </w:r>
                </w:p>
              </w:tc>
              <w:tc>
                <w:tcPr>
                  <w:tcW w:w="875" w:type="pct"/>
                  <w:tcMar>
                    <w:left w:w="57" w:type="dxa"/>
                    <w:right w:w="57" w:type="dxa"/>
                  </w:tcMar>
                  <w:vAlign w:val="center"/>
                </w:tcPr>
                <w:p w14:paraId="4EAAAF33">
                  <w:pPr>
                    <w:pStyle w:val="20"/>
                    <w:spacing w:before="31"/>
                    <w:rPr>
                      <w:rFonts w:hint="eastAsia" w:eastAsia="宋体"/>
                      <w:color w:val="auto"/>
                      <w:highlight w:val="none"/>
                      <w:lang w:val="en-US" w:eastAsia="zh-CN"/>
                    </w:rPr>
                  </w:pPr>
                  <w:r>
                    <w:rPr>
                      <w:rFonts w:hint="eastAsia"/>
                      <w:color w:val="auto"/>
                      <w:highlight w:val="none"/>
                      <w:lang w:val="en-US" w:eastAsia="zh-CN"/>
                    </w:rPr>
                    <w:t>包装</w:t>
                  </w:r>
                </w:p>
              </w:tc>
              <w:tc>
                <w:tcPr>
                  <w:tcW w:w="1569" w:type="pct"/>
                  <w:tcMar>
                    <w:left w:w="57" w:type="dxa"/>
                    <w:right w:w="57" w:type="dxa"/>
                  </w:tcMar>
                  <w:vAlign w:val="center"/>
                </w:tcPr>
                <w:p w14:paraId="106DD308">
                  <w:pPr>
                    <w:pStyle w:val="20"/>
                    <w:spacing w:before="31"/>
                    <w:rPr>
                      <w:rFonts w:hint="default" w:eastAsia="宋体"/>
                      <w:color w:val="auto"/>
                      <w:szCs w:val="21"/>
                      <w:highlight w:val="none"/>
                      <w:lang w:val="en-US" w:eastAsia="zh-CN"/>
                    </w:rPr>
                  </w:pPr>
                  <w:r>
                    <w:rPr>
                      <w:rFonts w:hint="eastAsia"/>
                      <w:color w:val="auto"/>
                      <w:szCs w:val="21"/>
                      <w:highlight w:val="none"/>
                      <w:lang w:val="en-US" w:eastAsia="zh-CN"/>
                    </w:rPr>
                    <w:t>纸、塑料等废包装</w:t>
                  </w:r>
                </w:p>
              </w:tc>
            </w:tr>
            <w:tr w14:paraId="6B5C0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0" w:type="pct"/>
                  <w:vMerge w:val="continue"/>
                  <w:tcMar>
                    <w:left w:w="57" w:type="dxa"/>
                    <w:right w:w="57" w:type="dxa"/>
                  </w:tcMar>
                  <w:vAlign w:val="center"/>
                </w:tcPr>
                <w:p w14:paraId="2687A43E">
                  <w:pPr>
                    <w:pStyle w:val="20"/>
                    <w:spacing w:before="31"/>
                    <w:rPr>
                      <w:color w:val="auto"/>
                      <w:highlight w:val="none"/>
                    </w:rPr>
                  </w:pPr>
                </w:p>
              </w:tc>
              <w:tc>
                <w:tcPr>
                  <w:tcW w:w="413" w:type="pct"/>
                  <w:vMerge w:val="continue"/>
                  <w:tcMar>
                    <w:left w:w="57" w:type="dxa"/>
                    <w:right w:w="57" w:type="dxa"/>
                  </w:tcMar>
                  <w:vAlign w:val="center"/>
                </w:tcPr>
                <w:p w14:paraId="414D58FF">
                  <w:pPr>
                    <w:pStyle w:val="20"/>
                    <w:spacing w:before="31"/>
                    <w:rPr>
                      <w:rFonts w:hint="eastAsia"/>
                      <w:color w:val="auto"/>
                      <w:highlight w:val="none"/>
                    </w:rPr>
                  </w:pPr>
                </w:p>
              </w:tc>
              <w:tc>
                <w:tcPr>
                  <w:tcW w:w="538" w:type="pct"/>
                  <w:shd w:val="clear" w:color="auto" w:fill="auto"/>
                  <w:tcMar>
                    <w:left w:w="57" w:type="dxa"/>
                    <w:right w:w="57" w:type="dxa"/>
                  </w:tcMar>
                  <w:vAlign w:val="center"/>
                </w:tcPr>
                <w:p w14:paraId="0CDF8765">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S6</w:t>
                  </w:r>
                </w:p>
              </w:tc>
              <w:tc>
                <w:tcPr>
                  <w:tcW w:w="1251" w:type="pct"/>
                  <w:tcMar>
                    <w:left w:w="57" w:type="dxa"/>
                    <w:right w:w="57" w:type="dxa"/>
                  </w:tcMar>
                  <w:vAlign w:val="center"/>
                </w:tcPr>
                <w:p w14:paraId="3EFDFF44">
                  <w:pPr>
                    <w:pStyle w:val="20"/>
                    <w:spacing w:before="31"/>
                    <w:rPr>
                      <w:rFonts w:hint="default"/>
                      <w:color w:val="auto"/>
                      <w:highlight w:val="none"/>
                      <w:lang w:val="en-US" w:eastAsia="zh-CN"/>
                    </w:rPr>
                  </w:pPr>
                  <w:r>
                    <w:rPr>
                      <w:rFonts w:hint="eastAsia"/>
                      <w:color w:val="auto"/>
                      <w:highlight w:val="none"/>
                      <w:lang w:val="en-US" w:eastAsia="zh-CN"/>
                    </w:rPr>
                    <w:t>废润滑油</w:t>
                  </w:r>
                </w:p>
              </w:tc>
              <w:tc>
                <w:tcPr>
                  <w:tcW w:w="875" w:type="pct"/>
                  <w:vMerge w:val="restart"/>
                  <w:tcMar>
                    <w:left w:w="57" w:type="dxa"/>
                    <w:right w:w="57" w:type="dxa"/>
                  </w:tcMar>
                  <w:vAlign w:val="center"/>
                </w:tcPr>
                <w:p w14:paraId="1D346F3E">
                  <w:pPr>
                    <w:pStyle w:val="20"/>
                    <w:spacing w:before="31"/>
                    <w:rPr>
                      <w:rFonts w:hint="eastAsia"/>
                      <w:color w:val="auto"/>
                      <w:highlight w:val="none"/>
                      <w:lang w:val="en-US" w:eastAsia="zh-CN"/>
                    </w:rPr>
                  </w:pPr>
                  <w:r>
                    <w:rPr>
                      <w:rFonts w:hint="eastAsia"/>
                      <w:color w:val="auto"/>
                      <w:highlight w:val="none"/>
                      <w:lang w:val="en-US" w:eastAsia="zh-CN"/>
                    </w:rPr>
                    <w:t>设备保养维护</w:t>
                  </w:r>
                </w:p>
              </w:tc>
              <w:tc>
                <w:tcPr>
                  <w:tcW w:w="1569" w:type="pct"/>
                  <w:tcMar>
                    <w:left w:w="57" w:type="dxa"/>
                    <w:right w:w="57" w:type="dxa"/>
                  </w:tcMar>
                  <w:vAlign w:val="center"/>
                </w:tcPr>
                <w:p w14:paraId="36F5ABEE">
                  <w:pPr>
                    <w:pStyle w:val="20"/>
                    <w:spacing w:before="31"/>
                    <w:rPr>
                      <w:rFonts w:hint="default"/>
                      <w:color w:val="auto"/>
                      <w:szCs w:val="21"/>
                      <w:highlight w:val="none"/>
                      <w:lang w:val="en-US" w:eastAsia="zh-CN"/>
                    </w:rPr>
                  </w:pPr>
                  <w:r>
                    <w:rPr>
                      <w:rFonts w:hint="eastAsia"/>
                      <w:color w:val="auto"/>
                      <w:szCs w:val="21"/>
                      <w:highlight w:val="none"/>
                      <w:lang w:val="en-US" w:eastAsia="zh-CN"/>
                    </w:rPr>
                    <w:t>矿物油</w:t>
                  </w:r>
                </w:p>
              </w:tc>
            </w:tr>
            <w:tr w14:paraId="73A89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0" w:type="pct"/>
                  <w:vMerge w:val="continue"/>
                  <w:tcMar>
                    <w:left w:w="57" w:type="dxa"/>
                    <w:right w:w="57" w:type="dxa"/>
                  </w:tcMar>
                  <w:vAlign w:val="center"/>
                </w:tcPr>
                <w:p w14:paraId="0DD2BFCF">
                  <w:pPr>
                    <w:pStyle w:val="20"/>
                    <w:spacing w:before="31"/>
                    <w:rPr>
                      <w:color w:val="auto"/>
                      <w:highlight w:val="none"/>
                    </w:rPr>
                  </w:pPr>
                </w:p>
              </w:tc>
              <w:tc>
                <w:tcPr>
                  <w:tcW w:w="413" w:type="pct"/>
                  <w:vMerge w:val="continue"/>
                  <w:tcMar>
                    <w:left w:w="57" w:type="dxa"/>
                    <w:right w:w="57" w:type="dxa"/>
                  </w:tcMar>
                  <w:vAlign w:val="center"/>
                </w:tcPr>
                <w:p w14:paraId="6674BAFA">
                  <w:pPr>
                    <w:pStyle w:val="20"/>
                    <w:spacing w:before="31"/>
                    <w:rPr>
                      <w:rFonts w:hint="eastAsia"/>
                      <w:color w:val="auto"/>
                      <w:highlight w:val="none"/>
                    </w:rPr>
                  </w:pPr>
                </w:p>
              </w:tc>
              <w:tc>
                <w:tcPr>
                  <w:tcW w:w="538" w:type="pct"/>
                  <w:shd w:val="clear" w:color="auto" w:fill="auto"/>
                  <w:tcMar>
                    <w:left w:w="57" w:type="dxa"/>
                    <w:right w:w="57" w:type="dxa"/>
                  </w:tcMar>
                  <w:vAlign w:val="center"/>
                </w:tcPr>
                <w:p w14:paraId="3687A9F2">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S7</w:t>
                  </w:r>
                </w:p>
              </w:tc>
              <w:tc>
                <w:tcPr>
                  <w:tcW w:w="1251" w:type="pct"/>
                  <w:tcMar>
                    <w:left w:w="57" w:type="dxa"/>
                    <w:right w:w="57" w:type="dxa"/>
                  </w:tcMar>
                  <w:vAlign w:val="center"/>
                </w:tcPr>
                <w:p w14:paraId="2C08A554">
                  <w:pPr>
                    <w:pStyle w:val="20"/>
                    <w:spacing w:before="31"/>
                    <w:rPr>
                      <w:rFonts w:hint="eastAsia"/>
                      <w:color w:val="auto"/>
                      <w:highlight w:val="none"/>
                      <w:lang w:val="en-US" w:eastAsia="zh-CN"/>
                    </w:rPr>
                  </w:pPr>
                  <w:r>
                    <w:rPr>
                      <w:rFonts w:hint="eastAsia"/>
                      <w:color w:val="auto"/>
                      <w:highlight w:val="none"/>
                      <w:lang w:val="en-US" w:eastAsia="zh-CN"/>
                    </w:rPr>
                    <w:t>废油桶</w:t>
                  </w:r>
                </w:p>
              </w:tc>
              <w:tc>
                <w:tcPr>
                  <w:tcW w:w="875" w:type="pct"/>
                  <w:vMerge w:val="continue"/>
                  <w:tcMar>
                    <w:left w:w="57" w:type="dxa"/>
                    <w:right w:w="57" w:type="dxa"/>
                  </w:tcMar>
                  <w:vAlign w:val="center"/>
                </w:tcPr>
                <w:p w14:paraId="00E39F2F">
                  <w:pPr>
                    <w:pStyle w:val="20"/>
                    <w:spacing w:before="31"/>
                    <w:rPr>
                      <w:rFonts w:hint="eastAsia"/>
                      <w:color w:val="auto"/>
                      <w:highlight w:val="none"/>
                      <w:lang w:val="en-US" w:eastAsia="zh-CN"/>
                    </w:rPr>
                  </w:pPr>
                </w:p>
              </w:tc>
              <w:tc>
                <w:tcPr>
                  <w:tcW w:w="1569" w:type="pct"/>
                  <w:tcMar>
                    <w:left w:w="57" w:type="dxa"/>
                    <w:right w:w="57" w:type="dxa"/>
                  </w:tcMar>
                  <w:vAlign w:val="center"/>
                </w:tcPr>
                <w:p w14:paraId="1BB3C7E4">
                  <w:pPr>
                    <w:pStyle w:val="20"/>
                    <w:spacing w:before="31"/>
                    <w:rPr>
                      <w:rFonts w:hint="eastAsia"/>
                      <w:color w:val="auto"/>
                      <w:szCs w:val="21"/>
                      <w:highlight w:val="none"/>
                      <w:lang w:val="en-US" w:eastAsia="zh-CN"/>
                    </w:rPr>
                  </w:pPr>
                  <w:r>
                    <w:rPr>
                      <w:rFonts w:hint="eastAsia"/>
                      <w:color w:val="auto"/>
                      <w:szCs w:val="21"/>
                      <w:highlight w:val="none"/>
                    </w:rPr>
                    <w:t>沾染废矿物</w:t>
                  </w:r>
                  <w:r>
                    <w:rPr>
                      <w:color w:val="auto"/>
                      <w:szCs w:val="21"/>
                      <w:highlight w:val="none"/>
                    </w:rPr>
                    <w:t>油</w:t>
                  </w:r>
                </w:p>
              </w:tc>
            </w:tr>
            <w:tr w14:paraId="0A39D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0" w:type="pct"/>
                  <w:vMerge w:val="continue"/>
                  <w:tcMar>
                    <w:left w:w="57" w:type="dxa"/>
                    <w:right w:w="57" w:type="dxa"/>
                  </w:tcMar>
                  <w:vAlign w:val="center"/>
                </w:tcPr>
                <w:p w14:paraId="72ADFBB6">
                  <w:pPr>
                    <w:pStyle w:val="20"/>
                    <w:spacing w:before="31"/>
                    <w:rPr>
                      <w:color w:val="auto"/>
                      <w:highlight w:val="none"/>
                    </w:rPr>
                  </w:pPr>
                </w:p>
              </w:tc>
              <w:tc>
                <w:tcPr>
                  <w:tcW w:w="413" w:type="pct"/>
                  <w:vMerge w:val="continue"/>
                  <w:tcMar>
                    <w:left w:w="57" w:type="dxa"/>
                    <w:right w:w="57" w:type="dxa"/>
                  </w:tcMar>
                  <w:vAlign w:val="center"/>
                </w:tcPr>
                <w:p w14:paraId="0967EC52">
                  <w:pPr>
                    <w:pStyle w:val="20"/>
                    <w:spacing w:before="31"/>
                    <w:rPr>
                      <w:rFonts w:hint="eastAsia"/>
                      <w:color w:val="auto"/>
                      <w:highlight w:val="none"/>
                    </w:rPr>
                  </w:pPr>
                </w:p>
              </w:tc>
              <w:tc>
                <w:tcPr>
                  <w:tcW w:w="538" w:type="pct"/>
                  <w:shd w:val="clear" w:color="auto" w:fill="auto"/>
                  <w:tcMar>
                    <w:left w:w="57" w:type="dxa"/>
                    <w:right w:w="57" w:type="dxa"/>
                  </w:tcMar>
                  <w:vAlign w:val="center"/>
                </w:tcPr>
                <w:p w14:paraId="1376A54F">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S8</w:t>
                  </w:r>
                </w:p>
              </w:tc>
              <w:tc>
                <w:tcPr>
                  <w:tcW w:w="1251" w:type="pct"/>
                  <w:tcMar>
                    <w:left w:w="57" w:type="dxa"/>
                    <w:right w:w="57" w:type="dxa"/>
                  </w:tcMar>
                  <w:vAlign w:val="center"/>
                </w:tcPr>
                <w:p w14:paraId="0FE1A52D">
                  <w:pPr>
                    <w:pStyle w:val="20"/>
                    <w:spacing w:before="31"/>
                    <w:rPr>
                      <w:rFonts w:hint="eastAsia"/>
                      <w:color w:val="auto"/>
                      <w:highlight w:val="none"/>
                      <w:lang w:val="en-US" w:eastAsia="zh-CN"/>
                    </w:rPr>
                  </w:pPr>
                  <w:r>
                    <w:rPr>
                      <w:rFonts w:hint="eastAsia"/>
                      <w:color w:val="auto"/>
                      <w:highlight w:val="none"/>
                      <w:lang w:val="en-US" w:eastAsia="zh-CN"/>
                    </w:rPr>
                    <w:t>废含油棉纱及手套</w:t>
                  </w:r>
                </w:p>
              </w:tc>
              <w:tc>
                <w:tcPr>
                  <w:tcW w:w="875" w:type="pct"/>
                  <w:vMerge w:val="continue"/>
                  <w:tcMar>
                    <w:left w:w="57" w:type="dxa"/>
                    <w:right w:w="57" w:type="dxa"/>
                  </w:tcMar>
                  <w:vAlign w:val="center"/>
                </w:tcPr>
                <w:p w14:paraId="66CCF06D">
                  <w:pPr>
                    <w:pStyle w:val="20"/>
                    <w:spacing w:before="31"/>
                    <w:rPr>
                      <w:rFonts w:hint="eastAsia"/>
                      <w:color w:val="auto"/>
                      <w:highlight w:val="none"/>
                      <w:lang w:val="en-US" w:eastAsia="zh-CN"/>
                    </w:rPr>
                  </w:pPr>
                </w:p>
              </w:tc>
              <w:tc>
                <w:tcPr>
                  <w:tcW w:w="1569" w:type="pct"/>
                  <w:tcMar>
                    <w:left w:w="57" w:type="dxa"/>
                    <w:right w:w="57" w:type="dxa"/>
                  </w:tcMar>
                  <w:vAlign w:val="center"/>
                </w:tcPr>
                <w:p w14:paraId="64967812">
                  <w:pPr>
                    <w:pStyle w:val="20"/>
                    <w:spacing w:before="31"/>
                    <w:rPr>
                      <w:rFonts w:hint="eastAsia"/>
                      <w:color w:val="auto"/>
                      <w:szCs w:val="21"/>
                      <w:highlight w:val="none"/>
                      <w:lang w:val="en-US" w:eastAsia="zh-CN"/>
                    </w:rPr>
                  </w:pPr>
                  <w:r>
                    <w:rPr>
                      <w:rFonts w:hint="eastAsia"/>
                      <w:color w:val="auto"/>
                      <w:szCs w:val="21"/>
                      <w:highlight w:val="none"/>
                    </w:rPr>
                    <w:t>沾染废矿物</w:t>
                  </w:r>
                  <w:r>
                    <w:rPr>
                      <w:color w:val="auto"/>
                      <w:szCs w:val="21"/>
                      <w:highlight w:val="none"/>
                    </w:rPr>
                    <w:t>油</w:t>
                  </w:r>
                </w:p>
              </w:tc>
            </w:tr>
            <w:tr w14:paraId="38DB0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0" w:type="pct"/>
                  <w:vMerge w:val="continue"/>
                  <w:tcMar>
                    <w:left w:w="57" w:type="dxa"/>
                    <w:right w:w="57" w:type="dxa"/>
                  </w:tcMar>
                  <w:vAlign w:val="center"/>
                </w:tcPr>
                <w:p w14:paraId="44BE2313">
                  <w:pPr>
                    <w:pStyle w:val="20"/>
                    <w:spacing w:before="31"/>
                    <w:rPr>
                      <w:color w:val="auto"/>
                      <w:highlight w:val="none"/>
                    </w:rPr>
                  </w:pPr>
                </w:p>
              </w:tc>
              <w:tc>
                <w:tcPr>
                  <w:tcW w:w="413" w:type="pct"/>
                  <w:vMerge w:val="continue"/>
                  <w:tcMar>
                    <w:left w:w="57" w:type="dxa"/>
                    <w:right w:w="57" w:type="dxa"/>
                  </w:tcMar>
                  <w:vAlign w:val="center"/>
                </w:tcPr>
                <w:p w14:paraId="54084B2B">
                  <w:pPr>
                    <w:pStyle w:val="20"/>
                    <w:spacing w:before="31"/>
                    <w:rPr>
                      <w:rFonts w:hint="eastAsia"/>
                      <w:color w:val="auto"/>
                      <w:highlight w:val="none"/>
                    </w:rPr>
                  </w:pPr>
                </w:p>
              </w:tc>
              <w:tc>
                <w:tcPr>
                  <w:tcW w:w="538" w:type="pct"/>
                  <w:shd w:val="clear" w:color="auto" w:fill="auto"/>
                  <w:tcMar>
                    <w:left w:w="57" w:type="dxa"/>
                    <w:right w:w="57" w:type="dxa"/>
                  </w:tcMar>
                  <w:vAlign w:val="center"/>
                </w:tcPr>
                <w:p w14:paraId="14967C51">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S</w:t>
                  </w:r>
                  <w:r>
                    <w:rPr>
                      <w:rFonts w:hint="eastAsia"/>
                      <w:color w:val="auto"/>
                      <w:highlight w:val="none"/>
                      <w:lang w:val="en-US" w:eastAsia="zh-CN"/>
                    </w:rPr>
                    <w:t>9</w:t>
                  </w:r>
                </w:p>
              </w:tc>
              <w:tc>
                <w:tcPr>
                  <w:tcW w:w="1251" w:type="pct"/>
                  <w:tcMar>
                    <w:left w:w="57" w:type="dxa"/>
                    <w:right w:w="57" w:type="dxa"/>
                  </w:tcMar>
                  <w:vAlign w:val="center"/>
                </w:tcPr>
                <w:p w14:paraId="1F4FDAB7">
                  <w:pPr>
                    <w:pStyle w:val="20"/>
                    <w:spacing w:before="31"/>
                    <w:rPr>
                      <w:rFonts w:hint="eastAsia"/>
                      <w:color w:val="auto"/>
                      <w:highlight w:val="none"/>
                      <w:lang w:val="en-US" w:eastAsia="zh-CN"/>
                    </w:rPr>
                  </w:pPr>
                  <w:r>
                    <w:rPr>
                      <w:rFonts w:hint="eastAsia"/>
                      <w:color w:val="auto"/>
                      <w:highlight w:val="none"/>
                      <w:lang w:val="en-US" w:eastAsia="zh-CN"/>
                    </w:rPr>
                    <w:t>废液压油</w:t>
                  </w:r>
                </w:p>
              </w:tc>
              <w:tc>
                <w:tcPr>
                  <w:tcW w:w="875" w:type="pct"/>
                  <w:vMerge w:val="continue"/>
                  <w:tcMar>
                    <w:left w:w="57" w:type="dxa"/>
                    <w:right w:w="57" w:type="dxa"/>
                  </w:tcMar>
                  <w:vAlign w:val="center"/>
                </w:tcPr>
                <w:p w14:paraId="69EEDC48">
                  <w:pPr>
                    <w:pStyle w:val="20"/>
                    <w:spacing w:before="31"/>
                    <w:rPr>
                      <w:rFonts w:hint="eastAsia"/>
                      <w:color w:val="auto"/>
                      <w:highlight w:val="none"/>
                      <w:lang w:val="en-US" w:eastAsia="zh-CN"/>
                    </w:rPr>
                  </w:pPr>
                </w:p>
              </w:tc>
              <w:tc>
                <w:tcPr>
                  <w:tcW w:w="1569" w:type="pct"/>
                  <w:tcMar>
                    <w:left w:w="57" w:type="dxa"/>
                    <w:right w:w="57" w:type="dxa"/>
                  </w:tcMar>
                  <w:vAlign w:val="center"/>
                </w:tcPr>
                <w:p w14:paraId="08083459">
                  <w:pPr>
                    <w:pStyle w:val="20"/>
                    <w:spacing w:before="31"/>
                    <w:rPr>
                      <w:rFonts w:hint="eastAsia"/>
                      <w:color w:val="auto"/>
                      <w:szCs w:val="21"/>
                      <w:highlight w:val="none"/>
                      <w:lang w:val="en-US" w:eastAsia="zh-CN"/>
                    </w:rPr>
                  </w:pPr>
                  <w:r>
                    <w:rPr>
                      <w:rFonts w:hint="eastAsia"/>
                      <w:color w:val="auto"/>
                      <w:szCs w:val="21"/>
                      <w:highlight w:val="none"/>
                      <w:lang w:val="en-US" w:eastAsia="zh-CN"/>
                    </w:rPr>
                    <w:t>矿物油</w:t>
                  </w:r>
                </w:p>
              </w:tc>
            </w:tr>
            <w:tr w14:paraId="18A27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0" w:type="pct"/>
                  <w:vMerge w:val="continue"/>
                  <w:tcMar>
                    <w:left w:w="57" w:type="dxa"/>
                    <w:right w:w="57" w:type="dxa"/>
                  </w:tcMar>
                  <w:vAlign w:val="center"/>
                </w:tcPr>
                <w:p w14:paraId="39AAA272">
                  <w:pPr>
                    <w:pStyle w:val="20"/>
                    <w:spacing w:before="31"/>
                    <w:rPr>
                      <w:color w:val="auto"/>
                      <w:highlight w:val="none"/>
                    </w:rPr>
                  </w:pPr>
                </w:p>
              </w:tc>
              <w:tc>
                <w:tcPr>
                  <w:tcW w:w="413" w:type="pct"/>
                  <w:vMerge w:val="continue"/>
                  <w:tcMar>
                    <w:left w:w="57" w:type="dxa"/>
                    <w:right w:w="57" w:type="dxa"/>
                  </w:tcMar>
                  <w:vAlign w:val="center"/>
                </w:tcPr>
                <w:p w14:paraId="1A5023DC">
                  <w:pPr>
                    <w:pStyle w:val="20"/>
                    <w:spacing w:before="31"/>
                    <w:rPr>
                      <w:rFonts w:hint="eastAsia"/>
                      <w:color w:val="auto"/>
                      <w:highlight w:val="none"/>
                    </w:rPr>
                  </w:pPr>
                </w:p>
              </w:tc>
              <w:tc>
                <w:tcPr>
                  <w:tcW w:w="538" w:type="pct"/>
                  <w:shd w:val="clear" w:color="auto" w:fill="auto"/>
                  <w:tcMar>
                    <w:left w:w="57" w:type="dxa"/>
                    <w:right w:w="57" w:type="dxa"/>
                  </w:tcMar>
                  <w:vAlign w:val="center"/>
                </w:tcPr>
                <w:p w14:paraId="6D76C0D7">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S10</w:t>
                  </w:r>
                </w:p>
              </w:tc>
              <w:tc>
                <w:tcPr>
                  <w:tcW w:w="1251" w:type="pct"/>
                  <w:shd w:val="clear" w:color="auto" w:fill="auto"/>
                  <w:tcMar>
                    <w:left w:w="57" w:type="dxa"/>
                    <w:right w:w="57" w:type="dxa"/>
                  </w:tcMar>
                  <w:vAlign w:val="center"/>
                </w:tcPr>
                <w:p w14:paraId="7D91ED08">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废零件（未沾染油渍）</w:t>
                  </w:r>
                </w:p>
              </w:tc>
              <w:tc>
                <w:tcPr>
                  <w:tcW w:w="875" w:type="pct"/>
                  <w:vMerge w:val="continue"/>
                  <w:tcMar>
                    <w:left w:w="57" w:type="dxa"/>
                    <w:right w:w="57" w:type="dxa"/>
                  </w:tcMar>
                  <w:vAlign w:val="center"/>
                </w:tcPr>
                <w:p w14:paraId="2425C7B2">
                  <w:pPr>
                    <w:pStyle w:val="20"/>
                    <w:spacing w:before="31"/>
                    <w:rPr>
                      <w:rFonts w:hint="eastAsia"/>
                      <w:color w:val="auto"/>
                      <w:highlight w:val="none"/>
                      <w:lang w:val="en-US" w:eastAsia="zh-CN"/>
                    </w:rPr>
                  </w:pPr>
                </w:p>
              </w:tc>
              <w:tc>
                <w:tcPr>
                  <w:tcW w:w="1569" w:type="pct"/>
                  <w:vMerge w:val="restart"/>
                  <w:tcMar>
                    <w:left w:w="57" w:type="dxa"/>
                    <w:right w:w="57" w:type="dxa"/>
                  </w:tcMar>
                  <w:vAlign w:val="center"/>
                </w:tcPr>
                <w:p w14:paraId="78F81471">
                  <w:pPr>
                    <w:pStyle w:val="20"/>
                    <w:spacing w:before="31"/>
                    <w:rPr>
                      <w:rFonts w:hint="default" w:eastAsia="宋体"/>
                      <w:color w:val="auto"/>
                      <w:szCs w:val="21"/>
                      <w:highlight w:val="none"/>
                      <w:lang w:val="en-US" w:eastAsia="zh-CN"/>
                    </w:rPr>
                  </w:pPr>
                  <w:r>
                    <w:rPr>
                      <w:rFonts w:hint="eastAsia"/>
                      <w:color w:val="auto"/>
                      <w:szCs w:val="21"/>
                      <w:highlight w:val="none"/>
                    </w:rPr>
                    <w:t>维修产生的废零件，材质主要为铁</w:t>
                  </w:r>
                  <w:r>
                    <w:rPr>
                      <w:rFonts w:hint="eastAsia"/>
                      <w:color w:val="auto"/>
                      <w:szCs w:val="21"/>
                      <w:highlight w:val="none"/>
                      <w:lang w:eastAsia="zh-CN"/>
                    </w:rPr>
                    <w:t>、</w:t>
                  </w:r>
                  <w:r>
                    <w:rPr>
                      <w:rFonts w:hint="eastAsia"/>
                      <w:color w:val="auto"/>
                      <w:szCs w:val="21"/>
                      <w:highlight w:val="none"/>
                      <w:lang w:val="en-US" w:eastAsia="zh-CN"/>
                    </w:rPr>
                    <w:t>塑料</w:t>
                  </w:r>
                </w:p>
              </w:tc>
            </w:tr>
            <w:tr w14:paraId="76197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0" w:type="pct"/>
                  <w:vMerge w:val="continue"/>
                  <w:tcMar>
                    <w:left w:w="57" w:type="dxa"/>
                    <w:right w:w="57" w:type="dxa"/>
                  </w:tcMar>
                  <w:vAlign w:val="center"/>
                </w:tcPr>
                <w:p w14:paraId="1CE583B6">
                  <w:pPr>
                    <w:pStyle w:val="20"/>
                    <w:spacing w:before="31"/>
                    <w:rPr>
                      <w:color w:val="auto"/>
                      <w:highlight w:val="none"/>
                    </w:rPr>
                  </w:pPr>
                </w:p>
              </w:tc>
              <w:tc>
                <w:tcPr>
                  <w:tcW w:w="413" w:type="pct"/>
                  <w:vMerge w:val="continue"/>
                  <w:tcMar>
                    <w:left w:w="57" w:type="dxa"/>
                    <w:right w:w="57" w:type="dxa"/>
                  </w:tcMar>
                  <w:vAlign w:val="center"/>
                </w:tcPr>
                <w:p w14:paraId="7712B892">
                  <w:pPr>
                    <w:pStyle w:val="20"/>
                    <w:spacing w:before="31"/>
                    <w:rPr>
                      <w:rFonts w:hint="eastAsia"/>
                      <w:color w:val="auto"/>
                      <w:highlight w:val="none"/>
                    </w:rPr>
                  </w:pPr>
                </w:p>
              </w:tc>
              <w:tc>
                <w:tcPr>
                  <w:tcW w:w="538" w:type="pct"/>
                  <w:shd w:val="clear" w:color="auto" w:fill="auto"/>
                  <w:tcMar>
                    <w:left w:w="57" w:type="dxa"/>
                    <w:right w:w="57" w:type="dxa"/>
                  </w:tcMar>
                  <w:vAlign w:val="center"/>
                </w:tcPr>
                <w:p w14:paraId="65C493ED">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S1</w:t>
                  </w:r>
                  <w:r>
                    <w:rPr>
                      <w:rFonts w:hint="eastAsia"/>
                      <w:color w:val="auto"/>
                      <w:highlight w:val="none"/>
                      <w:lang w:val="en-US" w:eastAsia="zh-CN"/>
                    </w:rPr>
                    <w:t>1</w:t>
                  </w:r>
                </w:p>
              </w:tc>
              <w:tc>
                <w:tcPr>
                  <w:tcW w:w="1251" w:type="pct"/>
                  <w:tcMar>
                    <w:left w:w="57" w:type="dxa"/>
                    <w:right w:w="57" w:type="dxa"/>
                  </w:tcMar>
                  <w:vAlign w:val="center"/>
                </w:tcPr>
                <w:p w14:paraId="208801F6">
                  <w:pPr>
                    <w:pStyle w:val="20"/>
                    <w:spacing w:before="31"/>
                    <w:rPr>
                      <w:rFonts w:hint="eastAsia"/>
                      <w:color w:val="auto"/>
                      <w:highlight w:val="none"/>
                      <w:lang w:val="en-US" w:eastAsia="zh-CN"/>
                    </w:rPr>
                  </w:pPr>
                  <w:r>
                    <w:rPr>
                      <w:rFonts w:hint="eastAsia"/>
                      <w:color w:val="auto"/>
                      <w:highlight w:val="none"/>
                      <w:lang w:val="en-US" w:eastAsia="zh-CN"/>
                    </w:rPr>
                    <w:t>废零件（沾有油渍）</w:t>
                  </w:r>
                </w:p>
              </w:tc>
              <w:tc>
                <w:tcPr>
                  <w:tcW w:w="875" w:type="pct"/>
                  <w:vMerge w:val="continue"/>
                  <w:tcMar>
                    <w:left w:w="57" w:type="dxa"/>
                    <w:right w:w="57" w:type="dxa"/>
                  </w:tcMar>
                  <w:vAlign w:val="center"/>
                </w:tcPr>
                <w:p w14:paraId="4530B664">
                  <w:pPr>
                    <w:pStyle w:val="20"/>
                    <w:spacing w:before="31"/>
                    <w:rPr>
                      <w:rFonts w:hint="eastAsia"/>
                      <w:color w:val="auto"/>
                      <w:highlight w:val="none"/>
                      <w:lang w:val="en-US" w:eastAsia="zh-CN"/>
                    </w:rPr>
                  </w:pPr>
                </w:p>
              </w:tc>
              <w:tc>
                <w:tcPr>
                  <w:tcW w:w="1569" w:type="pct"/>
                  <w:vMerge w:val="continue"/>
                  <w:tcMar>
                    <w:left w:w="57" w:type="dxa"/>
                    <w:right w:w="57" w:type="dxa"/>
                  </w:tcMar>
                  <w:vAlign w:val="center"/>
                </w:tcPr>
                <w:p w14:paraId="7721FF79">
                  <w:pPr>
                    <w:pStyle w:val="20"/>
                    <w:spacing w:before="31"/>
                    <w:rPr>
                      <w:rFonts w:hint="default" w:eastAsia="宋体"/>
                      <w:color w:val="auto"/>
                      <w:szCs w:val="21"/>
                      <w:highlight w:val="none"/>
                      <w:lang w:val="en-US" w:eastAsia="zh-CN"/>
                    </w:rPr>
                  </w:pPr>
                </w:p>
              </w:tc>
            </w:tr>
            <w:tr w14:paraId="7700C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0" w:type="pct"/>
                  <w:vMerge w:val="continue"/>
                  <w:tcMar>
                    <w:left w:w="57" w:type="dxa"/>
                    <w:right w:w="57" w:type="dxa"/>
                  </w:tcMar>
                  <w:vAlign w:val="center"/>
                </w:tcPr>
                <w:p w14:paraId="6C8AF382">
                  <w:pPr>
                    <w:pStyle w:val="20"/>
                    <w:spacing w:before="31"/>
                    <w:rPr>
                      <w:color w:val="auto"/>
                      <w:highlight w:val="none"/>
                    </w:rPr>
                  </w:pPr>
                </w:p>
              </w:tc>
              <w:tc>
                <w:tcPr>
                  <w:tcW w:w="413" w:type="pct"/>
                  <w:vMerge w:val="continue"/>
                  <w:tcMar>
                    <w:left w:w="57" w:type="dxa"/>
                    <w:right w:w="57" w:type="dxa"/>
                  </w:tcMar>
                  <w:vAlign w:val="center"/>
                </w:tcPr>
                <w:p w14:paraId="488B7377">
                  <w:pPr>
                    <w:pStyle w:val="20"/>
                    <w:spacing w:before="31"/>
                    <w:rPr>
                      <w:rFonts w:hint="eastAsia"/>
                      <w:color w:val="auto"/>
                      <w:highlight w:val="none"/>
                    </w:rPr>
                  </w:pPr>
                </w:p>
              </w:tc>
              <w:tc>
                <w:tcPr>
                  <w:tcW w:w="538" w:type="pct"/>
                  <w:shd w:val="clear" w:color="auto" w:fill="auto"/>
                  <w:tcMar>
                    <w:left w:w="57" w:type="dxa"/>
                    <w:right w:w="57" w:type="dxa"/>
                  </w:tcMar>
                  <w:vAlign w:val="center"/>
                </w:tcPr>
                <w:p w14:paraId="4A45C058">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S1</w:t>
                  </w:r>
                  <w:r>
                    <w:rPr>
                      <w:rFonts w:hint="eastAsia"/>
                      <w:color w:val="auto"/>
                      <w:highlight w:val="none"/>
                      <w:lang w:val="en-US" w:eastAsia="zh-CN"/>
                    </w:rPr>
                    <w:t>2</w:t>
                  </w:r>
                </w:p>
              </w:tc>
              <w:tc>
                <w:tcPr>
                  <w:tcW w:w="1251" w:type="pct"/>
                  <w:tcMar>
                    <w:left w:w="57" w:type="dxa"/>
                    <w:right w:w="57" w:type="dxa"/>
                  </w:tcMar>
                  <w:vAlign w:val="center"/>
                </w:tcPr>
                <w:p w14:paraId="197EB1E5">
                  <w:pPr>
                    <w:pStyle w:val="20"/>
                    <w:spacing w:before="31"/>
                    <w:rPr>
                      <w:rFonts w:hint="eastAsia"/>
                      <w:color w:val="auto"/>
                      <w:highlight w:val="none"/>
                      <w:lang w:val="en-US" w:eastAsia="zh-CN"/>
                    </w:rPr>
                  </w:pPr>
                  <w:r>
                    <w:rPr>
                      <w:rFonts w:hint="eastAsia"/>
                      <w:color w:val="auto"/>
                      <w:highlight w:val="none"/>
                    </w:rPr>
                    <w:t>废</w:t>
                  </w:r>
                  <w:r>
                    <w:rPr>
                      <w:rFonts w:hint="eastAsia"/>
                      <w:color w:val="auto"/>
                      <w:highlight w:val="none"/>
                      <w:lang w:val="en-US" w:eastAsia="zh-CN"/>
                    </w:rPr>
                    <w:t>脱模</w:t>
                  </w:r>
                  <w:r>
                    <w:rPr>
                      <w:rFonts w:hint="eastAsia"/>
                      <w:color w:val="auto"/>
                      <w:highlight w:val="none"/>
                    </w:rPr>
                    <w:t>清洗剂瓶</w:t>
                  </w:r>
                </w:p>
              </w:tc>
              <w:tc>
                <w:tcPr>
                  <w:tcW w:w="875" w:type="pct"/>
                  <w:vMerge w:val="continue"/>
                  <w:tcMar>
                    <w:left w:w="57" w:type="dxa"/>
                    <w:right w:w="57" w:type="dxa"/>
                  </w:tcMar>
                  <w:vAlign w:val="center"/>
                </w:tcPr>
                <w:p w14:paraId="3B814245">
                  <w:pPr>
                    <w:pStyle w:val="20"/>
                    <w:spacing w:before="31"/>
                    <w:rPr>
                      <w:rFonts w:hint="eastAsia"/>
                      <w:color w:val="auto"/>
                      <w:highlight w:val="none"/>
                      <w:lang w:val="en-US" w:eastAsia="zh-CN"/>
                    </w:rPr>
                  </w:pPr>
                </w:p>
              </w:tc>
              <w:tc>
                <w:tcPr>
                  <w:tcW w:w="1569" w:type="pct"/>
                  <w:tcMar>
                    <w:left w:w="57" w:type="dxa"/>
                    <w:right w:w="57" w:type="dxa"/>
                  </w:tcMar>
                  <w:vAlign w:val="center"/>
                </w:tcPr>
                <w:p w14:paraId="6BC355EA">
                  <w:pPr>
                    <w:pStyle w:val="20"/>
                    <w:spacing w:before="31"/>
                    <w:rPr>
                      <w:rFonts w:hint="eastAsia" w:ascii="Times New Roman" w:hAnsi="Times New Roman" w:eastAsia="宋体" w:cs="宋体"/>
                      <w:color w:val="auto"/>
                      <w:highlight w:val="none"/>
                      <w:lang w:val="en-US" w:eastAsia="zh-CN"/>
                    </w:rPr>
                  </w:pPr>
                  <w:r>
                    <w:rPr>
                      <w:rFonts w:hint="eastAsia"/>
                      <w:color w:val="auto"/>
                      <w:highlight w:val="none"/>
                      <w:lang w:val="en-US" w:eastAsia="zh-CN"/>
                    </w:rPr>
                    <w:t>脱模剂</w:t>
                  </w:r>
                  <w:r>
                    <w:rPr>
                      <w:rFonts w:hint="eastAsia"/>
                      <w:color w:val="auto"/>
                      <w:highlight w:val="none"/>
                    </w:rPr>
                    <w:t>清洗</w:t>
                  </w:r>
                  <w:r>
                    <w:rPr>
                      <w:rFonts w:hint="eastAsia"/>
                      <w:color w:val="auto"/>
                      <w:highlight w:val="none"/>
                      <w:lang w:val="en-US" w:eastAsia="zh-CN"/>
                    </w:rPr>
                    <w:t>剂空</w:t>
                  </w:r>
                  <w:r>
                    <w:rPr>
                      <w:rFonts w:hint="eastAsia"/>
                      <w:color w:val="auto"/>
                      <w:highlight w:val="none"/>
                    </w:rPr>
                    <w:t>瓶</w:t>
                  </w:r>
                </w:p>
              </w:tc>
            </w:tr>
            <w:tr w14:paraId="509B8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0" w:type="pct"/>
                  <w:vMerge w:val="continue"/>
                  <w:tcMar>
                    <w:left w:w="57" w:type="dxa"/>
                    <w:right w:w="57" w:type="dxa"/>
                  </w:tcMar>
                  <w:vAlign w:val="center"/>
                </w:tcPr>
                <w:p w14:paraId="797D46CE">
                  <w:pPr>
                    <w:pStyle w:val="20"/>
                    <w:spacing w:before="31"/>
                    <w:rPr>
                      <w:color w:val="auto"/>
                      <w:highlight w:val="none"/>
                    </w:rPr>
                  </w:pPr>
                </w:p>
              </w:tc>
              <w:tc>
                <w:tcPr>
                  <w:tcW w:w="413" w:type="pct"/>
                  <w:vMerge w:val="continue"/>
                  <w:tcMar>
                    <w:left w:w="57" w:type="dxa"/>
                    <w:right w:w="57" w:type="dxa"/>
                  </w:tcMar>
                  <w:vAlign w:val="center"/>
                </w:tcPr>
                <w:p w14:paraId="4C868A63">
                  <w:pPr>
                    <w:pStyle w:val="20"/>
                    <w:spacing w:before="31"/>
                    <w:rPr>
                      <w:rFonts w:hint="eastAsia"/>
                      <w:color w:val="auto"/>
                      <w:highlight w:val="none"/>
                    </w:rPr>
                  </w:pPr>
                </w:p>
              </w:tc>
              <w:tc>
                <w:tcPr>
                  <w:tcW w:w="538" w:type="pct"/>
                  <w:shd w:val="clear" w:color="auto" w:fill="auto"/>
                  <w:tcMar>
                    <w:left w:w="57" w:type="dxa"/>
                    <w:right w:w="57" w:type="dxa"/>
                  </w:tcMar>
                  <w:vAlign w:val="center"/>
                </w:tcPr>
                <w:p w14:paraId="1D244779">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S</w:t>
                  </w:r>
                  <w:r>
                    <w:rPr>
                      <w:rFonts w:hint="eastAsia"/>
                      <w:color w:val="auto"/>
                      <w:highlight w:val="none"/>
                      <w:lang w:val="en-US" w:eastAsia="zh-CN"/>
                    </w:rPr>
                    <w:t>13</w:t>
                  </w:r>
                </w:p>
              </w:tc>
              <w:tc>
                <w:tcPr>
                  <w:tcW w:w="1251" w:type="pct"/>
                  <w:shd w:val="clear" w:color="auto" w:fill="auto"/>
                  <w:tcMar>
                    <w:left w:w="57" w:type="dxa"/>
                    <w:right w:w="57" w:type="dxa"/>
                  </w:tcMar>
                  <w:vAlign w:val="center"/>
                </w:tcPr>
                <w:p w14:paraId="4160EA8E">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空压机废油</w:t>
                  </w:r>
                </w:p>
              </w:tc>
              <w:tc>
                <w:tcPr>
                  <w:tcW w:w="875" w:type="pct"/>
                  <w:shd w:val="clear" w:color="auto" w:fill="auto"/>
                  <w:tcMar>
                    <w:left w:w="57" w:type="dxa"/>
                    <w:right w:w="57" w:type="dxa"/>
                  </w:tcMar>
                  <w:vAlign w:val="center"/>
                </w:tcPr>
                <w:p w14:paraId="3425274D">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空压机运行</w:t>
                  </w:r>
                </w:p>
              </w:tc>
              <w:tc>
                <w:tcPr>
                  <w:tcW w:w="1569" w:type="pct"/>
                  <w:shd w:val="clear" w:color="auto" w:fill="auto"/>
                  <w:tcMar>
                    <w:left w:w="57" w:type="dxa"/>
                    <w:right w:w="57" w:type="dxa"/>
                  </w:tcMar>
                  <w:vAlign w:val="center"/>
                </w:tcPr>
                <w:p w14:paraId="78E76208">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空压机废油</w:t>
                  </w:r>
                </w:p>
              </w:tc>
            </w:tr>
            <w:tr w14:paraId="6411B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0" w:type="pct"/>
                  <w:vMerge w:val="continue"/>
                  <w:tcMar>
                    <w:left w:w="57" w:type="dxa"/>
                    <w:right w:w="57" w:type="dxa"/>
                  </w:tcMar>
                  <w:vAlign w:val="center"/>
                </w:tcPr>
                <w:p w14:paraId="5D78B3E7">
                  <w:pPr>
                    <w:pStyle w:val="20"/>
                    <w:spacing w:before="31"/>
                    <w:rPr>
                      <w:color w:val="auto"/>
                      <w:highlight w:val="none"/>
                    </w:rPr>
                  </w:pPr>
                </w:p>
              </w:tc>
              <w:tc>
                <w:tcPr>
                  <w:tcW w:w="413" w:type="pct"/>
                  <w:vMerge w:val="continue"/>
                  <w:tcMar>
                    <w:left w:w="57" w:type="dxa"/>
                    <w:right w:w="57" w:type="dxa"/>
                  </w:tcMar>
                  <w:vAlign w:val="center"/>
                </w:tcPr>
                <w:p w14:paraId="59C9E6BC">
                  <w:pPr>
                    <w:pStyle w:val="20"/>
                    <w:spacing w:before="31"/>
                    <w:rPr>
                      <w:rFonts w:hint="eastAsia"/>
                      <w:color w:val="auto"/>
                      <w:highlight w:val="none"/>
                    </w:rPr>
                  </w:pPr>
                </w:p>
              </w:tc>
              <w:tc>
                <w:tcPr>
                  <w:tcW w:w="538" w:type="pct"/>
                  <w:shd w:val="clear" w:color="auto" w:fill="auto"/>
                  <w:tcMar>
                    <w:left w:w="57" w:type="dxa"/>
                    <w:right w:w="57" w:type="dxa"/>
                  </w:tcMar>
                  <w:vAlign w:val="center"/>
                </w:tcPr>
                <w:p w14:paraId="0BA66B4C">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kern w:val="2"/>
                      <w:sz w:val="21"/>
                      <w:szCs w:val="21"/>
                      <w:highlight w:val="none"/>
                      <w:lang w:val="en-US" w:eastAsia="zh-CN" w:bidi="ar-SA"/>
                    </w:rPr>
                    <w:t>S14</w:t>
                  </w:r>
                </w:p>
              </w:tc>
              <w:tc>
                <w:tcPr>
                  <w:tcW w:w="1251" w:type="pct"/>
                  <w:shd w:val="clear" w:color="auto" w:fill="auto"/>
                  <w:tcMar>
                    <w:left w:w="57" w:type="dxa"/>
                    <w:right w:w="57" w:type="dxa"/>
                  </w:tcMar>
                  <w:vAlign w:val="center"/>
                </w:tcPr>
                <w:p w14:paraId="3D2A5068">
                  <w:pPr>
                    <w:pStyle w:val="20"/>
                    <w:spacing w:before="31"/>
                    <w:rPr>
                      <w:rFonts w:hint="default"/>
                      <w:color w:val="auto"/>
                      <w:highlight w:val="none"/>
                      <w:lang w:val="en-US" w:eastAsia="zh-CN"/>
                    </w:rPr>
                  </w:pPr>
                  <w:r>
                    <w:rPr>
                      <w:rFonts w:hint="eastAsia"/>
                      <w:color w:val="auto"/>
                      <w:highlight w:val="none"/>
                      <w:lang w:val="en-US" w:eastAsia="zh-CN"/>
                    </w:rPr>
                    <w:t>废UV灯管</w:t>
                  </w:r>
                </w:p>
              </w:tc>
              <w:tc>
                <w:tcPr>
                  <w:tcW w:w="875" w:type="pct"/>
                  <w:vMerge w:val="restart"/>
                  <w:shd w:val="clear" w:color="auto" w:fill="auto"/>
                  <w:tcMar>
                    <w:left w:w="57" w:type="dxa"/>
                    <w:right w:w="57" w:type="dxa"/>
                  </w:tcMar>
                  <w:vAlign w:val="center"/>
                </w:tcPr>
                <w:p w14:paraId="5248BB57">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废气处理设施运行</w:t>
                  </w:r>
                </w:p>
              </w:tc>
              <w:tc>
                <w:tcPr>
                  <w:tcW w:w="1569" w:type="pct"/>
                  <w:shd w:val="clear" w:color="auto" w:fill="auto"/>
                  <w:tcMar>
                    <w:left w:w="57" w:type="dxa"/>
                    <w:right w:w="57" w:type="dxa"/>
                  </w:tcMar>
                  <w:vAlign w:val="center"/>
                </w:tcPr>
                <w:p w14:paraId="64627100">
                  <w:pPr>
                    <w:pStyle w:val="20"/>
                    <w:spacing w:before="31"/>
                    <w:rPr>
                      <w:rFonts w:hint="default"/>
                      <w:color w:val="auto"/>
                      <w:highlight w:val="none"/>
                      <w:lang w:val="en-US" w:eastAsia="zh-CN"/>
                    </w:rPr>
                  </w:pPr>
                  <w:r>
                    <w:rPr>
                      <w:rFonts w:hint="eastAsia"/>
                      <w:color w:val="auto"/>
                      <w:highlight w:val="none"/>
                      <w:lang w:val="en-US" w:eastAsia="zh-CN"/>
                    </w:rPr>
                    <w:t>废含汞UV灯管</w:t>
                  </w:r>
                </w:p>
              </w:tc>
            </w:tr>
            <w:tr w14:paraId="67203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0" w:type="pct"/>
                  <w:vMerge w:val="continue"/>
                  <w:tcMar>
                    <w:left w:w="57" w:type="dxa"/>
                    <w:right w:w="57" w:type="dxa"/>
                  </w:tcMar>
                  <w:vAlign w:val="center"/>
                </w:tcPr>
                <w:p w14:paraId="50820A35">
                  <w:pPr>
                    <w:pStyle w:val="20"/>
                    <w:spacing w:before="31"/>
                    <w:rPr>
                      <w:color w:val="auto"/>
                      <w:highlight w:val="none"/>
                    </w:rPr>
                  </w:pPr>
                </w:p>
              </w:tc>
              <w:tc>
                <w:tcPr>
                  <w:tcW w:w="413" w:type="pct"/>
                  <w:vMerge w:val="continue"/>
                  <w:tcMar>
                    <w:left w:w="57" w:type="dxa"/>
                    <w:right w:w="57" w:type="dxa"/>
                  </w:tcMar>
                  <w:vAlign w:val="center"/>
                </w:tcPr>
                <w:p w14:paraId="4A96B226">
                  <w:pPr>
                    <w:pStyle w:val="20"/>
                    <w:spacing w:before="31"/>
                    <w:rPr>
                      <w:rFonts w:hint="eastAsia"/>
                      <w:color w:val="auto"/>
                      <w:highlight w:val="none"/>
                    </w:rPr>
                  </w:pPr>
                </w:p>
              </w:tc>
              <w:tc>
                <w:tcPr>
                  <w:tcW w:w="538" w:type="pct"/>
                  <w:shd w:val="clear" w:color="auto" w:fill="auto"/>
                  <w:tcMar>
                    <w:left w:w="57" w:type="dxa"/>
                    <w:right w:w="57" w:type="dxa"/>
                  </w:tcMar>
                  <w:vAlign w:val="center"/>
                </w:tcPr>
                <w:p w14:paraId="5CB05B29">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S15</w:t>
                  </w:r>
                </w:p>
              </w:tc>
              <w:tc>
                <w:tcPr>
                  <w:tcW w:w="1251" w:type="pct"/>
                  <w:shd w:val="clear" w:color="auto" w:fill="auto"/>
                  <w:tcMar>
                    <w:left w:w="57" w:type="dxa"/>
                    <w:right w:w="57" w:type="dxa"/>
                  </w:tcMar>
                  <w:vAlign w:val="center"/>
                </w:tcPr>
                <w:p w14:paraId="74C78C82">
                  <w:pPr>
                    <w:pStyle w:val="20"/>
                    <w:spacing w:before="31"/>
                    <w:rPr>
                      <w:rFonts w:hint="default"/>
                      <w:color w:val="auto"/>
                      <w:highlight w:val="none"/>
                      <w:lang w:val="en-US" w:eastAsia="zh-CN"/>
                    </w:rPr>
                  </w:pPr>
                  <w:r>
                    <w:rPr>
                      <w:rFonts w:hint="eastAsia"/>
                      <w:color w:val="auto"/>
                      <w:highlight w:val="none"/>
                      <w:lang w:val="en-US" w:eastAsia="zh-CN"/>
                    </w:rPr>
                    <w:t>废过滤棉</w:t>
                  </w:r>
                </w:p>
              </w:tc>
              <w:tc>
                <w:tcPr>
                  <w:tcW w:w="875" w:type="pct"/>
                  <w:vMerge w:val="continue"/>
                  <w:shd w:val="clear" w:color="auto" w:fill="auto"/>
                  <w:tcMar>
                    <w:left w:w="57" w:type="dxa"/>
                    <w:right w:w="57" w:type="dxa"/>
                  </w:tcMar>
                  <w:vAlign w:val="center"/>
                </w:tcPr>
                <w:p w14:paraId="6F16557E">
                  <w:pPr>
                    <w:pStyle w:val="20"/>
                    <w:spacing w:before="31"/>
                    <w:rPr>
                      <w:rFonts w:hint="eastAsia" w:ascii="Times New Roman" w:hAnsi="Times New Roman" w:eastAsia="宋体" w:cs="宋体"/>
                      <w:color w:val="auto"/>
                      <w:kern w:val="2"/>
                      <w:sz w:val="21"/>
                      <w:szCs w:val="21"/>
                      <w:highlight w:val="none"/>
                      <w:lang w:val="en-US" w:eastAsia="zh-CN" w:bidi="ar-SA"/>
                    </w:rPr>
                  </w:pPr>
                </w:p>
              </w:tc>
              <w:tc>
                <w:tcPr>
                  <w:tcW w:w="1569" w:type="pct"/>
                  <w:vMerge w:val="restart"/>
                  <w:shd w:val="clear" w:color="auto" w:fill="auto"/>
                  <w:tcMar>
                    <w:left w:w="57" w:type="dxa"/>
                    <w:right w:w="57" w:type="dxa"/>
                  </w:tcMar>
                  <w:vAlign w:val="center"/>
                </w:tcPr>
                <w:p w14:paraId="59AF8F55">
                  <w:pPr>
                    <w:pStyle w:val="20"/>
                    <w:spacing w:before="31"/>
                    <w:rPr>
                      <w:rFonts w:hint="eastAsia"/>
                      <w:color w:val="auto"/>
                      <w:szCs w:val="21"/>
                      <w:highlight w:val="none"/>
                      <w:lang w:val="en-US" w:eastAsia="zh-CN"/>
                    </w:rPr>
                  </w:pPr>
                  <w:r>
                    <w:rPr>
                      <w:rFonts w:hint="eastAsia"/>
                      <w:color w:val="auto"/>
                      <w:highlight w:val="none"/>
                      <w:lang w:val="en-US" w:eastAsia="zh-CN"/>
                    </w:rPr>
                    <w:t>废吸附材料</w:t>
                  </w:r>
                </w:p>
              </w:tc>
            </w:tr>
            <w:tr w14:paraId="200DA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0" w:type="pct"/>
                  <w:vMerge w:val="continue"/>
                  <w:tcMar>
                    <w:left w:w="57" w:type="dxa"/>
                    <w:right w:w="57" w:type="dxa"/>
                  </w:tcMar>
                  <w:vAlign w:val="center"/>
                </w:tcPr>
                <w:p w14:paraId="5E7C815D">
                  <w:pPr>
                    <w:pStyle w:val="20"/>
                    <w:spacing w:before="31"/>
                    <w:rPr>
                      <w:color w:val="auto"/>
                      <w:highlight w:val="none"/>
                    </w:rPr>
                  </w:pPr>
                </w:p>
              </w:tc>
              <w:tc>
                <w:tcPr>
                  <w:tcW w:w="413" w:type="pct"/>
                  <w:vMerge w:val="continue"/>
                  <w:tcMar>
                    <w:left w:w="57" w:type="dxa"/>
                    <w:right w:w="57" w:type="dxa"/>
                  </w:tcMar>
                  <w:vAlign w:val="center"/>
                </w:tcPr>
                <w:p w14:paraId="7ACDF845">
                  <w:pPr>
                    <w:pStyle w:val="20"/>
                    <w:spacing w:before="31"/>
                    <w:rPr>
                      <w:rFonts w:hint="eastAsia"/>
                      <w:color w:val="auto"/>
                      <w:highlight w:val="none"/>
                    </w:rPr>
                  </w:pPr>
                </w:p>
              </w:tc>
              <w:tc>
                <w:tcPr>
                  <w:tcW w:w="538" w:type="pct"/>
                  <w:shd w:val="clear" w:color="auto" w:fill="auto"/>
                  <w:tcMar>
                    <w:left w:w="57" w:type="dxa"/>
                    <w:right w:w="57" w:type="dxa"/>
                  </w:tcMar>
                  <w:vAlign w:val="center"/>
                </w:tcPr>
                <w:p w14:paraId="64AB15CC">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S16</w:t>
                  </w:r>
                </w:p>
              </w:tc>
              <w:tc>
                <w:tcPr>
                  <w:tcW w:w="1251" w:type="pct"/>
                  <w:tcMar>
                    <w:left w:w="57" w:type="dxa"/>
                    <w:right w:w="57" w:type="dxa"/>
                  </w:tcMar>
                  <w:vAlign w:val="center"/>
                </w:tcPr>
                <w:p w14:paraId="3BA0D224">
                  <w:pPr>
                    <w:pStyle w:val="20"/>
                    <w:spacing w:before="31"/>
                    <w:rPr>
                      <w:rFonts w:hint="eastAsia"/>
                      <w:color w:val="auto"/>
                      <w:highlight w:val="none"/>
                      <w:lang w:val="en-US" w:eastAsia="zh-CN"/>
                    </w:rPr>
                  </w:pPr>
                  <w:r>
                    <w:rPr>
                      <w:rFonts w:hint="eastAsia"/>
                      <w:color w:val="auto"/>
                      <w:highlight w:val="none"/>
                    </w:rPr>
                    <w:t>废活性炭</w:t>
                  </w:r>
                </w:p>
              </w:tc>
              <w:tc>
                <w:tcPr>
                  <w:tcW w:w="875" w:type="pct"/>
                  <w:vMerge w:val="continue"/>
                  <w:shd w:val="clear" w:color="auto" w:fill="auto"/>
                  <w:tcMar>
                    <w:left w:w="57" w:type="dxa"/>
                    <w:right w:w="57" w:type="dxa"/>
                  </w:tcMar>
                  <w:vAlign w:val="center"/>
                </w:tcPr>
                <w:p w14:paraId="006DB25D">
                  <w:pPr>
                    <w:pStyle w:val="20"/>
                    <w:spacing w:before="31"/>
                    <w:rPr>
                      <w:rFonts w:hint="eastAsia" w:ascii="Times New Roman" w:hAnsi="Times New Roman" w:eastAsia="宋体" w:cs="宋体"/>
                      <w:color w:val="auto"/>
                      <w:kern w:val="2"/>
                      <w:sz w:val="21"/>
                      <w:szCs w:val="21"/>
                      <w:highlight w:val="none"/>
                      <w:lang w:val="en-US" w:eastAsia="zh-CN" w:bidi="ar-SA"/>
                    </w:rPr>
                  </w:pPr>
                </w:p>
              </w:tc>
              <w:tc>
                <w:tcPr>
                  <w:tcW w:w="1569" w:type="pct"/>
                  <w:vMerge w:val="continue"/>
                  <w:tcMar>
                    <w:left w:w="57" w:type="dxa"/>
                    <w:right w:w="57" w:type="dxa"/>
                  </w:tcMar>
                  <w:vAlign w:val="center"/>
                </w:tcPr>
                <w:p w14:paraId="3DDE3184">
                  <w:pPr>
                    <w:pStyle w:val="20"/>
                    <w:spacing w:before="31"/>
                    <w:rPr>
                      <w:rFonts w:hint="eastAsia"/>
                      <w:color w:val="auto"/>
                      <w:szCs w:val="21"/>
                      <w:highlight w:val="none"/>
                      <w:lang w:val="en-US" w:eastAsia="zh-CN"/>
                    </w:rPr>
                  </w:pPr>
                </w:p>
              </w:tc>
            </w:tr>
            <w:tr w14:paraId="4A727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0" w:type="pct"/>
                  <w:vMerge w:val="continue"/>
                  <w:tcMar>
                    <w:left w:w="57" w:type="dxa"/>
                    <w:right w:w="57" w:type="dxa"/>
                  </w:tcMar>
                  <w:vAlign w:val="center"/>
                </w:tcPr>
                <w:p w14:paraId="04C65531">
                  <w:pPr>
                    <w:pStyle w:val="20"/>
                    <w:spacing w:before="31"/>
                    <w:rPr>
                      <w:color w:val="auto"/>
                      <w:highlight w:val="none"/>
                    </w:rPr>
                  </w:pPr>
                </w:p>
              </w:tc>
              <w:tc>
                <w:tcPr>
                  <w:tcW w:w="413" w:type="pct"/>
                  <w:vMerge w:val="continue"/>
                  <w:tcMar>
                    <w:left w:w="57" w:type="dxa"/>
                    <w:right w:w="57" w:type="dxa"/>
                  </w:tcMar>
                  <w:vAlign w:val="center"/>
                </w:tcPr>
                <w:p w14:paraId="109AC492">
                  <w:pPr>
                    <w:pStyle w:val="20"/>
                    <w:spacing w:before="31"/>
                    <w:rPr>
                      <w:color w:val="auto"/>
                      <w:highlight w:val="none"/>
                    </w:rPr>
                  </w:pPr>
                </w:p>
              </w:tc>
              <w:tc>
                <w:tcPr>
                  <w:tcW w:w="538" w:type="pct"/>
                  <w:shd w:val="clear" w:color="auto" w:fill="auto"/>
                  <w:tcMar>
                    <w:left w:w="57" w:type="dxa"/>
                    <w:right w:w="57" w:type="dxa"/>
                  </w:tcMar>
                  <w:vAlign w:val="center"/>
                </w:tcPr>
                <w:p w14:paraId="39E096CD">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S17</w:t>
                  </w:r>
                </w:p>
              </w:tc>
              <w:tc>
                <w:tcPr>
                  <w:tcW w:w="1251" w:type="pct"/>
                  <w:tcMar>
                    <w:left w:w="57" w:type="dxa"/>
                    <w:right w:w="57" w:type="dxa"/>
                  </w:tcMar>
                  <w:vAlign w:val="center"/>
                </w:tcPr>
                <w:p w14:paraId="6AEB5C44">
                  <w:pPr>
                    <w:pStyle w:val="20"/>
                    <w:spacing w:before="31"/>
                    <w:rPr>
                      <w:color w:val="auto"/>
                      <w:highlight w:val="none"/>
                    </w:rPr>
                  </w:pPr>
                  <w:r>
                    <w:rPr>
                      <w:rFonts w:hint="eastAsia"/>
                      <w:color w:val="auto"/>
                      <w:highlight w:val="none"/>
                    </w:rPr>
                    <w:t>生活垃圾</w:t>
                  </w:r>
                </w:p>
              </w:tc>
              <w:tc>
                <w:tcPr>
                  <w:tcW w:w="875" w:type="pct"/>
                  <w:shd w:val="clear" w:color="auto" w:fill="auto"/>
                  <w:tcMar>
                    <w:left w:w="57" w:type="dxa"/>
                    <w:right w:w="57" w:type="dxa"/>
                  </w:tcMar>
                  <w:vAlign w:val="center"/>
                </w:tcPr>
                <w:p w14:paraId="51DD849C">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kern w:val="2"/>
                      <w:sz w:val="21"/>
                      <w:szCs w:val="21"/>
                      <w:highlight w:val="none"/>
                      <w:lang w:val="en-US" w:eastAsia="zh-CN" w:bidi="ar-SA"/>
                    </w:rPr>
                    <w:t>员工生活</w:t>
                  </w:r>
                </w:p>
              </w:tc>
              <w:tc>
                <w:tcPr>
                  <w:tcW w:w="1569" w:type="pct"/>
                  <w:tcMar>
                    <w:left w:w="57" w:type="dxa"/>
                    <w:right w:w="57" w:type="dxa"/>
                  </w:tcMar>
                  <w:vAlign w:val="center"/>
                </w:tcPr>
                <w:p w14:paraId="12F1F467">
                  <w:pPr>
                    <w:pStyle w:val="20"/>
                    <w:spacing w:before="31"/>
                    <w:rPr>
                      <w:color w:val="auto"/>
                      <w:highlight w:val="none"/>
                    </w:rPr>
                  </w:pPr>
                  <w:r>
                    <w:rPr>
                      <w:rFonts w:hint="eastAsia"/>
                      <w:color w:val="auto"/>
                      <w:highlight w:val="none"/>
                    </w:rPr>
                    <w:t>生活垃圾</w:t>
                  </w:r>
                </w:p>
              </w:tc>
            </w:tr>
            <w:tr w14:paraId="5E57A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0" w:type="pct"/>
                  <w:vAlign w:val="center"/>
                </w:tcPr>
                <w:p w14:paraId="0B7C928A">
                  <w:pPr>
                    <w:pStyle w:val="20"/>
                    <w:spacing w:before="31"/>
                    <w:rPr>
                      <w:color w:val="auto"/>
                      <w:highlight w:val="none"/>
                    </w:rPr>
                  </w:pPr>
                  <w:r>
                    <w:rPr>
                      <w:rFonts w:hint="eastAsia"/>
                      <w:color w:val="auto"/>
                      <w:highlight w:val="none"/>
                    </w:rPr>
                    <w:t>全厂</w:t>
                  </w:r>
                </w:p>
              </w:tc>
              <w:tc>
                <w:tcPr>
                  <w:tcW w:w="413" w:type="pct"/>
                  <w:vAlign w:val="center"/>
                </w:tcPr>
                <w:p w14:paraId="742CB156">
                  <w:pPr>
                    <w:pStyle w:val="20"/>
                    <w:spacing w:before="31"/>
                    <w:rPr>
                      <w:color w:val="auto"/>
                      <w:highlight w:val="none"/>
                    </w:rPr>
                  </w:pPr>
                  <w:r>
                    <w:rPr>
                      <w:rFonts w:hint="eastAsia"/>
                      <w:color w:val="auto"/>
                      <w:highlight w:val="none"/>
                    </w:rPr>
                    <w:t>噪声</w:t>
                  </w:r>
                </w:p>
              </w:tc>
              <w:tc>
                <w:tcPr>
                  <w:tcW w:w="538" w:type="pct"/>
                  <w:vAlign w:val="center"/>
                </w:tcPr>
                <w:p w14:paraId="0445F464">
                  <w:pPr>
                    <w:pStyle w:val="20"/>
                    <w:spacing w:before="31"/>
                    <w:rPr>
                      <w:color w:val="auto"/>
                      <w:highlight w:val="none"/>
                    </w:rPr>
                  </w:pPr>
                  <w:r>
                    <w:rPr>
                      <w:rFonts w:hint="eastAsia"/>
                      <w:color w:val="auto"/>
                      <w:highlight w:val="none"/>
                    </w:rPr>
                    <w:t>N</w:t>
                  </w:r>
                </w:p>
              </w:tc>
              <w:tc>
                <w:tcPr>
                  <w:tcW w:w="1251" w:type="pct"/>
                  <w:vAlign w:val="center"/>
                </w:tcPr>
                <w:p w14:paraId="4716269B">
                  <w:pPr>
                    <w:pStyle w:val="20"/>
                    <w:spacing w:before="31"/>
                    <w:rPr>
                      <w:color w:val="auto"/>
                      <w:highlight w:val="none"/>
                    </w:rPr>
                  </w:pPr>
                  <w:r>
                    <w:rPr>
                      <w:rFonts w:hint="eastAsia"/>
                      <w:color w:val="auto"/>
                      <w:highlight w:val="none"/>
                    </w:rPr>
                    <w:t>设备噪声</w:t>
                  </w:r>
                </w:p>
              </w:tc>
              <w:tc>
                <w:tcPr>
                  <w:tcW w:w="875" w:type="pct"/>
                  <w:vAlign w:val="center"/>
                </w:tcPr>
                <w:p w14:paraId="28AFD7A2">
                  <w:pPr>
                    <w:pStyle w:val="20"/>
                    <w:spacing w:before="31"/>
                    <w:rPr>
                      <w:color w:val="auto"/>
                      <w:highlight w:val="none"/>
                    </w:rPr>
                  </w:pPr>
                  <w:r>
                    <w:rPr>
                      <w:rFonts w:hint="eastAsia"/>
                      <w:color w:val="auto"/>
                      <w:highlight w:val="none"/>
                    </w:rPr>
                    <w:t>设备运行</w:t>
                  </w:r>
                </w:p>
              </w:tc>
              <w:tc>
                <w:tcPr>
                  <w:tcW w:w="1569" w:type="pct"/>
                  <w:vAlign w:val="center"/>
                </w:tcPr>
                <w:p w14:paraId="316C1C21">
                  <w:pPr>
                    <w:pStyle w:val="20"/>
                    <w:spacing w:before="31"/>
                    <w:rPr>
                      <w:color w:val="auto"/>
                      <w:highlight w:val="none"/>
                    </w:rPr>
                  </w:pPr>
                  <w:r>
                    <w:rPr>
                      <w:rFonts w:hint="eastAsia"/>
                      <w:color w:val="auto"/>
                      <w:highlight w:val="none"/>
                    </w:rPr>
                    <w:t>等效A声级</w:t>
                  </w:r>
                </w:p>
              </w:tc>
            </w:tr>
          </w:tbl>
          <w:p w14:paraId="3C651C9D">
            <w:pPr>
              <w:rPr>
                <w:color w:val="auto"/>
                <w:sz w:val="2"/>
                <w:szCs w:val="2"/>
                <w:highlight w:val="none"/>
                <w:vertAlign w:val="baseline"/>
              </w:rPr>
            </w:pPr>
          </w:p>
        </w:tc>
      </w:tr>
    </w:tbl>
    <w:p w14:paraId="7D4251BE">
      <w:pPr>
        <w:keepNext w:val="0"/>
        <w:keepLines w:val="0"/>
        <w:pageBreakBefore w:val="0"/>
        <w:widowControl w:val="0"/>
        <w:kinsoku/>
        <w:wordWrap/>
        <w:overflowPunct/>
        <w:topLinePunct w:val="0"/>
        <w:autoSpaceDE/>
        <w:autoSpaceDN/>
        <w:bidi w:val="0"/>
        <w:adjustRightInd/>
        <w:snapToGrid/>
        <w:spacing w:line="0" w:lineRule="atLeast"/>
        <w:textAlignment w:val="auto"/>
        <w:outlineLvl w:val="0"/>
        <w:rPr>
          <w:rFonts w:hint="default" w:eastAsia="宋体"/>
          <w:color w:val="auto"/>
          <w:sz w:val="2"/>
          <w:szCs w:val="2"/>
          <w:highlight w:val="none"/>
          <w:lang w:val="en-US" w:eastAsia="zh-CN"/>
        </w:rPr>
      </w:pPr>
      <w:r>
        <w:rPr>
          <w:rFonts w:hint="eastAsia"/>
          <w:color w:val="auto"/>
          <w:sz w:val="2"/>
          <w:szCs w:val="2"/>
          <w:highlight w:val="none"/>
          <w:lang w:val="en-US" w:eastAsia="zh-CN"/>
        </w:rPr>
        <w:t>现有项目</w:t>
      </w:r>
    </w:p>
    <w:tbl>
      <w:tblPr>
        <w:tblStyle w:val="1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40"/>
        <w:gridCol w:w="8449"/>
      </w:tblGrid>
      <w:tr w14:paraId="0B2E5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52" w:type="pct"/>
            <w:vAlign w:val="center"/>
          </w:tcPr>
          <w:p w14:paraId="10B284A5">
            <w:pPr>
              <w:pStyle w:val="24"/>
              <w:bidi w:val="0"/>
              <w:rPr>
                <w:rFonts w:hint="eastAsia"/>
                <w:b/>
                <w:bCs/>
                <w:color w:val="auto"/>
                <w:highlight w:val="none"/>
                <w:lang w:val="en-US" w:eastAsia="zh-CN"/>
              </w:rPr>
            </w:pPr>
            <w:r>
              <w:rPr>
                <w:rFonts w:hint="eastAsia"/>
                <w:b/>
                <w:bCs/>
                <w:color w:val="auto"/>
                <w:highlight w:val="none"/>
              </w:rPr>
              <w:t>与项目有关的原有环境污染问题</w:t>
            </w:r>
          </w:p>
        </w:tc>
        <w:tc>
          <w:tcPr>
            <w:tcW w:w="4647" w:type="pct"/>
            <w:vAlign w:val="top"/>
          </w:tcPr>
          <w:p w14:paraId="3DEFD280">
            <w:pPr>
              <w:pStyle w:val="2"/>
              <w:numPr>
                <w:ilvl w:val="0"/>
                <w:numId w:val="5"/>
              </w:numPr>
              <w:bidi w:val="0"/>
              <w:rPr>
                <w:rFonts w:hint="default"/>
                <w:color w:val="auto"/>
                <w:highlight w:val="none"/>
              </w:rPr>
            </w:pPr>
            <w:r>
              <w:rPr>
                <w:rFonts w:hint="eastAsia"/>
                <w:color w:val="auto"/>
                <w:highlight w:val="none"/>
              </w:rPr>
              <w:t>现有工程环保手续履行情况</w:t>
            </w:r>
          </w:p>
          <w:p w14:paraId="021029B7">
            <w:pPr>
              <w:pStyle w:val="18"/>
              <w:bidi w:val="0"/>
              <w:rPr>
                <w:rFonts w:hint="eastAsia"/>
                <w:color w:val="auto"/>
                <w:highlight w:val="none"/>
                <w:lang w:val="en-US" w:eastAsia="zh-CN"/>
              </w:rPr>
            </w:pPr>
            <w:r>
              <w:rPr>
                <w:rFonts w:hint="eastAsia"/>
                <w:color w:val="auto"/>
                <w:highlight w:val="none"/>
              </w:rPr>
              <w:t>重庆天畅汽车零部件有限公司</w:t>
            </w:r>
            <w:r>
              <w:rPr>
                <w:rFonts w:hint="eastAsia"/>
                <w:color w:val="auto"/>
                <w:highlight w:val="none"/>
                <w:lang w:val="en-US" w:eastAsia="zh-CN"/>
              </w:rPr>
              <w:t>租赁厂房建设汽车零部件项目，委托重庆大学编制《汽车零部件项目环境影响报告表》，于2015年11月30日取得《重庆市建设项目环境影响评价批准书》，批复文号：渝（九）环准（</w:t>
            </w:r>
            <w:r>
              <w:rPr>
                <w:rFonts w:hint="default"/>
                <w:color w:val="auto"/>
                <w:highlight w:val="none"/>
              </w:rPr>
              <w:t>四清四治第46号</w:t>
            </w:r>
            <w:r>
              <w:rPr>
                <w:rFonts w:hint="eastAsia"/>
                <w:color w:val="auto"/>
                <w:highlight w:val="none"/>
                <w:lang w:val="en-US" w:eastAsia="zh-CN"/>
              </w:rPr>
              <w:t>），全年生产约86万件塑料注塑件。汽车零部件项目于2016年3月7日完成竣工环保验收，取得《重庆市建设项目竣工环境保护验收批复》，批复文号：渝（九）环验（</w:t>
            </w:r>
            <w:r>
              <w:rPr>
                <w:rFonts w:hint="default"/>
                <w:color w:val="auto"/>
                <w:highlight w:val="none"/>
              </w:rPr>
              <w:t>四清四治第</w:t>
            </w:r>
            <w:r>
              <w:rPr>
                <w:rFonts w:hint="eastAsia"/>
                <w:color w:val="auto"/>
                <w:highlight w:val="none"/>
                <w:lang w:val="en-US" w:eastAsia="zh-CN"/>
              </w:rPr>
              <w:t>33</w:t>
            </w:r>
            <w:r>
              <w:rPr>
                <w:rFonts w:hint="default"/>
                <w:color w:val="auto"/>
                <w:highlight w:val="none"/>
              </w:rPr>
              <w:t>号</w:t>
            </w:r>
            <w:r>
              <w:rPr>
                <w:rFonts w:hint="eastAsia"/>
                <w:color w:val="auto"/>
                <w:highlight w:val="none"/>
                <w:lang w:val="en-US" w:eastAsia="zh-CN"/>
              </w:rPr>
              <w:t>）。排污许可登记编号：91500107305039037H001W。</w:t>
            </w:r>
          </w:p>
          <w:p w14:paraId="4AAA821A">
            <w:pPr>
              <w:pStyle w:val="18"/>
              <w:bidi w:val="0"/>
              <w:rPr>
                <w:rFonts w:hint="default"/>
                <w:color w:val="auto"/>
                <w:highlight w:val="none"/>
                <w:lang w:val="en-US" w:eastAsia="zh-CN"/>
              </w:rPr>
            </w:pPr>
            <w:r>
              <w:rPr>
                <w:rFonts w:hint="eastAsia"/>
                <w:color w:val="auto"/>
                <w:highlight w:val="none"/>
                <w:lang w:val="en-US" w:eastAsia="zh-CN"/>
              </w:rPr>
              <w:t>现有项目运行至今未收到环保投诉及环保处罚。</w:t>
            </w:r>
          </w:p>
          <w:p w14:paraId="46D6C93B">
            <w:pPr>
              <w:pStyle w:val="2"/>
              <w:keepNext w:val="0"/>
              <w:keepLines w:val="0"/>
              <w:numPr>
                <w:ilvl w:val="0"/>
                <w:numId w:val="5"/>
              </w:numPr>
              <w:suppressLineNumbers w:val="0"/>
              <w:bidi w:val="0"/>
              <w:spacing w:beforeAutospacing="0" w:after="0" w:afterAutospacing="0"/>
              <w:ind w:right="0"/>
              <w:rPr>
                <w:rFonts w:hint="default"/>
                <w:color w:val="auto"/>
                <w:highlight w:val="none"/>
                <w:lang w:val="en-US" w:eastAsia="zh-CN"/>
              </w:rPr>
            </w:pPr>
            <w:r>
              <w:rPr>
                <w:rFonts w:hint="eastAsia"/>
                <w:color w:val="auto"/>
                <w:highlight w:val="none"/>
                <w:lang w:val="en-US" w:eastAsia="zh-CN"/>
              </w:rPr>
              <w:t>现有项目产品方案</w:t>
            </w:r>
          </w:p>
          <w:p w14:paraId="623BD259">
            <w:pPr>
              <w:pStyle w:val="18"/>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现有项目实际年产后视镜约16万套，共约80万件后视镜塑料件。</w:t>
            </w:r>
          </w:p>
          <w:p w14:paraId="2C921A6E">
            <w:pPr>
              <w:pStyle w:val="19"/>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表2-</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SEQ 表2- \* ARABIC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9</w:t>
            </w:r>
            <w:r>
              <w:rPr>
                <w:rFonts w:hint="default" w:ascii="Times New Roman" w:hAnsi="Times New Roman" w:cs="Times New Roman"/>
                <w:color w:val="auto"/>
                <w:highlight w:val="none"/>
              </w:rPr>
              <w:fldChar w:fldCharType="end"/>
            </w:r>
            <w:r>
              <w:rPr>
                <w:rFonts w:hint="eastAsia" w:ascii="Times New Roman" w:hAnsi="Times New Roman" w:cs="Times New Roman"/>
                <w:color w:val="auto"/>
                <w:highlight w:val="none"/>
                <w:lang w:val="en-US" w:eastAsia="zh-CN"/>
              </w:rPr>
              <w:t xml:space="preserve">  现有项目产品方案</w:t>
            </w:r>
            <w:r>
              <w:rPr>
                <w:rFonts w:hint="eastAsia" w:ascii="Times New Roman" w:hAnsi="Times New Roman" w:cs="Times New Roman"/>
                <w:color w:val="auto"/>
                <w:highlight w:val="none"/>
              </w:rPr>
              <w:t>一览表</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367"/>
              <w:gridCol w:w="1121"/>
              <w:gridCol w:w="3052"/>
              <w:gridCol w:w="1250"/>
              <w:gridCol w:w="902"/>
              <w:gridCol w:w="630"/>
            </w:tblGrid>
            <w:tr w14:paraId="49CF8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494" w:type="pct"/>
                  <w:gridSpan w:val="2"/>
                  <w:shd w:val="clear" w:color="auto" w:fill="auto"/>
                  <w:vAlign w:val="center"/>
                </w:tcPr>
                <w:p w14:paraId="1F5B0E7D">
                  <w:pPr>
                    <w:pStyle w:val="20"/>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产品名称</w:t>
                  </w:r>
                </w:p>
              </w:tc>
              <w:tc>
                <w:tcPr>
                  <w:tcW w:w="1833" w:type="pct"/>
                  <w:vAlign w:val="center"/>
                </w:tcPr>
                <w:p w14:paraId="2B7B2972">
                  <w:pPr>
                    <w:pStyle w:val="20"/>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现有项目年产量</w:t>
                  </w:r>
                  <w:r>
                    <w:rPr>
                      <w:rFonts w:hint="default"/>
                      <w:b/>
                      <w:bCs/>
                      <w:color w:val="auto"/>
                      <w:highlight w:val="none"/>
                    </w:rPr>
                    <w:t>（万件/</w:t>
                  </w:r>
                  <w:r>
                    <w:rPr>
                      <w:rFonts w:hint="eastAsia"/>
                      <w:b/>
                      <w:bCs/>
                      <w:color w:val="auto"/>
                      <w:highlight w:val="none"/>
                      <w:lang w:val="en-US" w:eastAsia="zh-CN"/>
                    </w:rPr>
                    <w:t>a</w:t>
                  </w:r>
                  <w:r>
                    <w:rPr>
                      <w:rFonts w:hint="default"/>
                      <w:b/>
                      <w:bCs/>
                      <w:color w:val="auto"/>
                      <w:highlight w:val="none"/>
                    </w:rPr>
                    <w:t>）</w:t>
                  </w:r>
                </w:p>
              </w:tc>
              <w:tc>
                <w:tcPr>
                  <w:tcW w:w="751" w:type="pct"/>
                  <w:vAlign w:val="center"/>
                </w:tcPr>
                <w:p w14:paraId="4593814B">
                  <w:pPr>
                    <w:pStyle w:val="20"/>
                    <w:keepNext w:val="0"/>
                    <w:keepLines w:val="0"/>
                    <w:suppressLineNumbers w:val="0"/>
                    <w:bidi w:val="0"/>
                    <w:spacing w:before="0" w:beforeAutospacing="0" w:after="0" w:afterAutospacing="0"/>
                    <w:ind w:left="0" w:right="0"/>
                    <w:rPr>
                      <w:rFonts w:hint="default"/>
                      <w:b/>
                      <w:bCs/>
                      <w:color w:val="auto"/>
                      <w:highlight w:val="none"/>
                    </w:rPr>
                  </w:pPr>
                  <w:r>
                    <w:rPr>
                      <w:rFonts w:hint="eastAsia"/>
                      <w:b/>
                      <w:bCs/>
                      <w:color w:val="auto"/>
                      <w:highlight w:val="none"/>
                      <w:lang w:val="en-US" w:eastAsia="zh-CN"/>
                    </w:rPr>
                    <w:t>产品规格</w:t>
                  </w:r>
                </w:p>
              </w:tc>
              <w:tc>
                <w:tcPr>
                  <w:tcW w:w="542" w:type="pct"/>
                  <w:vAlign w:val="center"/>
                </w:tcPr>
                <w:p w14:paraId="094925DC">
                  <w:pPr>
                    <w:pStyle w:val="20"/>
                    <w:keepNext w:val="0"/>
                    <w:keepLines w:val="0"/>
                    <w:suppressLineNumbers w:val="0"/>
                    <w:bidi w:val="0"/>
                    <w:spacing w:before="0" w:beforeAutospacing="0" w:after="0" w:afterAutospacing="0"/>
                    <w:ind w:left="0" w:right="0"/>
                    <w:rPr>
                      <w:rFonts w:hint="eastAsia"/>
                      <w:b/>
                      <w:bCs/>
                      <w:color w:val="auto"/>
                      <w:highlight w:val="none"/>
                      <w:lang w:val="en-US" w:eastAsia="zh-CN"/>
                    </w:rPr>
                  </w:pPr>
                  <w:r>
                    <w:rPr>
                      <w:rFonts w:hint="eastAsia"/>
                      <w:b/>
                      <w:bCs/>
                      <w:color w:val="auto"/>
                      <w:highlight w:val="none"/>
                      <w:lang w:val="en-US" w:eastAsia="zh-CN"/>
                    </w:rPr>
                    <w:t>总量</w:t>
                  </w:r>
                  <w:r>
                    <w:rPr>
                      <w:rFonts w:hint="eastAsia"/>
                      <w:b/>
                      <w:bCs/>
                      <w:color w:val="auto"/>
                      <w:highlight w:val="none"/>
                      <w:lang w:val="en-US" w:eastAsia="zh-CN"/>
                    </w:rPr>
                    <w:br w:type="textWrapping"/>
                  </w:r>
                  <w:r>
                    <w:rPr>
                      <w:rFonts w:hint="eastAsia"/>
                      <w:b/>
                      <w:bCs/>
                      <w:color w:val="auto"/>
                      <w:highlight w:val="none"/>
                      <w:lang w:val="en-US" w:eastAsia="zh-CN"/>
                    </w:rPr>
                    <w:t>（t/a）</w:t>
                  </w:r>
                </w:p>
              </w:tc>
              <w:tc>
                <w:tcPr>
                  <w:tcW w:w="378" w:type="pct"/>
                  <w:vAlign w:val="center"/>
                </w:tcPr>
                <w:p w14:paraId="755A55C0">
                  <w:pPr>
                    <w:pStyle w:val="20"/>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材质</w:t>
                  </w:r>
                </w:p>
              </w:tc>
            </w:tr>
            <w:tr w14:paraId="736B0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21" w:type="pct"/>
                  <w:vMerge w:val="restart"/>
                  <w:vAlign w:val="center"/>
                </w:tcPr>
                <w:p w14:paraId="14EC6C8C">
                  <w:pPr>
                    <w:pStyle w:val="20"/>
                    <w:bidi w:val="0"/>
                    <w:rPr>
                      <w:rFonts w:hint="default"/>
                      <w:color w:val="auto"/>
                      <w:highlight w:val="none"/>
                      <w:lang w:val="en-US" w:eastAsia="zh-CN"/>
                    </w:rPr>
                  </w:pPr>
                  <w:r>
                    <w:rPr>
                      <w:rFonts w:hint="eastAsia"/>
                      <w:color w:val="auto"/>
                      <w:highlight w:val="none"/>
                      <w:lang w:val="en-US" w:eastAsia="zh-CN"/>
                    </w:rPr>
                    <w:t>汽车后视镜</w:t>
                  </w:r>
                </w:p>
              </w:tc>
              <w:tc>
                <w:tcPr>
                  <w:tcW w:w="673" w:type="pct"/>
                  <w:vAlign w:val="center"/>
                </w:tcPr>
                <w:p w14:paraId="6D3697C6">
                  <w:pPr>
                    <w:pStyle w:val="20"/>
                    <w:bidi w:val="0"/>
                    <w:rPr>
                      <w:rFonts w:hint="default"/>
                      <w:color w:val="auto"/>
                      <w:highlight w:val="none"/>
                    </w:rPr>
                  </w:pPr>
                  <w:r>
                    <w:rPr>
                      <w:rFonts w:hint="eastAsia"/>
                      <w:color w:val="auto"/>
                      <w:highlight w:val="none"/>
                      <w:lang w:val="en-US" w:eastAsia="zh-CN"/>
                    </w:rPr>
                    <w:t>镜面托板</w:t>
                  </w:r>
                </w:p>
              </w:tc>
              <w:tc>
                <w:tcPr>
                  <w:tcW w:w="1833" w:type="pct"/>
                  <w:vAlign w:val="center"/>
                </w:tcPr>
                <w:p w14:paraId="07609B08">
                  <w:pPr>
                    <w:pStyle w:val="20"/>
                    <w:bidi w:val="0"/>
                    <w:rPr>
                      <w:rFonts w:hint="default"/>
                      <w:color w:val="auto"/>
                      <w:highlight w:val="none"/>
                      <w:lang w:val="en-US" w:eastAsia="zh-CN"/>
                    </w:rPr>
                  </w:pPr>
                  <w:r>
                    <w:rPr>
                      <w:rFonts w:hint="eastAsia"/>
                      <w:color w:val="auto"/>
                      <w:highlight w:val="none"/>
                      <w:lang w:val="en-US" w:eastAsia="zh-CN"/>
                    </w:rPr>
                    <w:t>16</w:t>
                  </w:r>
                </w:p>
              </w:tc>
              <w:tc>
                <w:tcPr>
                  <w:tcW w:w="751" w:type="pct"/>
                  <w:vAlign w:val="center"/>
                </w:tcPr>
                <w:p w14:paraId="30F26CA0">
                  <w:pPr>
                    <w:pStyle w:val="20"/>
                    <w:bidi w:val="0"/>
                    <w:rPr>
                      <w:rFonts w:hint="default"/>
                      <w:color w:val="auto"/>
                      <w:highlight w:val="none"/>
                      <w:lang w:val="en-US"/>
                    </w:rPr>
                  </w:pPr>
                  <w:r>
                    <w:rPr>
                      <w:rFonts w:hint="eastAsia"/>
                      <w:color w:val="auto"/>
                      <w:highlight w:val="none"/>
                      <w:lang w:val="en-US" w:eastAsia="zh-CN"/>
                    </w:rPr>
                    <w:t>约35g/件</w:t>
                  </w:r>
                </w:p>
              </w:tc>
              <w:tc>
                <w:tcPr>
                  <w:tcW w:w="542" w:type="pct"/>
                  <w:vAlign w:val="center"/>
                </w:tcPr>
                <w:p w14:paraId="2C0E2EF8">
                  <w:pPr>
                    <w:pStyle w:val="20"/>
                    <w:bidi w:val="0"/>
                    <w:rPr>
                      <w:rFonts w:hint="default"/>
                      <w:color w:val="auto"/>
                      <w:highlight w:val="none"/>
                      <w:lang w:val="en-US" w:eastAsia="zh-CN"/>
                    </w:rPr>
                  </w:pPr>
                  <w:r>
                    <w:rPr>
                      <w:rFonts w:hint="eastAsia"/>
                      <w:color w:val="auto"/>
                      <w:highlight w:val="none"/>
                      <w:lang w:val="en-US" w:eastAsia="zh-CN"/>
                    </w:rPr>
                    <w:t>5.6</w:t>
                  </w:r>
                </w:p>
              </w:tc>
              <w:tc>
                <w:tcPr>
                  <w:tcW w:w="378" w:type="pct"/>
                  <w:shd w:val="clear" w:color="auto" w:fill="auto"/>
                  <w:vAlign w:val="center"/>
                </w:tcPr>
                <w:p w14:paraId="70F2D680">
                  <w:pPr>
                    <w:pStyle w:val="20"/>
                    <w:bidi w:val="0"/>
                    <w:rPr>
                      <w:rFonts w:hint="eastAsia"/>
                      <w:color w:val="auto"/>
                      <w:highlight w:val="none"/>
                      <w:lang w:val="en-US" w:eastAsia="zh-CN"/>
                    </w:rPr>
                  </w:pPr>
                  <w:r>
                    <w:rPr>
                      <w:rFonts w:hint="eastAsia"/>
                      <w:color w:val="auto"/>
                      <w:highlight w:val="none"/>
                      <w:lang w:val="en-US" w:eastAsia="zh-CN"/>
                    </w:rPr>
                    <w:t>ABS</w:t>
                  </w:r>
                </w:p>
              </w:tc>
            </w:tr>
            <w:tr w14:paraId="35C4F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21" w:type="pct"/>
                  <w:vMerge w:val="continue"/>
                  <w:vAlign w:val="center"/>
                </w:tcPr>
                <w:p w14:paraId="366E9A43">
                  <w:pPr>
                    <w:pStyle w:val="20"/>
                    <w:bidi w:val="0"/>
                    <w:rPr>
                      <w:rFonts w:hint="default"/>
                      <w:color w:val="auto"/>
                      <w:highlight w:val="none"/>
                    </w:rPr>
                  </w:pPr>
                </w:p>
              </w:tc>
              <w:tc>
                <w:tcPr>
                  <w:tcW w:w="673" w:type="pct"/>
                  <w:vAlign w:val="center"/>
                </w:tcPr>
                <w:p w14:paraId="3B77D22C">
                  <w:pPr>
                    <w:pStyle w:val="20"/>
                    <w:bidi w:val="0"/>
                    <w:rPr>
                      <w:rFonts w:hint="default"/>
                      <w:color w:val="auto"/>
                      <w:highlight w:val="none"/>
                    </w:rPr>
                  </w:pPr>
                  <w:r>
                    <w:rPr>
                      <w:rFonts w:hint="eastAsia"/>
                      <w:color w:val="auto"/>
                      <w:highlight w:val="none"/>
                      <w:lang w:val="en-US" w:eastAsia="zh-CN"/>
                    </w:rPr>
                    <w:t>镜壳</w:t>
                  </w:r>
                </w:p>
              </w:tc>
              <w:tc>
                <w:tcPr>
                  <w:tcW w:w="1833" w:type="pct"/>
                  <w:vAlign w:val="center"/>
                </w:tcPr>
                <w:p w14:paraId="4CC886AA">
                  <w:pPr>
                    <w:pStyle w:val="20"/>
                    <w:bidi w:val="0"/>
                    <w:rPr>
                      <w:rFonts w:hint="eastAsia"/>
                      <w:color w:val="auto"/>
                      <w:highlight w:val="none"/>
                      <w:lang w:val="en-US" w:eastAsia="zh-CN"/>
                    </w:rPr>
                  </w:pPr>
                  <w:r>
                    <w:rPr>
                      <w:rFonts w:hint="eastAsia"/>
                      <w:color w:val="auto"/>
                      <w:highlight w:val="none"/>
                      <w:lang w:val="en-US" w:eastAsia="zh-CN"/>
                    </w:rPr>
                    <w:t>16</w:t>
                  </w:r>
                </w:p>
              </w:tc>
              <w:tc>
                <w:tcPr>
                  <w:tcW w:w="751" w:type="pct"/>
                  <w:vAlign w:val="center"/>
                </w:tcPr>
                <w:p w14:paraId="40E679B9">
                  <w:pPr>
                    <w:pStyle w:val="20"/>
                    <w:bidi w:val="0"/>
                    <w:rPr>
                      <w:rFonts w:hint="default"/>
                      <w:color w:val="auto"/>
                      <w:highlight w:val="none"/>
                      <w:lang w:val="en-US"/>
                    </w:rPr>
                  </w:pPr>
                  <w:r>
                    <w:rPr>
                      <w:rFonts w:hint="eastAsia"/>
                      <w:color w:val="auto"/>
                      <w:highlight w:val="none"/>
                      <w:lang w:val="en-US" w:eastAsia="zh-CN"/>
                    </w:rPr>
                    <w:t>约120g/件</w:t>
                  </w:r>
                </w:p>
              </w:tc>
              <w:tc>
                <w:tcPr>
                  <w:tcW w:w="542" w:type="pct"/>
                  <w:vAlign w:val="center"/>
                </w:tcPr>
                <w:p w14:paraId="305F555B">
                  <w:pPr>
                    <w:pStyle w:val="20"/>
                    <w:bidi w:val="0"/>
                    <w:rPr>
                      <w:rFonts w:hint="default"/>
                      <w:color w:val="auto"/>
                      <w:highlight w:val="none"/>
                      <w:lang w:val="en-US" w:eastAsia="zh-CN"/>
                    </w:rPr>
                  </w:pPr>
                  <w:r>
                    <w:rPr>
                      <w:rFonts w:hint="eastAsia"/>
                      <w:color w:val="auto"/>
                      <w:highlight w:val="none"/>
                      <w:lang w:val="en-US" w:eastAsia="zh-CN"/>
                    </w:rPr>
                    <w:t>19.2</w:t>
                  </w:r>
                </w:p>
              </w:tc>
              <w:tc>
                <w:tcPr>
                  <w:tcW w:w="378" w:type="pct"/>
                  <w:vAlign w:val="center"/>
                </w:tcPr>
                <w:p w14:paraId="52277590">
                  <w:pPr>
                    <w:pStyle w:val="20"/>
                    <w:bidi w:val="0"/>
                    <w:rPr>
                      <w:color w:val="auto"/>
                      <w:highlight w:val="none"/>
                    </w:rPr>
                  </w:pPr>
                  <w:r>
                    <w:rPr>
                      <w:rFonts w:hint="eastAsia"/>
                      <w:color w:val="auto"/>
                      <w:highlight w:val="none"/>
                      <w:lang w:val="en-US" w:eastAsia="zh-CN"/>
                    </w:rPr>
                    <w:t>ABS</w:t>
                  </w:r>
                </w:p>
              </w:tc>
            </w:tr>
            <w:tr w14:paraId="36648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21" w:type="pct"/>
                  <w:vMerge w:val="continue"/>
                  <w:shd w:val="clear" w:color="auto" w:fill="auto"/>
                  <w:vAlign w:val="center"/>
                </w:tcPr>
                <w:p w14:paraId="5E5C6885">
                  <w:pPr>
                    <w:pStyle w:val="20"/>
                    <w:bidi w:val="0"/>
                    <w:rPr>
                      <w:rFonts w:hint="default"/>
                      <w:color w:val="auto"/>
                      <w:highlight w:val="none"/>
                    </w:rPr>
                  </w:pPr>
                </w:p>
              </w:tc>
              <w:tc>
                <w:tcPr>
                  <w:tcW w:w="673" w:type="pct"/>
                  <w:shd w:val="clear" w:color="auto" w:fill="auto"/>
                  <w:vAlign w:val="center"/>
                </w:tcPr>
                <w:p w14:paraId="73CC26B6">
                  <w:pPr>
                    <w:pStyle w:val="20"/>
                    <w:bidi w:val="0"/>
                    <w:rPr>
                      <w:rFonts w:hint="default"/>
                      <w:color w:val="auto"/>
                      <w:highlight w:val="none"/>
                      <w:lang w:val="en-US" w:eastAsia="zh-CN"/>
                    </w:rPr>
                  </w:pPr>
                  <w:r>
                    <w:rPr>
                      <w:rFonts w:hint="eastAsia"/>
                      <w:color w:val="auto"/>
                      <w:highlight w:val="none"/>
                      <w:lang w:val="en-US" w:eastAsia="zh-CN"/>
                    </w:rPr>
                    <w:t>护罩</w:t>
                  </w:r>
                </w:p>
              </w:tc>
              <w:tc>
                <w:tcPr>
                  <w:tcW w:w="1833" w:type="pct"/>
                  <w:shd w:val="clear" w:color="auto" w:fill="auto"/>
                  <w:vAlign w:val="center"/>
                </w:tcPr>
                <w:p w14:paraId="6A254FBE">
                  <w:pPr>
                    <w:pStyle w:val="20"/>
                    <w:bidi w:val="0"/>
                    <w:rPr>
                      <w:rFonts w:hint="eastAsia"/>
                      <w:color w:val="auto"/>
                      <w:highlight w:val="none"/>
                      <w:lang w:val="en-US" w:eastAsia="zh-CN"/>
                    </w:rPr>
                  </w:pPr>
                  <w:r>
                    <w:rPr>
                      <w:rFonts w:hint="eastAsia"/>
                      <w:color w:val="auto"/>
                      <w:highlight w:val="none"/>
                      <w:lang w:val="en-US" w:eastAsia="zh-CN"/>
                    </w:rPr>
                    <w:t>16</w:t>
                  </w:r>
                </w:p>
              </w:tc>
              <w:tc>
                <w:tcPr>
                  <w:tcW w:w="751" w:type="pct"/>
                  <w:shd w:val="clear" w:color="auto" w:fill="auto"/>
                  <w:vAlign w:val="center"/>
                </w:tcPr>
                <w:p w14:paraId="6BCFC38B">
                  <w:pPr>
                    <w:pStyle w:val="20"/>
                    <w:bidi w:val="0"/>
                    <w:rPr>
                      <w:rFonts w:hint="eastAsia"/>
                      <w:color w:val="auto"/>
                      <w:highlight w:val="none"/>
                      <w:lang w:val="en-US" w:eastAsia="zh-CN"/>
                    </w:rPr>
                  </w:pPr>
                  <w:r>
                    <w:rPr>
                      <w:rFonts w:hint="eastAsia"/>
                      <w:color w:val="auto"/>
                      <w:highlight w:val="none"/>
                      <w:lang w:val="en-US" w:eastAsia="zh-CN"/>
                    </w:rPr>
                    <w:t>约70g/件</w:t>
                  </w:r>
                </w:p>
              </w:tc>
              <w:tc>
                <w:tcPr>
                  <w:tcW w:w="542" w:type="pct"/>
                  <w:shd w:val="clear" w:color="auto" w:fill="auto"/>
                  <w:vAlign w:val="center"/>
                </w:tcPr>
                <w:p w14:paraId="5A36E3BF">
                  <w:pPr>
                    <w:pStyle w:val="20"/>
                    <w:bidi w:val="0"/>
                    <w:rPr>
                      <w:rFonts w:hint="default"/>
                      <w:color w:val="auto"/>
                      <w:highlight w:val="none"/>
                      <w:lang w:val="en-US" w:eastAsia="zh-CN"/>
                    </w:rPr>
                  </w:pPr>
                  <w:r>
                    <w:rPr>
                      <w:rFonts w:hint="eastAsia"/>
                      <w:color w:val="auto"/>
                      <w:highlight w:val="none"/>
                      <w:lang w:val="en-US" w:eastAsia="zh-CN"/>
                    </w:rPr>
                    <w:t>11.2</w:t>
                  </w:r>
                </w:p>
              </w:tc>
              <w:tc>
                <w:tcPr>
                  <w:tcW w:w="378" w:type="pct"/>
                  <w:shd w:val="clear" w:color="auto" w:fill="auto"/>
                  <w:vAlign w:val="center"/>
                </w:tcPr>
                <w:p w14:paraId="66DFE3BB">
                  <w:pPr>
                    <w:pStyle w:val="20"/>
                    <w:bidi w:val="0"/>
                    <w:rPr>
                      <w:rFonts w:hint="eastAsia"/>
                      <w:color w:val="auto"/>
                      <w:highlight w:val="none"/>
                      <w:lang w:val="en-US" w:eastAsia="zh-CN"/>
                    </w:rPr>
                  </w:pPr>
                  <w:r>
                    <w:rPr>
                      <w:rFonts w:hint="eastAsia"/>
                      <w:color w:val="auto"/>
                      <w:highlight w:val="none"/>
                      <w:lang w:val="en-US" w:eastAsia="zh-CN"/>
                    </w:rPr>
                    <w:t>PP</w:t>
                  </w:r>
                </w:p>
              </w:tc>
            </w:tr>
            <w:tr w14:paraId="0F743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21" w:type="pct"/>
                  <w:vMerge w:val="continue"/>
                  <w:vAlign w:val="center"/>
                </w:tcPr>
                <w:p w14:paraId="61523FD4">
                  <w:pPr>
                    <w:pStyle w:val="20"/>
                    <w:bidi w:val="0"/>
                    <w:rPr>
                      <w:rFonts w:hint="default"/>
                      <w:color w:val="auto"/>
                      <w:highlight w:val="none"/>
                    </w:rPr>
                  </w:pPr>
                </w:p>
              </w:tc>
              <w:tc>
                <w:tcPr>
                  <w:tcW w:w="673" w:type="pct"/>
                  <w:vAlign w:val="center"/>
                </w:tcPr>
                <w:p w14:paraId="0A541CB8">
                  <w:pPr>
                    <w:pStyle w:val="20"/>
                    <w:bidi w:val="0"/>
                    <w:rPr>
                      <w:rFonts w:hint="default"/>
                      <w:color w:val="auto"/>
                      <w:highlight w:val="none"/>
                    </w:rPr>
                  </w:pPr>
                  <w:r>
                    <w:rPr>
                      <w:rFonts w:hint="eastAsia"/>
                      <w:color w:val="auto"/>
                      <w:highlight w:val="none"/>
                      <w:lang w:val="en-US" w:eastAsia="zh-CN"/>
                    </w:rPr>
                    <w:t>镜圈</w:t>
                  </w:r>
                </w:p>
              </w:tc>
              <w:tc>
                <w:tcPr>
                  <w:tcW w:w="1833" w:type="pct"/>
                  <w:vAlign w:val="center"/>
                </w:tcPr>
                <w:p w14:paraId="3C8CEC99">
                  <w:pPr>
                    <w:pStyle w:val="20"/>
                    <w:bidi w:val="0"/>
                    <w:rPr>
                      <w:rFonts w:hint="eastAsia"/>
                      <w:color w:val="auto"/>
                      <w:highlight w:val="none"/>
                      <w:lang w:val="en-US" w:eastAsia="zh-CN"/>
                    </w:rPr>
                  </w:pPr>
                  <w:r>
                    <w:rPr>
                      <w:rFonts w:hint="eastAsia"/>
                      <w:color w:val="auto"/>
                      <w:highlight w:val="none"/>
                      <w:lang w:val="en-US" w:eastAsia="zh-CN"/>
                    </w:rPr>
                    <w:t>16</w:t>
                  </w:r>
                </w:p>
              </w:tc>
              <w:tc>
                <w:tcPr>
                  <w:tcW w:w="751" w:type="pct"/>
                  <w:vAlign w:val="center"/>
                </w:tcPr>
                <w:p w14:paraId="211FFF8B">
                  <w:pPr>
                    <w:pStyle w:val="20"/>
                    <w:bidi w:val="0"/>
                    <w:rPr>
                      <w:rFonts w:hint="default"/>
                      <w:color w:val="auto"/>
                      <w:highlight w:val="none"/>
                      <w:lang w:val="en-US" w:eastAsia="zh-CN"/>
                    </w:rPr>
                  </w:pPr>
                  <w:r>
                    <w:rPr>
                      <w:rFonts w:hint="eastAsia"/>
                      <w:color w:val="auto"/>
                      <w:highlight w:val="none"/>
                      <w:lang w:val="en-US" w:eastAsia="zh-CN"/>
                    </w:rPr>
                    <w:t>约110g/件</w:t>
                  </w:r>
                </w:p>
              </w:tc>
              <w:tc>
                <w:tcPr>
                  <w:tcW w:w="542" w:type="pct"/>
                  <w:vAlign w:val="center"/>
                </w:tcPr>
                <w:p w14:paraId="54DD4CA6">
                  <w:pPr>
                    <w:pStyle w:val="20"/>
                    <w:bidi w:val="0"/>
                    <w:rPr>
                      <w:rFonts w:hint="default"/>
                      <w:color w:val="auto"/>
                      <w:highlight w:val="none"/>
                      <w:lang w:val="en-US" w:eastAsia="zh-CN"/>
                    </w:rPr>
                  </w:pPr>
                  <w:r>
                    <w:rPr>
                      <w:rFonts w:hint="eastAsia"/>
                      <w:color w:val="auto"/>
                      <w:highlight w:val="none"/>
                      <w:lang w:val="en-US" w:eastAsia="zh-CN"/>
                    </w:rPr>
                    <w:t>17.6</w:t>
                  </w:r>
                </w:p>
              </w:tc>
              <w:tc>
                <w:tcPr>
                  <w:tcW w:w="378" w:type="pct"/>
                  <w:vAlign w:val="center"/>
                </w:tcPr>
                <w:p w14:paraId="3CEC173B">
                  <w:pPr>
                    <w:pStyle w:val="20"/>
                    <w:bidi w:val="0"/>
                    <w:rPr>
                      <w:rFonts w:hint="eastAsia"/>
                      <w:color w:val="auto"/>
                      <w:highlight w:val="none"/>
                      <w:lang w:val="en-US" w:eastAsia="zh-CN"/>
                    </w:rPr>
                  </w:pPr>
                  <w:r>
                    <w:rPr>
                      <w:rFonts w:hint="eastAsia"/>
                      <w:color w:val="auto"/>
                      <w:highlight w:val="none"/>
                      <w:lang w:val="en-US" w:eastAsia="zh-CN"/>
                    </w:rPr>
                    <w:t>ASA</w:t>
                  </w:r>
                </w:p>
              </w:tc>
            </w:tr>
            <w:tr w14:paraId="5A311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21" w:type="pct"/>
                  <w:vMerge w:val="continue"/>
                  <w:vAlign w:val="center"/>
                </w:tcPr>
                <w:p w14:paraId="318CC92E">
                  <w:pPr>
                    <w:pStyle w:val="20"/>
                    <w:bidi w:val="0"/>
                    <w:rPr>
                      <w:rFonts w:hint="default"/>
                      <w:color w:val="auto"/>
                      <w:highlight w:val="none"/>
                    </w:rPr>
                  </w:pPr>
                </w:p>
              </w:tc>
              <w:tc>
                <w:tcPr>
                  <w:tcW w:w="673" w:type="pct"/>
                  <w:vAlign w:val="center"/>
                </w:tcPr>
                <w:p w14:paraId="4B53AF61">
                  <w:pPr>
                    <w:pStyle w:val="20"/>
                    <w:bidi w:val="0"/>
                    <w:rPr>
                      <w:rFonts w:hint="default"/>
                      <w:color w:val="auto"/>
                      <w:highlight w:val="none"/>
                    </w:rPr>
                  </w:pPr>
                  <w:r>
                    <w:rPr>
                      <w:rFonts w:hint="eastAsia"/>
                      <w:color w:val="auto"/>
                      <w:highlight w:val="none"/>
                      <w:lang w:val="en-US" w:eastAsia="zh-CN"/>
                    </w:rPr>
                    <w:t>电折基板</w:t>
                  </w:r>
                </w:p>
              </w:tc>
              <w:tc>
                <w:tcPr>
                  <w:tcW w:w="1833" w:type="pct"/>
                  <w:vAlign w:val="center"/>
                </w:tcPr>
                <w:p w14:paraId="348ED73A">
                  <w:pPr>
                    <w:pStyle w:val="20"/>
                    <w:bidi w:val="0"/>
                    <w:rPr>
                      <w:rFonts w:hint="default"/>
                      <w:color w:val="auto"/>
                      <w:highlight w:val="none"/>
                      <w:lang w:val="en-US" w:eastAsia="zh-CN"/>
                    </w:rPr>
                  </w:pPr>
                  <w:r>
                    <w:rPr>
                      <w:rFonts w:hint="eastAsia"/>
                      <w:color w:val="auto"/>
                      <w:highlight w:val="none"/>
                      <w:lang w:val="en-US" w:eastAsia="zh-CN"/>
                    </w:rPr>
                    <w:t>16</w:t>
                  </w:r>
                </w:p>
              </w:tc>
              <w:tc>
                <w:tcPr>
                  <w:tcW w:w="751" w:type="pct"/>
                  <w:vAlign w:val="center"/>
                </w:tcPr>
                <w:p w14:paraId="47B34D95">
                  <w:pPr>
                    <w:pStyle w:val="20"/>
                    <w:bidi w:val="0"/>
                    <w:rPr>
                      <w:rFonts w:hint="default"/>
                      <w:color w:val="auto"/>
                      <w:highlight w:val="none"/>
                      <w:lang w:val="en-US" w:eastAsia="zh-CN"/>
                    </w:rPr>
                  </w:pPr>
                  <w:r>
                    <w:rPr>
                      <w:rFonts w:hint="eastAsia"/>
                      <w:color w:val="auto"/>
                      <w:highlight w:val="none"/>
                      <w:lang w:val="en-US" w:eastAsia="zh-CN"/>
                    </w:rPr>
                    <w:t>约220g/件</w:t>
                  </w:r>
                </w:p>
              </w:tc>
              <w:tc>
                <w:tcPr>
                  <w:tcW w:w="542" w:type="pct"/>
                  <w:vAlign w:val="center"/>
                </w:tcPr>
                <w:p w14:paraId="78C9DFFF">
                  <w:pPr>
                    <w:pStyle w:val="20"/>
                    <w:bidi w:val="0"/>
                    <w:rPr>
                      <w:rFonts w:hint="default"/>
                      <w:color w:val="auto"/>
                      <w:highlight w:val="none"/>
                      <w:lang w:val="en-US" w:eastAsia="zh-CN"/>
                    </w:rPr>
                  </w:pPr>
                  <w:r>
                    <w:rPr>
                      <w:rFonts w:hint="eastAsia"/>
                      <w:color w:val="auto"/>
                      <w:highlight w:val="none"/>
                      <w:lang w:val="en-US" w:eastAsia="zh-CN"/>
                    </w:rPr>
                    <w:t>35.2</w:t>
                  </w:r>
                </w:p>
              </w:tc>
              <w:tc>
                <w:tcPr>
                  <w:tcW w:w="378" w:type="pct"/>
                  <w:vAlign w:val="center"/>
                </w:tcPr>
                <w:p w14:paraId="3F724DC9">
                  <w:pPr>
                    <w:pStyle w:val="20"/>
                    <w:bidi w:val="0"/>
                    <w:rPr>
                      <w:rFonts w:hint="eastAsia"/>
                      <w:color w:val="auto"/>
                      <w:highlight w:val="none"/>
                      <w:lang w:val="en-US" w:eastAsia="zh-CN"/>
                    </w:rPr>
                  </w:pPr>
                  <w:r>
                    <w:rPr>
                      <w:rFonts w:hint="eastAsia"/>
                      <w:color w:val="auto"/>
                      <w:highlight w:val="none"/>
                      <w:lang w:val="en-US" w:eastAsia="zh-CN"/>
                    </w:rPr>
                    <w:t>ASA</w:t>
                  </w:r>
                </w:p>
              </w:tc>
            </w:tr>
            <w:tr w14:paraId="1876F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21" w:type="pct"/>
                  <w:vMerge w:val="continue"/>
                  <w:vAlign w:val="center"/>
                </w:tcPr>
                <w:p w14:paraId="4653676A">
                  <w:pPr>
                    <w:pStyle w:val="20"/>
                    <w:bidi w:val="0"/>
                    <w:rPr>
                      <w:rFonts w:hint="default"/>
                      <w:color w:val="auto"/>
                      <w:highlight w:val="none"/>
                    </w:rPr>
                  </w:pPr>
                </w:p>
              </w:tc>
              <w:tc>
                <w:tcPr>
                  <w:tcW w:w="673" w:type="pct"/>
                  <w:vAlign w:val="center"/>
                </w:tcPr>
                <w:p w14:paraId="4688D320">
                  <w:pPr>
                    <w:pStyle w:val="20"/>
                    <w:bidi w:val="0"/>
                    <w:rPr>
                      <w:rFonts w:hint="default"/>
                      <w:color w:val="auto"/>
                      <w:highlight w:val="none"/>
                      <w:lang w:val="en-US" w:eastAsia="zh-CN"/>
                    </w:rPr>
                  </w:pPr>
                  <w:r>
                    <w:rPr>
                      <w:rFonts w:hint="eastAsia"/>
                      <w:color w:val="auto"/>
                      <w:highlight w:val="none"/>
                      <w:lang w:val="en-US" w:eastAsia="zh-CN"/>
                    </w:rPr>
                    <w:t>合计</w:t>
                  </w:r>
                </w:p>
              </w:tc>
              <w:tc>
                <w:tcPr>
                  <w:tcW w:w="1833" w:type="pct"/>
                  <w:vAlign w:val="center"/>
                </w:tcPr>
                <w:p w14:paraId="7214FC75">
                  <w:pPr>
                    <w:pStyle w:val="20"/>
                    <w:bidi w:val="0"/>
                    <w:rPr>
                      <w:rFonts w:hint="default"/>
                      <w:color w:val="auto"/>
                      <w:highlight w:val="none"/>
                      <w:lang w:val="en-US" w:eastAsia="zh-CN"/>
                    </w:rPr>
                  </w:pPr>
                  <w:r>
                    <w:rPr>
                      <w:rFonts w:hint="eastAsia"/>
                      <w:color w:val="auto"/>
                      <w:highlight w:val="none"/>
                      <w:lang w:val="en-US" w:eastAsia="zh-CN"/>
                    </w:rPr>
                    <w:t>16万套，80万件</w:t>
                  </w:r>
                </w:p>
              </w:tc>
              <w:tc>
                <w:tcPr>
                  <w:tcW w:w="751" w:type="pct"/>
                  <w:vAlign w:val="center"/>
                </w:tcPr>
                <w:p w14:paraId="455E463A">
                  <w:pPr>
                    <w:pStyle w:val="20"/>
                    <w:bidi w:val="0"/>
                    <w:rPr>
                      <w:rFonts w:hint="default"/>
                      <w:color w:val="auto"/>
                      <w:highlight w:val="none"/>
                      <w:lang w:val="en-US" w:eastAsia="zh-CN"/>
                    </w:rPr>
                  </w:pPr>
                  <w:r>
                    <w:rPr>
                      <w:rFonts w:hint="eastAsia"/>
                      <w:color w:val="auto"/>
                      <w:highlight w:val="none"/>
                      <w:lang w:val="en-US" w:eastAsia="zh-CN"/>
                    </w:rPr>
                    <w:t>/</w:t>
                  </w:r>
                </w:p>
              </w:tc>
              <w:tc>
                <w:tcPr>
                  <w:tcW w:w="542" w:type="pct"/>
                  <w:vAlign w:val="center"/>
                </w:tcPr>
                <w:p w14:paraId="5AF6903F">
                  <w:pPr>
                    <w:pStyle w:val="20"/>
                    <w:bidi w:val="0"/>
                    <w:rPr>
                      <w:rFonts w:hint="default"/>
                      <w:color w:val="auto"/>
                      <w:highlight w:val="none"/>
                      <w:lang w:val="en-US" w:eastAsia="zh-CN"/>
                    </w:rPr>
                  </w:pPr>
                  <w:r>
                    <w:rPr>
                      <w:rFonts w:hint="eastAsia"/>
                      <w:color w:val="auto"/>
                      <w:highlight w:val="none"/>
                      <w:lang w:val="en-US" w:eastAsia="zh-CN"/>
                    </w:rPr>
                    <w:t>88.8</w:t>
                  </w:r>
                </w:p>
              </w:tc>
              <w:tc>
                <w:tcPr>
                  <w:tcW w:w="378" w:type="pct"/>
                  <w:vAlign w:val="center"/>
                </w:tcPr>
                <w:p w14:paraId="6516899C">
                  <w:pPr>
                    <w:pStyle w:val="20"/>
                    <w:bidi w:val="0"/>
                    <w:rPr>
                      <w:rFonts w:hint="eastAsia"/>
                      <w:color w:val="auto"/>
                      <w:highlight w:val="none"/>
                      <w:lang w:val="en-US" w:eastAsia="zh-CN"/>
                    </w:rPr>
                  </w:pPr>
                  <w:r>
                    <w:rPr>
                      <w:rFonts w:hint="eastAsia"/>
                      <w:color w:val="auto"/>
                      <w:highlight w:val="none"/>
                      <w:lang w:val="en-US" w:eastAsia="zh-CN"/>
                    </w:rPr>
                    <w:t>/</w:t>
                  </w:r>
                </w:p>
              </w:tc>
            </w:tr>
          </w:tbl>
          <w:p w14:paraId="36D99D9E">
            <w:pPr>
              <w:pStyle w:val="2"/>
              <w:bidi w:val="0"/>
              <w:rPr>
                <w:rFonts w:hint="eastAsia"/>
                <w:color w:val="auto"/>
                <w:highlight w:val="none"/>
                <w:lang w:val="en-US" w:eastAsia="zh-CN"/>
              </w:rPr>
            </w:pPr>
            <w:r>
              <w:rPr>
                <w:rFonts w:hint="eastAsia"/>
                <w:color w:val="auto"/>
                <w:highlight w:val="none"/>
                <w:lang w:val="en-US" w:eastAsia="zh-CN"/>
              </w:rPr>
              <w:t>现有项目主要生产设备</w:t>
            </w:r>
          </w:p>
          <w:p w14:paraId="1ADB5BB2">
            <w:pPr>
              <w:pStyle w:val="18"/>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现有项目主要生产设备见下表。</w:t>
            </w:r>
          </w:p>
          <w:p w14:paraId="6F94EABA">
            <w:pPr>
              <w:pStyle w:val="19"/>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表2-</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SEQ 表2- \* ARABIC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10</w:t>
            </w:r>
            <w:r>
              <w:rPr>
                <w:rFonts w:hint="default" w:ascii="Times New Roman" w:hAnsi="Times New Roman" w:cs="Times New Roman"/>
                <w:color w:val="auto"/>
                <w:highlight w:val="none"/>
              </w:rPr>
              <w:fldChar w:fldCharType="end"/>
            </w:r>
            <w:r>
              <w:rPr>
                <w:rFonts w:hint="eastAsia" w:ascii="Times New Roman" w:hAnsi="Times New Roman" w:cs="Times New Roman"/>
                <w:color w:val="auto"/>
                <w:highlight w:val="none"/>
                <w:lang w:val="en-US" w:eastAsia="zh-CN"/>
              </w:rPr>
              <w:t xml:space="preserve">  现有项目主要生产设备</w:t>
            </w:r>
            <w:r>
              <w:rPr>
                <w:rFonts w:hint="eastAsia" w:ascii="Times New Roman" w:hAnsi="Times New Roman" w:cs="Times New Roman"/>
                <w:color w:val="auto"/>
                <w:highlight w:val="none"/>
              </w:rPr>
              <w:t>一览表</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
              <w:gridCol w:w="1101"/>
              <w:gridCol w:w="1650"/>
              <w:gridCol w:w="759"/>
              <w:gridCol w:w="1600"/>
              <w:gridCol w:w="763"/>
              <w:gridCol w:w="1983"/>
            </w:tblGrid>
            <w:tr w14:paraId="01038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80" w:type="pct"/>
                  <w:vMerge w:val="restart"/>
                  <w:noWrap w:val="0"/>
                  <w:vAlign w:val="center"/>
                </w:tcPr>
                <w:p w14:paraId="20CE37A0">
                  <w:pPr>
                    <w:pStyle w:val="20"/>
                    <w:bidi w:val="0"/>
                    <w:jc w:val="center"/>
                    <w:rPr>
                      <w:rFonts w:hint="default"/>
                      <w:b/>
                      <w:bCs/>
                      <w:color w:val="auto"/>
                      <w:highlight w:val="none"/>
                    </w:rPr>
                  </w:pPr>
                  <w:r>
                    <w:rPr>
                      <w:rFonts w:hint="default"/>
                      <w:b/>
                      <w:bCs/>
                      <w:color w:val="auto"/>
                      <w:highlight w:val="none"/>
                      <w:lang w:val="en-US" w:eastAsia="zh-CN"/>
                    </w:rPr>
                    <w:t>序号</w:t>
                  </w:r>
                </w:p>
              </w:tc>
              <w:tc>
                <w:tcPr>
                  <w:tcW w:w="661" w:type="pct"/>
                  <w:vMerge w:val="restart"/>
                  <w:noWrap w:val="0"/>
                  <w:vAlign w:val="center"/>
                </w:tcPr>
                <w:p w14:paraId="19DD504F">
                  <w:pPr>
                    <w:pStyle w:val="20"/>
                    <w:bidi w:val="0"/>
                    <w:jc w:val="center"/>
                    <w:rPr>
                      <w:rFonts w:hint="default"/>
                      <w:b/>
                      <w:bCs/>
                      <w:color w:val="auto"/>
                      <w:highlight w:val="none"/>
                    </w:rPr>
                  </w:pPr>
                  <w:r>
                    <w:rPr>
                      <w:rFonts w:hint="default"/>
                      <w:b/>
                      <w:bCs/>
                      <w:color w:val="auto"/>
                      <w:highlight w:val="none"/>
                      <w:lang w:val="en-US" w:eastAsia="zh-CN"/>
                    </w:rPr>
                    <w:t>设备名称</w:t>
                  </w:r>
                </w:p>
              </w:tc>
              <w:tc>
                <w:tcPr>
                  <w:tcW w:w="1447" w:type="pct"/>
                  <w:gridSpan w:val="2"/>
                  <w:noWrap w:val="0"/>
                  <w:vAlign w:val="center"/>
                </w:tcPr>
                <w:p w14:paraId="302C7AF5">
                  <w:pPr>
                    <w:pStyle w:val="20"/>
                    <w:bidi w:val="0"/>
                    <w:jc w:val="center"/>
                    <w:rPr>
                      <w:rFonts w:hint="default"/>
                      <w:b/>
                      <w:bCs/>
                      <w:color w:val="auto"/>
                      <w:highlight w:val="none"/>
                      <w:lang w:val="en-US" w:eastAsia="zh-CN"/>
                    </w:rPr>
                  </w:pPr>
                  <w:r>
                    <w:rPr>
                      <w:rFonts w:hint="eastAsia"/>
                      <w:b/>
                      <w:bCs/>
                      <w:color w:val="auto"/>
                      <w:highlight w:val="none"/>
                      <w:lang w:val="en-US" w:eastAsia="zh-CN"/>
                    </w:rPr>
                    <w:t>环评验收阶段</w:t>
                  </w:r>
                </w:p>
              </w:tc>
              <w:tc>
                <w:tcPr>
                  <w:tcW w:w="1419" w:type="pct"/>
                  <w:gridSpan w:val="2"/>
                  <w:noWrap w:val="0"/>
                  <w:vAlign w:val="center"/>
                </w:tcPr>
                <w:p w14:paraId="0BE55218">
                  <w:pPr>
                    <w:pStyle w:val="20"/>
                    <w:bidi w:val="0"/>
                    <w:jc w:val="center"/>
                    <w:rPr>
                      <w:rFonts w:hint="default" w:eastAsia="宋体"/>
                      <w:b/>
                      <w:bCs/>
                      <w:color w:val="auto"/>
                      <w:highlight w:val="none"/>
                      <w:lang w:val="en-US" w:eastAsia="zh-CN"/>
                    </w:rPr>
                  </w:pPr>
                  <w:r>
                    <w:rPr>
                      <w:rFonts w:hint="eastAsia"/>
                      <w:b/>
                      <w:bCs/>
                      <w:color w:val="auto"/>
                      <w:highlight w:val="none"/>
                      <w:lang w:val="en-US" w:eastAsia="zh-CN"/>
                    </w:rPr>
                    <w:t>现有设备</w:t>
                  </w:r>
                </w:p>
              </w:tc>
              <w:tc>
                <w:tcPr>
                  <w:tcW w:w="1191" w:type="pct"/>
                  <w:vMerge w:val="restart"/>
                  <w:noWrap w:val="0"/>
                  <w:vAlign w:val="center"/>
                </w:tcPr>
                <w:p w14:paraId="5DC2B2B0">
                  <w:pPr>
                    <w:pStyle w:val="20"/>
                    <w:bidi w:val="0"/>
                    <w:jc w:val="center"/>
                    <w:rPr>
                      <w:rFonts w:hint="default"/>
                      <w:b/>
                      <w:bCs/>
                      <w:color w:val="auto"/>
                      <w:highlight w:val="none"/>
                    </w:rPr>
                  </w:pPr>
                  <w:r>
                    <w:rPr>
                      <w:rFonts w:hint="default"/>
                      <w:b/>
                      <w:bCs/>
                      <w:color w:val="auto"/>
                      <w:highlight w:val="none"/>
                      <w:lang w:val="en-US" w:eastAsia="zh-CN"/>
                    </w:rPr>
                    <w:t>备注</w:t>
                  </w:r>
                </w:p>
              </w:tc>
            </w:tr>
            <w:tr w14:paraId="3D2CA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0" w:type="pct"/>
                  <w:vMerge w:val="continue"/>
                  <w:noWrap w:val="0"/>
                  <w:vAlign w:val="center"/>
                </w:tcPr>
                <w:p w14:paraId="45B14DB5">
                  <w:pPr>
                    <w:pStyle w:val="20"/>
                    <w:bidi w:val="0"/>
                    <w:jc w:val="center"/>
                    <w:rPr>
                      <w:rFonts w:hint="default"/>
                      <w:color w:val="auto"/>
                      <w:highlight w:val="none"/>
                    </w:rPr>
                  </w:pPr>
                </w:p>
              </w:tc>
              <w:tc>
                <w:tcPr>
                  <w:tcW w:w="661" w:type="pct"/>
                  <w:vMerge w:val="continue"/>
                  <w:noWrap w:val="0"/>
                  <w:vAlign w:val="center"/>
                </w:tcPr>
                <w:p w14:paraId="1CB07270">
                  <w:pPr>
                    <w:pStyle w:val="20"/>
                    <w:bidi w:val="0"/>
                    <w:jc w:val="center"/>
                    <w:rPr>
                      <w:rFonts w:hint="default"/>
                      <w:color w:val="auto"/>
                      <w:highlight w:val="none"/>
                    </w:rPr>
                  </w:pPr>
                </w:p>
              </w:tc>
              <w:tc>
                <w:tcPr>
                  <w:tcW w:w="991" w:type="pct"/>
                  <w:shd w:val="clear" w:color="auto" w:fill="auto"/>
                  <w:noWrap w:val="0"/>
                  <w:vAlign w:val="center"/>
                </w:tcPr>
                <w:p w14:paraId="67CF2239">
                  <w:pPr>
                    <w:pStyle w:val="20"/>
                    <w:bidi w:val="0"/>
                    <w:jc w:val="center"/>
                    <w:rPr>
                      <w:rFonts w:hint="default" w:ascii="Times New Roman" w:hAnsi="Times New Roman" w:eastAsia="宋体" w:cs="宋体"/>
                      <w:b/>
                      <w:bCs/>
                      <w:color w:val="auto"/>
                      <w:kern w:val="2"/>
                      <w:sz w:val="21"/>
                      <w:szCs w:val="21"/>
                      <w:highlight w:val="none"/>
                      <w:lang w:val="en-US" w:eastAsia="zh-CN" w:bidi="ar-SA"/>
                    </w:rPr>
                  </w:pPr>
                  <w:r>
                    <w:rPr>
                      <w:rFonts w:hint="default"/>
                      <w:b/>
                      <w:bCs/>
                      <w:color w:val="auto"/>
                      <w:highlight w:val="none"/>
                      <w:lang w:val="en-US" w:eastAsia="zh-CN"/>
                    </w:rPr>
                    <w:t>规格型号</w:t>
                  </w:r>
                </w:p>
              </w:tc>
              <w:tc>
                <w:tcPr>
                  <w:tcW w:w="456" w:type="pct"/>
                  <w:shd w:val="clear" w:color="auto" w:fill="auto"/>
                  <w:noWrap w:val="0"/>
                  <w:vAlign w:val="center"/>
                </w:tcPr>
                <w:p w14:paraId="4052754C">
                  <w:pPr>
                    <w:pStyle w:val="20"/>
                    <w:bidi w:val="0"/>
                    <w:jc w:val="center"/>
                    <w:rPr>
                      <w:rFonts w:hint="default" w:ascii="Times New Roman" w:hAnsi="Times New Roman" w:eastAsia="宋体" w:cs="宋体"/>
                      <w:b/>
                      <w:bCs/>
                      <w:color w:val="auto"/>
                      <w:kern w:val="2"/>
                      <w:sz w:val="21"/>
                      <w:szCs w:val="21"/>
                      <w:highlight w:val="none"/>
                      <w:lang w:val="en-US" w:eastAsia="zh-CN" w:bidi="ar-SA"/>
                    </w:rPr>
                  </w:pPr>
                  <w:r>
                    <w:rPr>
                      <w:rFonts w:hint="default"/>
                      <w:b/>
                      <w:bCs/>
                      <w:color w:val="auto"/>
                      <w:highlight w:val="none"/>
                      <w:lang w:val="en-US" w:eastAsia="zh-CN"/>
                    </w:rPr>
                    <w:t>数量</w:t>
                  </w:r>
                  <w:r>
                    <w:rPr>
                      <w:rFonts w:hint="default"/>
                      <w:b/>
                      <w:bCs/>
                      <w:color w:val="auto"/>
                      <w:highlight w:val="none"/>
                      <w:lang w:val="en-US" w:eastAsia="zh-CN"/>
                    </w:rPr>
                    <w:br w:type="textWrapping"/>
                  </w:r>
                  <w:r>
                    <w:rPr>
                      <w:rFonts w:hint="default"/>
                      <w:b/>
                      <w:bCs/>
                      <w:color w:val="auto"/>
                      <w:highlight w:val="none"/>
                      <w:lang w:val="en-US" w:eastAsia="zh-CN"/>
                    </w:rPr>
                    <w:t>台/套</w:t>
                  </w:r>
                </w:p>
              </w:tc>
              <w:tc>
                <w:tcPr>
                  <w:tcW w:w="961" w:type="pct"/>
                  <w:noWrap w:val="0"/>
                  <w:vAlign w:val="center"/>
                </w:tcPr>
                <w:p w14:paraId="2BD1637E">
                  <w:pPr>
                    <w:pStyle w:val="20"/>
                    <w:bidi w:val="0"/>
                    <w:jc w:val="center"/>
                    <w:rPr>
                      <w:rFonts w:hint="default"/>
                      <w:b/>
                      <w:bCs/>
                      <w:color w:val="auto"/>
                      <w:highlight w:val="none"/>
                      <w:lang w:val="en-US" w:eastAsia="zh-CN"/>
                    </w:rPr>
                  </w:pPr>
                  <w:r>
                    <w:rPr>
                      <w:rFonts w:hint="default"/>
                      <w:b/>
                      <w:bCs/>
                      <w:color w:val="auto"/>
                      <w:highlight w:val="none"/>
                      <w:lang w:val="en-US" w:eastAsia="zh-CN"/>
                    </w:rPr>
                    <w:t>规格型号</w:t>
                  </w:r>
                </w:p>
              </w:tc>
              <w:tc>
                <w:tcPr>
                  <w:tcW w:w="458" w:type="pct"/>
                  <w:noWrap w:val="0"/>
                  <w:vAlign w:val="center"/>
                </w:tcPr>
                <w:p w14:paraId="0546B5F7">
                  <w:pPr>
                    <w:pStyle w:val="20"/>
                    <w:bidi w:val="0"/>
                    <w:jc w:val="center"/>
                    <w:rPr>
                      <w:rFonts w:hint="default"/>
                      <w:b/>
                      <w:bCs/>
                      <w:color w:val="auto"/>
                      <w:highlight w:val="none"/>
                    </w:rPr>
                  </w:pPr>
                  <w:r>
                    <w:rPr>
                      <w:rFonts w:hint="default"/>
                      <w:b/>
                      <w:bCs/>
                      <w:color w:val="auto"/>
                      <w:highlight w:val="none"/>
                      <w:lang w:val="en-US" w:eastAsia="zh-CN"/>
                    </w:rPr>
                    <w:t>数量</w:t>
                  </w:r>
                  <w:r>
                    <w:rPr>
                      <w:rFonts w:hint="default"/>
                      <w:b/>
                      <w:bCs/>
                      <w:color w:val="auto"/>
                      <w:highlight w:val="none"/>
                      <w:lang w:val="en-US" w:eastAsia="zh-CN"/>
                    </w:rPr>
                    <w:br w:type="textWrapping"/>
                  </w:r>
                  <w:r>
                    <w:rPr>
                      <w:rFonts w:hint="default"/>
                      <w:b/>
                      <w:bCs/>
                      <w:color w:val="auto"/>
                      <w:highlight w:val="none"/>
                      <w:lang w:val="en-US" w:eastAsia="zh-CN"/>
                    </w:rPr>
                    <w:t>台/套</w:t>
                  </w:r>
                </w:p>
              </w:tc>
              <w:tc>
                <w:tcPr>
                  <w:tcW w:w="1191" w:type="pct"/>
                  <w:vMerge w:val="continue"/>
                  <w:noWrap w:val="0"/>
                  <w:vAlign w:val="center"/>
                </w:tcPr>
                <w:p w14:paraId="7A93D5F5">
                  <w:pPr>
                    <w:pStyle w:val="20"/>
                    <w:bidi w:val="0"/>
                    <w:jc w:val="center"/>
                    <w:rPr>
                      <w:rFonts w:hint="default"/>
                      <w:color w:val="auto"/>
                      <w:highlight w:val="none"/>
                    </w:rPr>
                  </w:pPr>
                </w:p>
              </w:tc>
            </w:tr>
            <w:tr w14:paraId="028B5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vMerge w:val="restart"/>
                  <w:noWrap w:val="0"/>
                  <w:vAlign w:val="center"/>
                </w:tcPr>
                <w:p w14:paraId="476AEB8E">
                  <w:pPr>
                    <w:pStyle w:val="20"/>
                    <w:bidi w:val="0"/>
                    <w:jc w:val="center"/>
                    <w:rPr>
                      <w:rFonts w:hint="eastAsia"/>
                      <w:color w:val="auto"/>
                      <w:highlight w:val="none"/>
                      <w:lang w:val="en-US" w:eastAsia="zh-CN"/>
                    </w:rPr>
                  </w:pPr>
                  <w:r>
                    <w:rPr>
                      <w:rFonts w:hint="eastAsia"/>
                      <w:color w:val="auto"/>
                      <w:highlight w:val="none"/>
                      <w:lang w:val="en-US" w:eastAsia="zh-CN"/>
                    </w:rPr>
                    <w:t>1</w:t>
                  </w:r>
                </w:p>
              </w:tc>
              <w:tc>
                <w:tcPr>
                  <w:tcW w:w="661" w:type="pct"/>
                  <w:vMerge w:val="restart"/>
                  <w:noWrap w:val="0"/>
                  <w:vAlign w:val="center"/>
                </w:tcPr>
                <w:p w14:paraId="19F15A0C">
                  <w:pPr>
                    <w:pStyle w:val="20"/>
                    <w:bidi w:val="0"/>
                    <w:jc w:val="center"/>
                    <w:rPr>
                      <w:rFonts w:hint="default"/>
                      <w:color w:val="auto"/>
                      <w:highlight w:val="none"/>
                      <w:lang w:val="en-US" w:eastAsia="zh-CN"/>
                    </w:rPr>
                  </w:pPr>
                  <w:r>
                    <w:rPr>
                      <w:rFonts w:hint="eastAsia"/>
                      <w:color w:val="auto"/>
                      <w:highlight w:val="none"/>
                      <w:lang w:val="en-US" w:eastAsia="zh-CN"/>
                    </w:rPr>
                    <w:t>注塑机</w:t>
                  </w:r>
                </w:p>
              </w:tc>
              <w:tc>
                <w:tcPr>
                  <w:tcW w:w="991" w:type="pct"/>
                  <w:shd w:val="clear" w:color="auto" w:fill="auto"/>
                  <w:noWrap w:val="0"/>
                  <w:vAlign w:val="center"/>
                </w:tcPr>
                <w:p w14:paraId="4819D062">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EM220-SVP/2</w:t>
                  </w:r>
                </w:p>
              </w:tc>
              <w:tc>
                <w:tcPr>
                  <w:tcW w:w="456" w:type="pct"/>
                  <w:shd w:val="clear" w:color="auto" w:fill="auto"/>
                  <w:noWrap w:val="0"/>
                  <w:vAlign w:val="center"/>
                </w:tcPr>
                <w:p w14:paraId="39DDDCE9">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2</w:t>
                  </w:r>
                </w:p>
              </w:tc>
              <w:tc>
                <w:tcPr>
                  <w:tcW w:w="961" w:type="pct"/>
                  <w:noWrap w:val="0"/>
                  <w:vAlign w:val="center"/>
                </w:tcPr>
                <w:p w14:paraId="06DA6668">
                  <w:pPr>
                    <w:pStyle w:val="20"/>
                    <w:bidi w:val="0"/>
                    <w:jc w:val="center"/>
                    <w:rPr>
                      <w:rFonts w:hint="default"/>
                      <w:color w:val="auto"/>
                      <w:highlight w:val="none"/>
                      <w:lang w:val="en-US" w:eastAsia="zh-CN"/>
                    </w:rPr>
                  </w:pPr>
                  <w:r>
                    <w:rPr>
                      <w:rFonts w:hint="eastAsia"/>
                      <w:color w:val="auto"/>
                      <w:highlight w:val="none"/>
                      <w:lang w:val="en-US" w:eastAsia="zh-CN"/>
                    </w:rPr>
                    <w:t>EM220-SVP/2</w:t>
                  </w:r>
                </w:p>
              </w:tc>
              <w:tc>
                <w:tcPr>
                  <w:tcW w:w="458" w:type="pct"/>
                  <w:noWrap w:val="0"/>
                  <w:vAlign w:val="center"/>
                </w:tcPr>
                <w:p w14:paraId="20795660">
                  <w:pPr>
                    <w:pStyle w:val="20"/>
                    <w:bidi w:val="0"/>
                    <w:jc w:val="center"/>
                    <w:rPr>
                      <w:rFonts w:hint="default"/>
                      <w:color w:val="auto"/>
                      <w:highlight w:val="none"/>
                    </w:rPr>
                  </w:pPr>
                  <w:r>
                    <w:rPr>
                      <w:rFonts w:hint="eastAsia"/>
                      <w:color w:val="auto"/>
                      <w:highlight w:val="none"/>
                      <w:lang w:val="en-US" w:eastAsia="zh-CN"/>
                    </w:rPr>
                    <w:t>2</w:t>
                  </w:r>
                </w:p>
              </w:tc>
              <w:tc>
                <w:tcPr>
                  <w:tcW w:w="1191" w:type="pct"/>
                  <w:noWrap w:val="0"/>
                  <w:vAlign w:val="center"/>
                </w:tcPr>
                <w:p w14:paraId="5548FB1B">
                  <w:pPr>
                    <w:pStyle w:val="20"/>
                    <w:bidi w:val="0"/>
                    <w:jc w:val="center"/>
                    <w:rPr>
                      <w:rFonts w:hint="default"/>
                      <w:color w:val="auto"/>
                      <w:highlight w:val="none"/>
                      <w:lang w:val="en-US" w:eastAsia="zh-CN"/>
                    </w:rPr>
                  </w:pPr>
                  <w:r>
                    <w:rPr>
                      <w:rFonts w:hint="eastAsia"/>
                      <w:color w:val="auto"/>
                      <w:highlight w:val="none"/>
                      <w:lang w:val="en-US" w:eastAsia="zh-CN"/>
                    </w:rPr>
                    <w:t>/</w:t>
                  </w:r>
                </w:p>
              </w:tc>
            </w:tr>
            <w:tr w14:paraId="59732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vMerge w:val="continue"/>
                  <w:noWrap w:val="0"/>
                  <w:vAlign w:val="center"/>
                </w:tcPr>
                <w:p w14:paraId="1F43A245">
                  <w:pPr>
                    <w:pStyle w:val="20"/>
                    <w:bidi w:val="0"/>
                    <w:jc w:val="center"/>
                    <w:rPr>
                      <w:rFonts w:hint="default"/>
                      <w:color w:val="auto"/>
                      <w:highlight w:val="none"/>
                    </w:rPr>
                  </w:pPr>
                </w:p>
              </w:tc>
              <w:tc>
                <w:tcPr>
                  <w:tcW w:w="661" w:type="pct"/>
                  <w:vMerge w:val="continue"/>
                  <w:noWrap w:val="0"/>
                  <w:vAlign w:val="center"/>
                </w:tcPr>
                <w:p w14:paraId="500A9D6D">
                  <w:pPr>
                    <w:pStyle w:val="20"/>
                    <w:bidi w:val="0"/>
                    <w:jc w:val="center"/>
                    <w:rPr>
                      <w:rFonts w:hint="default"/>
                      <w:color w:val="auto"/>
                      <w:highlight w:val="none"/>
                      <w:lang w:eastAsia="zh-CN"/>
                    </w:rPr>
                  </w:pPr>
                </w:p>
              </w:tc>
              <w:tc>
                <w:tcPr>
                  <w:tcW w:w="991" w:type="pct"/>
                  <w:shd w:val="clear" w:color="auto" w:fill="auto"/>
                  <w:noWrap w:val="0"/>
                  <w:vAlign w:val="center"/>
                </w:tcPr>
                <w:p w14:paraId="237BF0B9">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EM320-SVP/2</w:t>
                  </w:r>
                </w:p>
              </w:tc>
              <w:tc>
                <w:tcPr>
                  <w:tcW w:w="456" w:type="pct"/>
                  <w:shd w:val="clear" w:color="auto" w:fill="auto"/>
                  <w:noWrap w:val="0"/>
                  <w:vAlign w:val="center"/>
                </w:tcPr>
                <w:p w14:paraId="06F2CBD3">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2</w:t>
                  </w:r>
                </w:p>
              </w:tc>
              <w:tc>
                <w:tcPr>
                  <w:tcW w:w="961" w:type="pct"/>
                  <w:noWrap w:val="0"/>
                  <w:vAlign w:val="center"/>
                </w:tcPr>
                <w:p w14:paraId="5804BEBF">
                  <w:pPr>
                    <w:pStyle w:val="20"/>
                    <w:bidi w:val="0"/>
                    <w:jc w:val="center"/>
                    <w:rPr>
                      <w:rFonts w:hint="default"/>
                      <w:color w:val="auto"/>
                      <w:highlight w:val="none"/>
                      <w:lang w:val="en-US" w:eastAsia="zh-CN"/>
                    </w:rPr>
                  </w:pPr>
                  <w:r>
                    <w:rPr>
                      <w:rFonts w:hint="eastAsia"/>
                      <w:color w:val="auto"/>
                      <w:highlight w:val="none"/>
                      <w:lang w:val="en-US" w:eastAsia="zh-CN"/>
                    </w:rPr>
                    <w:t>EM320-SVP/2</w:t>
                  </w:r>
                </w:p>
              </w:tc>
              <w:tc>
                <w:tcPr>
                  <w:tcW w:w="458" w:type="pct"/>
                  <w:noWrap w:val="0"/>
                  <w:vAlign w:val="center"/>
                </w:tcPr>
                <w:p w14:paraId="6FFB6DC0">
                  <w:pPr>
                    <w:pStyle w:val="20"/>
                    <w:bidi w:val="0"/>
                    <w:jc w:val="center"/>
                    <w:rPr>
                      <w:rFonts w:hint="default"/>
                      <w:color w:val="auto"/>
                      <w:highlight w:val="none"/>
                    </w:rPr>
                  </w:pPr>
                  <w:r>
                    <w:rPr>
                      <w:rFonts w:hint="eastAsia"/>
                      <w:color w:val="auto"/>
                      <w:highlight w:val="none"/>
                      <w:lang w:val="en-US" w:eastAsia="zh-CN"/>
                    </w:rPr>
                    <w:t>2</w:t>
                  </w:r>
                </w:p>
              </w:tc>
              <w:tc>
                <w:tcPr>
                  <w:tcW w:w="1191" w:type="pct"/>
                  <w:noWrap w:val="0"/>
                  <w:vAlign w:val="center"/>
                </w:tcPr>
                <w:p w14:paraId="6FEDE78A">
                  <w:pPr>
                    <w:pStyle w:val="20"/>
                    <w:bidi w:val="0"/>
                    <w:jc w:val="center"/>
                    <w:rPr>
                      <w:rFonts w:hint="default"/>
                      <w:color w:val="auto"/>
                      <w:highlight w:val="none"/>
                      <w:lang w:val="en-US"/>
                    </w:rPr>
                  </w:pPr>
                  <w:r>
                    <w:rPr>
                      <w:rFonts w:hint="eastAsia"/>
                      <w:color w:val="auto"/>
                      <w:highlight w:val="none"/>
                      <w:lang w:val="en-US" w:eastAsia="zh-CN"/>
                    </w:rPr>
                    <w:t>/</w:t>
                  </w:r>
                </w:p>
              </w:tc>
            </w:tr>
            <w:tr w14:paraId="04575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vMerge w:val="continue"/>
                  <w:noWrap w:val="0"/>
                  <w:vAlign w:val="center"/>
                </w:tcPr>
                <w:p w14:paraId="29D29047">
                  <w:pPr>
                    <w:pStyle w:val="20"/>
                    <w:bidi w:val="0"/>
                    <w:jc w:val="center"/>
                    <w:rPr>
                      <w:rFonts w:hint="default"/>
                      <w:color w:val="auto"/>
                      <w:highlight w:val="none"/>
                    </w:rPr>
                  </w:pPr>
                </w:p>
              </w:tc>
              <w:tc>
                <w:tcPr>
                  <w:tcW w:w="661" w:type="pct"/>
                  <w:vMerge w:val="continue"/>
                  <w:noWrap w:val="0"/>
                  <w:vAlign w:val="center"/>
                </w:tcPr>
                <w:p w14:paraId="51E76C86">
                  <w:pPr>
                    <w:pStyle w:val="20"/>
                    <w:bidi w:val="0"/>
                    <w:jc w:val="center"/>
                    <w:rPr>
                      <w:rFonts w:hint="default"/>
                      <w:color w:val="auto"/>
                      <w:highlight w:val="none"/>
                      <w:lang w:eastAsia="zh-CN"/>
                    </w:rPr>
                  </w:pPr>
                </w:p>
              </w:tc>
              <w:tc>
                <w:tcPr>
                  <w:tcW w:w="991" w:type="pct"/>
                  <w:shd w:val="clear" w:color="auto" w:fill="auto"/>
                  <w:noWrap w:val="0"/>
                  <w:vAlign w:val="center"/>
                </w:tcPr>
                <w:p w14:paraId="4E58C104">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HT250</w:t>
                  </w:r>
                </w:p>
              </w:tc>
              <w:tc>
                <w:tcPr>
                  <w:tcW w:w="456" w:type="pct"/>
                  <w:shd w:val="clear" w:color="auto" w:fill="auto"/>
                  <w:noWrap w:val="0"/>
                  <w:vAlign w:val="center"/>
                </w:tcPr>
                <w:p w14:paraId="357AF7BA">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1</w:t>
                  </w:r>
                </w:p>
              </w:tc>
              <w:tc>
                <w:tcPr>
                  <w:tcW w:w="961" w:type="pct"/>
                  <w:noWrap w:val="0"/>
                  <w:vAlign w:val="center"/>
                </w:tcPr>
                <w:p w14:paraId="10C70CA4">
                  <w:pPr>
                    <w:pStyle w:val="20"/>
                    <w:bidi w:val="0"/>
                    <w:jc w:val="center"/>
                    <w:rPr>
                      <w:rFonts w:hint="default"/>
                      <w:color w:val="auto"/>
                      <w:highlight w:val="none"/>
                      <w:lang w:val="en-US" w:eastAsia="zh-CN"/>
                    </w:rPr>
                  </w:pPr>
                  <w:r>
                    <w:rPr>
                      <w:rFonts w:hint="eastAsia"/>
                      <w:color w:val="auto"/>
                      <w:highlight w:val="none"/>
                      <w:lang w:val="en-US" w:eastAsia="zh-CN"/>
                    </w:rPr>
                    <w:t>HT250</w:t>
                  </w:r>
                </w:p>
              </w:tc>
              <w:tc>
                <w:tcPr>
                  <w:tcW w:w="458" w:type="pct"/>
                  <w:noWrap w:val="0"/>
                  <w:vAlign w:val="center"/>
                </w:tcPr>
                <w:p w14:paraId="28B6009E">
                  <w:pPr>
                    <w:pStyle w:val="20"/>
                    <w:bidi w:val="0"/>
                    <w:jc w:val="center"/>
                    <w:rPr>
                      <w:rFonts w:hint="default"/>
                      <w:color w:val="auto"/>
                      <w:highlight w:val="none"/>
                    </w:rPr>
                  </w:pPr>
                  <w:r>
                    <w:rPr>
                      <w:rFonts w:hint="default"/>
                      <w:color w:val="auto"/>
                      <w:highlight w:val="none"/>
                      <w:lang w:val="en-US" w:eastAsia="zh-CN"/>
                    </w:rPr>
                    <w:t>1</w:t>
                  </w:r>
                </w:p>
              </w:tc>
              <w:tc>
                <w:tcPr>
                  <w:tcW w:w="1191" w:type="pct"/>
                  <w:noWrap w:val="0"/>
                  <w:vAlign w:val="center"/>
                </w:tcPr>
                <w:p w14:paraId="630144D8">
                  <w:pPr>
                    <w:pStyle w:val="20"/>
                    <w:bidi w:val="0"/>
                    <w:jc w:val="center"/>
                    <w:rPr>
                      <w:rFonts w:hint="default"/>
                      <w:color w:val="auto"/>
                      <w:highlight w:val="none"/>
                    </w:rPr>
                  </w:pPr>
                  <w:r>
                    <w:rPr>
                      <w:rFonts w:hint="eastAsia"/>
                      <w:color w:val="auto"/>
                      <w:highlight w:val="none"/>
                      <w:lang w:val="en-US" w:eastAsia="zh-CN"/>
                    </w:rPr>
                    <w:t>/</w:t>
                  </w:r>
                </w:p>
              </w:tc>
            </w:tr>
            <w:tr w14:paraId="54B50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vMerge w:val="continue"/>
                  <w:noWrap w:val="0"/>
                  <w:vAlign w:val="center"/>
                </w:tcPr>
                <w:p w14:paraId="261D8A93">
                  <w:pPr>
                    <w:pStyle w:val="20"/>
                    <w:bidi w:val="0"/>
                    <w:jc w:val="center"/>
                    <w:rPr>
                      <w:rFonts w:hint="default"/>
                      <w:color w:val="auto"/>
                      <w:highlight w:val="none"/>
                    </w:rPr>
                  </w:pPr>
                </w:p>
              </w:tc>
              <w:tc>
                <w:tcPr>
                  <w:tcW w:w="661" w:type="pct"/>
                  <w:vMerge w:val="continue"/>
                  <w:noWrap w:val="0"/>
                  <w:vAlign w:val="center"/>
                </w:tcPr>
                <w:p w14:paraId="57068C5E">
                  <w:pPr>
                    <w:pStyle w:val="20"/>
                    <w:bidi w:val="0"/>
                    <w:jc w:val="center"/>
                    <w:rPr>
                      <w:rFonts w:hint="default"/>
                      <w:color w:val="auto"/>
                      <w:highlight w:val="none"/>
                    </w:rPr>
                  </w:pPr>
                </w:p>
              </w:tc>
              <w:tc>
                <w:tcPr>
                  <w:tcW w:w="991" w:type="pct"/>
                  <w:shd w:val="clear" w:color="auto" w:fill="auto"/>
                  <w:noWrap w:val="0"/>
                  <w:vAlign w:val="center"/>
                </w:tcPr>
                <w:p w14:paraId="1992DCB1">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560T</w:t>
                  </w:r>
                </w:p>
              </w:tc>
              <w:tc>
                <w:tcPr>
                  <w:tcW w:w="456" w:type="pct"/>
                  <w:shd w:val="clear" w:color="auto" w:fill="auto"/>
                  <w:noWrap w:val="0"/>
                  <w:vAlign w:val="center"/>
                </w:tcPr>
                <w:p w14:paraId="405BD53E">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1</w:t>
                  </w:r>
                </w:p>
              </w:tc>
              <w:tc>
                <w:tcPr>
                  <w:tcW w:w="961" w:type="pct"/>
                  <w:noWrap w:val="0"/>
                  <w:vAlign w:val="center"/>
                </w:tcPr>
                <w:p w14:paraId="2E870113">
                  <w:pPr>
                    <w:pStyle w:val="20"/>
                    <w:bidi w:val="0"/>
                    <w:jc w:val="center"/>
                    <w:rPr>
                      <w:rFonts w:hint="default"/>
                      <w:color w:val="auto"/>
                      <w:highlight w:val="none"/>
                      <w:lang w:val="en-US" w:eastAsia="zh-CN"/>
                    </w:rPr>
                  </w:pPr>
                  <w:r>
                    <w:rPr>
                      <w:rFonts w:hint="eastAsia"/>
                      <w:color w:val="auto"/>
                      <w:highlight w:val="none"/>
                      <w:lang w:val="en-US" w:eastAsia="zh-CN"/>
                    </w:rPr>
                    <w:t>560T</w:t>
                  </w:r>
                </w:p>
              </w:tc>
              <w:tc>
                <w:tcPr>
                  <w:tcW w:w="458" w:type="pct"/>
                  <w:noWrap w:val="0"/>
                  <w:vAlign w:val="center"/>
                </w:tcPr>
                <w:p w14:paraId="35D30617">
                  <w:pPr>
                    <w:pStyle w:val="20"/>
                    <w:bidi w:val="0"/>
                    <w:jc w:val="center"/>
                    <w:rPr>
                      <w:rFonts w:hint="default"/>
                      <w:color w:val="auto"/>
                      <w:highlight w:val="none"/>
                      <w:lang w:val="en-US" w:eastAsia="zh-CN"/>
                    </w:rPr>
                  </w:pPr>
                  <w:r>
                    <w:rPr>
                      <w:rFonts w:hint="eastAsia"/>
                      <w:color w:val="auto"/>
                      <w:highlight w:val="none"/>
                      <w:lang w:val="en-US" w:eastAsia="zh-CN"/>
                    </w:rPr>
                    <w:t>1</w:t>
                  </w:r>
                </w:p>
              </w:tc>
              <w:tc>
                <w:tcPr>
                  <w:tcW w:w="1191" w:type="pct"/>
                  <w:noWrap w:val="0"/>
                  <w:vAlign w:val="center"/>
                </w:tcPr>
                <w:p w14:paraId="3A74E742">
                  <w:pPr>
                    <w:pStyle w:val="20"/>
                    <w:bidi w:val="0"/>
                    <w:jc w:val="center"/>
                    <w:rPr>
                      <w:rFonts w:hint="default"/>
                      <w:color w:val="auto"/>
                      <w:highlight w:val="none"/>
                      <w:lang w:val="en-US" w:eastAsia="zh-CN"/>
                    </w:rPr>
                  </w:pPr>
                  <w:r>
                    <w:rPr>
                      <w:rFonts w:hint="eastAsia"/>
                      <w:color w:val="auto"/>
                      <w:highlight w:val="none"/>
                      <w:lang w:val="en-US" w:eastAsia="zh-CN"/>
                    </w:rPr>
                    <w:t>/</w:t>
                  </w:r>
                </w:p>
              </w:tc>
            </w:tr>
            <w:tr w14:paraId="76D7F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vMerge w:val="restart"/>
                  <w:shd w:val="clear" w:color="auto" w:fill="auto"/>
                  <w:noWrap w:val="0"/>
                  <w:vAlign w:val="center"/>
                </w:tcPr>
                <w:p w14:paraId="4EDB3E47">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2</w:t>
                  </w:r>
                </w:p>
              </w:tc>
              <w:tc>
                <w:tcPr>
                  <w:tcW w:w="661" w:type="pct"/>
                  <w:vMerge w:val="restart"/>
                  <w:noWrap w:val="0"/>
                  <w:vAlign w:val="center"/>
                </w:tcPr>
                <w:p w14:paraId="40860D76">
                  <w:pPr>
                    <w:pStyle w:val="20"/>
                    <w:bidi w:val="0"/>
                    <w:jc w:val="center"/>
                    <w:rPr>
                      <w:rFonts w:hint="default"/>
                      <w:color w:val="auto"/>
                      <w:highlight w:val="none"/>
                      <w:lang w:val="en-US" w:eastAsia="zh-CN"/>
                    </w:rPr>
                  </w:pPr>
                  <w:r>
                    <w:rPr>
                      <w:rFonts w:hint="eastAsia"/>
                      <w:color w:val="auto"/>
                      <w:highlight w:val="none"/>
                      <w:lang w:val="en-US" w:eastAsia="zh-CN"/>
                    </w:rPr>
                    <w:t>干燥机</w:t>
                  </w:r>
                </w:p>
              </w:tc>
              <w:tc>
                <w:tcPr>
                  <w:tcW w:w="991" w:type="pct"/>
                  <w:shd w:val="clear" w:color="auto" w:fill="auto"/>
                  <w:noWrap w:val="0"/>
                  <w:vAlign w:val="center"/>
                </w:tcPr>
                <w:p w14:paraId="7233557B">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ZD-100E</w:t>
                  </w:r>
                </w:p>
              </w:tc>
              <w:tc>
                <w:tcPr>
                  <w:tcW w:w="456" w:type="pct"/>
                  <w:shd w:val="clear" w:color="auto" w:fill="auto"/>
                  <w:noWrap w:val="0"/>
                  <w:vAlign w:val="center"/>
                </w:tcPr>
                <w:p w14:paraId="334E21C8">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2</w:t>
                  </w:r>
                </w:p>
              </w:tc>
              <w:tc>
                <w:tcPr>
                  <w:tcW w:w="961" w:type="pct"/>
                  <w:shd w:val="clear" w:color="auto" w:fill="auto"/>
                  <w:noWrap w:val="0"/>
                  <w:vAlign w:val="center"/>
                </w:tcPr>
                <w:p w14:paraId="52684CAF">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ZD-100E</w:t>
                  </w:r>
                </w:p>
              </w:tc>
              <w:tc>
                <w:tcPr>
                  <w:tcW w:w="458" w:type="pct"/>
                  <w:shd w:val="clear" w:color="auto" w:fill="auto"/>
                  <w:noWrap w:val="0"/>
                  <w:vAlign w:val="center"/>
                </w:tcPr>
                <w:p w14:paraId="3DD189CC">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1</w:t>
                  </w:r>
                </w:p>
              </w:tc>
              <w:tc>
                <w:tcPr>
                  <w:tcW w:w="1191" w:type="pct"/>
                  <w:vMerge w:val="restart"/>
                  <w:noWrap w:val="0"/>
                  <w:vAlign w:val="center"/>
                </w:tcPr>
                <w:p w14:paraId="0A720253">
                  <w:pPr>
                    <w:pStyle w:val="20"/>
                    <w:bidi w:val="0"/>
                    <w:jc w:val="center"/>
                    <w:rPr>
                      <w:rFonts w:hint="default"/>
                      <w:color w:val="auto"/>
                      <w:highlight w:val="none"/>
                      <w:lang w:val="en-US" w:eastAsia="zh-CN"/>
                    </w:rPr>
                  </w:pPr>
                  <w:r>
                    <w:rPr>
                      <w:rFonts w:hint="eastAsia"/>
                      <w:color w:val="auto"/>
                      <w:highlight w:val="none"/>
                      <w:lang w:val="en-US" w:eastAsia="zh-CN"/>
                    </w:rPr>
                    <w:t>注塑机改用干燥料斗，干燥机淘汰，现仅留有一台备用</w:t>
                  </w:r>
                </w:p>
              </w:tc>
            </w:tr>
            <w:tr w14:paraId="0F530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vMerge w:val="continue"/>
                  <w:shd w:val="clear" w:color="auto" w:fill="auto"/>
                  <w:noWrap w:val="0"/>
                  <w:vAlign w:val="center"/>
                </w:tcPr>
                <w:p w14:paraId="6F8C75AE">
                  <w:pPr>
                    <w:pStyle w:val="20"/>
                    <w:bidi w:val="0"/>
                    <w:jc w:val="center"/>
                    <w:rPr>
                      <w:rFonts w:hint="eastAsia"/>
                      <w:color w:val="auto"/>
                      <w:highlight w:val="none"/>
                      <w:lang w:val="en-US" w:eastAsia="zh-CN"/>
                    </w:rPr>
                  </w:pPr>
                </w:p>
              </w:tc>
              <w:tc>
                <w:tcPr>
                  <w:tcW w:w="661" w:type="pct"/>
                  <w:vMerge w:val="continue"/>
                  <w:noWrap w:val="0"/>
                  <w:vAlign w:val="center"/>
                </w:tcPr>
                <w:p w14:paraId="52D64CAA">
                  <w:pPr>
                    <w:pStyle w:val="20"/>
                    <w:bidi w:val="0"/>
                    <w:jc w:val="center"/>
                    <w:rPr>
                      <w:rFonts w:hint="eastAsia"/>
                      <w:color w:val="auto"/>
                      <w:highlight w:val="none"/>
                      <w:lang w:val="en-US" w:eastAsia="zh-CN"/>
                    </w:rPr>
                  </w:pPr>
                </w:p>
              </w:tc>
              <w:tc>
                <w:tcPr>
                  <w:tcW w:w="991" w:type="pct"/>
                  <w:shd w:val="clear" w:color="auto" w:fill="auto"/>
                  <w:noWrap w:val="0"/>
                  <w:vAlign w:val="center"/>
                </w:tcPr>
                <w:p w14:paraId="6A50A1BE">
                  <w:pPr>
                    <w:pStyle w:val="20"/>
                    <w:bidi w:val="0"/>
                    <w:jc w:val="center"/>
                    <w:rPr>
                      <w:rFonts w:hint="default"/>
                      <w:color w:val="auto"/>
                      <w:highlight w:val="none"/>
                      <w:lang w:val="en-US" w:eastAsia="zh-CN"/>
                    </w:rPr>
                  </w:pPr>
                  <w:r>
                    <w:rPr>
                      <w:rFonts w:hint="eastAsia"/>
                      <w:color w:val="auto"/>
                      <w:highlight w:val="none"/>
                      <w:lang w:val="en-US" w:eastAsia="zh-CN"/>
                    </w:rPr>
                    <w:t>ZD-75E</w:t>
                  </w:r>
                </w:p>
              </w:tc>
              <w:tc>
                <w:tcPr>
                  <w:tcW w:w="456" w:type="pct"/>
                  <w:shd w:val="clear" w:color="auto" w:fill="auto"/>
                  <w:noWrap w:val="0"/>
                  <w:vAlign w:val="center"/>
                </w:tcPr>
                <w:p w14:paraId="589DDCE6">
                  <w:pPr>
                    <w:pStyle w:val="20"/>
                    <w:bidi w:val="0"/>
                    <w:jc w:val="center"/>
                    <w:rPr>
                      <w:rFonts w:hint="default"/>
                      <w:color w:val="auto"/>
                      <w:highlight w:val="none"/>
                      <w:lang w:val="en-US" w:eastAsia="zh-CN"/>
                    </w:rPr>
                  </w:pPr>
                  <w:r>
                    <w:rPr>
                      <w:rFonts w:hint="eastAsia"/>
                      <w:color w:val="auto"/>
                      <w:highlight w:val="none"/>
                      <w:lang w:val="en-US" w:eastAsia="zh-CN"/>
                    </w:rPr>
                    <w:t>2</w:t>
                  </w:r>
                </w:p>
              </w:tc>
              <w:tc>
                <w:tcPr>
                  <w:tcW w:w="961" w:type="pct"/>
                  <w:shd w:val="clear" w:color="auto" w:fill="auto"/>
                  <w:noWrap w:val="0"/>
                  <w:vAlign w:val="center"/>
                </w:tcPr>
                <w:p w14:paraId="0B6DE528">
                  <w:pPr>
                    <w:pStyle w:val="20"/>
                    <w:bidi w:val="0"/>
                    <w:jc w:val="center"/>
                    <w:rPr>
                      <w:rFonts w:hint="default"/>
                      <w:color w:val="auto"/>
                      <w:highlight w:val="none"/>
                      <w:lang w:val="en-US" w:eastAsia="zh-CN"/>
                    </w:rPr>
                  </w:pPr>
                  <w:r>
                    <w:rPr>
                      <w:rFonts w:hint="eastAsia"/>
                      <w:color w:val="auto"/>
                      <w:highlight w:val="none"/>
                      <w:lang w:val="en-US" w:eastAsia="zh-CN"/>
                    </w:rPr>
                    <w:t>/</w:t>
                  </w:r>
                </w:p>
              </w:tc>
              <w:tc>
                <w:tcPr>
                  <w:tcW w:w="458" w:type="pct"/>
                  <w:shd w:val="clear" w:color="auto" w:fill="auto"/>
                  <w:noWrap w:val="0"/>
                  <w:vAlign w:val="center"/>
                </w:tcPr>
                <w:p w14:paraId="7993FF92">
                  <w:pPr>
                    <w:pStyle w:val="20"/>
                    <w:bidi w:val="0"/>
                    <w:jc w:val="center"/>
                    <w:rPr>
                      <w:rFonts w:hint="default"/>
                      <w:color w:val="auto"/>
                      <w:highlight w:val="none"/>
                      <w:lang w:val="en-US" w:eastAsia="zh-CN"/>
                    </w:rPr>
                  </w:pPr>
                  <w:r>
                    <w:rPr>
                      <w:rFonts w:hint="eastAsia"/>
                      <w:color w:val="auto"/>
                      <w:highlight w:val="none"/>
                      <w:lang w:val="en-US" w:eastAsia="zh-CN"/>
                    </w:rPr>
                    <w:t>/</w:t>
                  </w:r>
                </w:p>
              </w:tc>
              <w:tc>
                <w:tcPr>
                  <w:tcW w:w="1191" w:type="pct"/>
                  <w:vMerge w:val="continue"/>
                  <w:noWrap w:val="0"/>
                  <w:vAlign w:val="center"/>
                </w:tcPr>
                <w:p w14:paraId="1AB75591">
                  <w:pPr>
                    <w:pStyle w:val="20"/>
                    <w:bidi w:val="0"/>
                    <w:jc w:val="center"/>
                    <w:rPr>
                      <w:rFonts w:hint="default"/>
                      <w:color w:val="auto"/>
                      <w:highlight w:val="none"/>
                      <w:lang w:val="en-US" w:eastAsia="zh-CN"/>
                    </w:rPr>
                  </w:pPr>
                </w:p>
              </w:tc>
            </w:tr>
            <w:tr w14:paraId="7C3D8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shd w:val="clear" w:color="auto" w:fill="auto"/>
                  <w:noWrap w:val="0"/>
                  <w:vAlign w:val="center"/>
                </w:tcPr>
                <w:p w14:paraId="2F2D2976">
                  <w:pPr>
                    <w:pStyle w:val="20"/>
                    <w:bidi w:val="0"/>
                    <w:jc w:val="center"/>
                    <w:rPr>
                      <w:rFonts w:hint="eastAsia"/>
                      <w:color w:val="auto"/>
                      <w:highlight w:val="none"/>
                      <w:lang w:val="en-US" w:eastAsia="zh-CN"/>
                    </w:rPr>
                  </w:pPr>
                  <w:r>
                    <w:rPr>
                      <w:rFonts w:hint="eastAsia"/>
                      <w:color w:val="auto"/>
                      <w:highlight w:val="none"/>
                      <w:lang w:val="en-US" w:eastAsia="zh-CN"/>
                    </w:rPr>
                    <w:t>3</w:t>
                  </w:r>
                </w:p>
              </w:tc>
              <w:tc>
                <w:tcPr>
                  <w:tcW w:w="661" w:type="pct"/>
                  <w:noWrap w:val="0"/>
                  <w:vAlign w:val="center"/>
                </w:tcPr>
                <w:p w14:paraId="6E424FA8">
                  <w:pPr>
                    <w:pStyle w:val="20"/>
                    <w:bidi w:val="0"/>
                    <w:jc w:val="center"/>
                    <w:rPr>
                      <w:rFonts w:hint="default"/>
                      <w:color w:val="auto"/>
                      <w:highlight w:val="none"/>
                      <w:lang w:val="en-US" w:eastAsia="zh-CN"/>
                    </w:rPr>
                  </w:pPr>
                  <w:r>
                    <w:rPr>
                      <w:rFonts w:hint="eastAsia"/>
                      <w:color w:val="auto"/>
                      <w:highlight w:val="none"/>
                      <w:lang w:val="en-US" w:eastAsia="zh-CN"/>
                    </w:rPr>
                    <w:t>吸料机</w:t>
                  </w:r>
                </w:p>
              </w:tc>
              <w:tc>
                <w:tcPr>
                  <w:tcW w:w="991" w:type="pct"/>
                  <w:shd w:val="clear" w:color="auto" w:fill="auto"/>
                  <w:noWrap w:val="0"/>
                  <w:vAlign w:val="center"/>
                </w:tcPr>
                <w:p w14:paraId="24008788">
                  <w:pPr>
                    <w:pStyle w:val="20"/>
                    <w:bidi w:val="0"/>
                    <w:jc w:val="center"/>
                    <w:rPr>
                      <w:rFonts w:hint="default"/>
                      <w:color w:val="auto"/>
                      <w:highlight w:val="none"/>
                      <w:lang w:val="en-US" w:eastAsia="zh-CN"/>
                    </w:rPr>
                  </w:pPr>
                  <w:r>
                    <w:rPr>
                      <w:rFonts w:hint="eastAsia"/>
                      <w:color w:val="auto"/>
                      <w:highlight w:val="none"/>
                      <w:lang w:val="en-US" w:eastAsia="zh-CN"/>
                    </w:rPr>
                    <w:t>/</w:t>
                  </w:r>
                </w:p>
              </w:tc>
              <w:tc>
                <w:tcPr>
                  <w:tcW w:w="456" w:type="pct"/>
                  <w:shd w:val="clear" w:color="auto" w:fill="auto"/>
                  <w:noWrap w:val="0"/>
                  <w:vAlign w:val="center"/>
                </w:tcPr>
                <w:p w14:paraId="5F4C883D">
                  <w:pPr>
                    <w:pStyle w:val="20"/>
                    <w:bidi w:val="0"/>
                    <w:jc w:val="center"/>
                    <w:rPr>
                      <w:rFonts w:hint="default"/>
                      <w:color w:val="auto"/>
                      <w:highlight w:val="none"/>
                      <w:lang w:val="en-US" w:eastAsia="zh-CN"/>
                    </w:rPr>
                  </w:pPr>
                  <w:r>
                    <w:rPr>
                      <w:rFonts w:hint="eastAsia"/>
                      <w:color w:val="auto"/>
                      <w:highlight w:val="none"/>
                      <w:lang w:val="en-US" w:eastAsia="zh-CN"/>
                    </w:rPr>
                    <w:t>6</w:t>
                  </w:r>
                </w:p>
              </w:tc>
              <w:tc>
                <w:tcPr>
                  <w:tcW w:w="961" w:type="pct"/>
                  <w:shd w:val="clear" w:color="auto" w:fill="auto"/>
                  <w:noWrap w:val="0"/>
                  <w:vAlign w:val="center"/>
                </w:tcPr>
                <w:p w14:paraId="389ADFD3">
                  <w:pPr>
                    <w:pStyle w:val="20"/>
                    <w:bidi w:val="0"/>
                    <w:jc w:val="center"/>
                    <w:rPr>
                      <w:rFonts w:hint="default"/>
                      <w:color w:val="auto"/>
                      <w:highlight w:val="none"/>
                      <w:lang w:val="en-US" w:eastAsia="zh-CN"/>
                    </w:rPr>
                  </w:pPr>
                  <w:r>
                    <w:rPr>
                      <w:rFonts w:hint="eastAsia"/>
                      <w:color w:val="auto"/>
                      <w:highlight w:val="none"/>
                      <w:lang w:val="en-US" w:eastAsia="zh-CN"/>
                    </w:rPr>
                    <w:t>/</w:t>
                  </w:r>
                </w:p>
              </w:tc>
              <w:tc>
                <w:tcPr>
                  <w:tcW w:w="458" w:type="pct"/>
                  <w:shd w:val="clear" w:color="auto" w:fill="auto"/>
                  <w:noWrap w:val="0"/>
                  <w:vAlign w:val="center"/>
                </w:tcPr>
                <w:p w14:paraId="2EE62D53">
                  <w:pPr>
                    <w:pStyle w:val="20"/>
                    <w:bidi w:val="0"/>
                    <w:jc w:val="center"/>
                    <w:rPr>
                      <w:rFonts w:hint="default"/>
                      <w:color w:val="auto"/>
                      <w:highlight w:val="none"/>
                      <w:lang w:val="en-US" w:eastAsia="zh-CN"/>
                    </w:rPr>
                  </w:pPr>
                  <w:r>
                    <w:rPr>
                      <w:rFonts w:hint="eastAsia"/>
                      <w:color w:val="auto"/>
                      <w:highlight w:val="none"/>
                      <w:lang w:val="en-US" w:eastAsia="zh-CN"/>
                    </w:rPr>
                    <w:t>6</w:t>
                  </w:r>
                </w:p>
              </w:tc>
              <w:tc>
                <w:tcPr>
                  <w:tcW w:w="1191" w:type="pct"/>
                  <w:vMerge w:val="restart"/>
                  <w:noWrap w:val="0"/>
                  <w:vAlign w:val="center"/>
                </w:tcPr>
                <w:p w14:paraId="085C63D6">
                  <w:pPr>
                    <w:pStyle w:val="20"/>
                    <w:bidi w:val="0"/>
                    <w:jc w:val="center"/>
                    <w:rPr>
                      <w:rFonts w:hint="default"/>
                      <w:color w:val="auto"/>
                      <w:highlight w:val="none"/>
                      <w:lang w:val="en-US" w:eastAsia="zh-CN"/>
                    </w:rPr>
                  </w:pPr>
                  <w:r>
                    <w:rPr>
                      <w:rFonts w:hint="eastAsia"/>
                      <w:color w:val="auto"/>
                      <w:highlight w:val="none"/>
                      <w:lang w:val="en-US" w:eastAsia="zh-CN"/>
                    </w:rPr>
                    <w:t>注塑机组成设备，不再单独罗列</w:t>
                  </w:r>
                </w:p>
              </w:tc>
            </w:tr>
            <w:tr w14:paraId="045B4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shd w:val="clear" w:color="auto" w:fill="auto"/>
                  <w:noWrap w:val="0"/>
                  <w:vAlign w:val="center"/>
                </w:tcPr>
                <w:p w14:paraId="1E8F49B3">
                  <w:pPr>
                    <w:pStyle w:val="20"/>
                    <w:bidi w:val="0"/>
                    <w:jc w:val="center"/>
                    <w:rPr>
                      <w:rFonts w:hint="default"/>
                      <w:color w:val="auto"/>
                      <w:highlight w:val="none"/>
                      <w:lang w:val="en-US" w:eastAsia="zh-CN"/>
                    </w:rPr>
                  </w:pPr>
                  <w:r>
                    <w:rPr>
                      <w:rFonts w:hint="eastAsia"/>
                      <w:color w:val="auto"/>
                      <w:highlight w:val="none"/>
                      <w:lang w:val="en-US" w:eastAsia="zh-CN"/>
                    </w:rPr>
                    <w:t>4</w:t>
                  </w:r>
                </w:p>
              </w:tc>
              <w:tc>
                <w:tcPr>
                  <w:tcW w:w="661" w:type="pct"/>
                  <w:noWrap w:val="0"/>
                  <w:vAlign w:val="center"/>
                </w:tcPr>
                <w:p w14:paraId="673D2D7E">
                  <w:pPr>
                    <w:pStyle w:val="20"/>
                    <w:bidi w:val="0"/>
                    <w:jc w:val="center"/>
                    <w:rPr>
                      <w:rFonts w:hint="default"/>
                      <w:color w:val="auto"/>
                      <w:highlight w:val="none"/>
                      <w:lang w:val="en-US" w:eastAsia="zh-CN"/>
                    </w:rPr>
                  </w:pPr>
                  <w:r>
                    <w:rPr>
                      <w:rFonts w:hint="eastAsia"/>
                      <w:color w:val="auto"/>
                      <w:highlight w:val="none"/>
                      <w:lang w:val="en-US" w:eastAsia="zh-CN"/>
                    </w:rPr>
                    <w:t>模温机</w:t>
                  </w:r>
                </w:p>
              </w:tc>
              <w:tc>
                <w:tcPr>
                  <w:tcW w:w="991" w:type="pct"/>
                  <w:shd w:val="clear" w:color="auto" w:fill="auto"/>
                  <w:noWrap w:val="0"/>
                  <w:vAlign w:val="center"/>
                </w:tcPr>
                <w:p w14:paraId="1CD8C766">
                  <w:pPr>
                    <w:pStyle w:val="20"/>
                    <w:bidi w:val="0"/>
                    <w:jc w:val="center"/>
                    <w:rPr>
                      <w:rFonts w:hint="default"/>
                      <w:color w:val="auto"/>
                      <w:highlight w:val="none"/>
                      <w:lang w:val="en-US" w:eastAsia="zh-CN"/>
                    </w:rPr>
                  </w:pPr>
                  <w:r>
                    <w:rPr>
                      <w:rFonts w:hint="eastAsia"/>
                      <w:color w:val="auto"/>
                      <w:highlight w:val="none"/>
                      <w:lang w:val="en-US" w:eastAsia="zh-CN"/>
                    </w:rPr>
                    <w:t>/</w:t>
                  </w:r>
                </w:p>
              </w:tc>
              <w:tc>
                <w:tcPr>
                  <w:tcW w:w="456" w:type="pct"/>
                  <w:shd w:val="clear" w:color="auto" w:fill="auto"/>
                  <w:noWrap w:val="0"/>
                  <w:vAlign w:val="center"/>
                </w:tcPr>
                <w:p w14:paraId="2ED9124A">
                  <w:pPr>
                    <w:pStyle w:val="20"/>
                    <w:bidi w:val="0"/>
                    <w:jc w:val="center"/>
                    <w:rPr>
                      <w:rFonts w:hint="default"/>
                      <w:color w:val="auto"/>
                      <w:highlight w:val="none"/>
                      <w:lang w:val="en-US" w:eastAsia="zh-CN"/>
                    </w:rPr>
                  </w:pPr>
                  <w:r>
                    <w:rPr>
                      <w:rFonts w:hint="eastAsia"/>
                      <w:color w:val="auto"/>
                      <w:highlight w:val="none"/>
                      <w:lang w:val="en-US" w:eastAsia="zh-CN"/>
                    </w:rPr>
                    <w:t>6</w:t>
                  </w:r>
                </w:p>
              </w:tc>
              <w:tc>
                <w:tcPr>
                  <w:tcW w:w="961" w:type="pct"/>
                  <w:shd w:val="clear" w:color="auto" w:fill="auto"/>
                  <w:noWrap w:val="0"/>
                  <w:vAlign w:val="center"/>
                </w:tcPr>
                <w:p w14:paraId="63BCB1BB">
                  <w:pPr>
                    <w:pStyle w:val="20"/>
                    <w:bidi w:val="0"/>
                    <w:jc w:val="center"/>
                    <w:rPr>
                      <w:rFonts w:hint="default"/>
                      <w:color w:val="auto"/>
                      <w:highlight w:val="none"/>
                      <w:lang w:val="en-US" w:eastAsia="zh-CN"/>
                    </w:rPr>
                  </w:pPr>
                  <w:r>
                    <w:rPr>
                      <w:rFonts w:hint="eastAsia"/>
                      <w:color w:val="auto"/>
                      <w:highlight w:val="none"/>
                      <w:lang w:val="en-US" w:eastAsia="zh-CN"/>
                    </w:rPr>
                    <w:t>/</w:t>
                  </w:r>
                </w:p>
              </w:tc>
              <w:tc>
                <w:tcPr>
                  <w:tcW w:w="458" w:type="pct"/>
                  <w:shd w:val="clear" w:color="auto" w:fill="auto"/>
                  <w:noWrap w:val="0"/>
                  <w:vAlign w:val="center"/>
                </w:tcPr>
                <w:p w14:paraId="51307D32">
                  <w:pPr>
                    <w:pStyle w:val="20"/>
                    <w:bidi w:val="0"/>
                    <w:jc w:val="center"/>
                    <w:rPr>
                      <w:rFonts w:hint="default"/>
                      <w:color w:val="auto"/>
                      <w:highlight w:val="none"/>
                      <w:lang w:val="en-US" w:eastAsia="zh-CN"/>
                    </w:rPr>
                  </w:pPr>
                  <w:r>
                    <w:rPr>
                      <w:rFonts w:hint="eastAsia"/>
                      <w:color w:val="auto"/>
                      <w:highlight w:val="none"/>
                      <w:lang w:val="en-US" w:eastAsia="zh-CN"/>
                    </w:rPr>
                    <w:t>6</w:t>
                  </w:r>
                </w:p>
              </w:tc>
              <w:tc>
                <w:tcPr>
                  <w:tcW w:w="1191" w:type="pct"/>
                  <w:vMerge w:val="continue"/>
                  <w:noWrap w:val="0"/>
                  <w:vAlign w:val="center"/>
                </w:tcPr>
                <w:p w14:paraId="13F15BBE">
                  <w:pPr>
                    <w:pStyle w:val="20"/>
                    <w:bidi w:val="0"/>
                    <w:jc w:val="center"/>
                    <w:rPr>
                      <w:rFonts w:hint="eastAsia"/>
                      <w:color w:val="auto"/>
                      <w:highlight w:val="none"/>
                      <w:lang w:val="en-US" w:eastAsia="zh-CN"/>
                    </w:rPr>
                  </w:pPr>
                </w:p>
              </w:tc>
            </w:tr>
            <w:tr w14:paraId="30B10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shd w:val="clear" w:color="auto" w:fill="auto"/>
                  <w:noWrap w:val="0"/>
                  <w:vAlign w:val="center"/>
                </w:tcPr>
                <w:p w14:paraId="455B309E">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5</w:t>
                  </w:r>
                </w:p>
              </w:tc>
              <w:tc>
                <w:tcPr>
                  <w:tcW w:w="661" w:type="pct"/>
                  <w:noWrap w:val="0"/>
                  <w:vAlign w:val="center"/>
                </w:tcPr>
                <w:p w14:paraId="6CA69EF6">
                  <w:pPr>
                    <w:pStyle w:val="20"/>
                    <w:bidi w:val="0"/>
                    <w:jc w:val="center"/>
                    <w:rPr>
                      <w:rFonts w:hint="default"/>
                      <w:color w:val="auto"/>
                      <w:highlight w:val="none"/>
                      <w:lang w:val="en-US" w:eastAsia="zh-CN"/>
                    </w:rPr>
                  </w:pPr>
                  <w:r>
                    <w:rPr>
                      <w:rFonts w:hint="eastAsia"/>
                      <w:color w:val="auto"/>
                      <w:highlight w:val="none"/>
                      <w:lang w:val="en-US" w:eastAsia="zh-CN"/>
                    </w:rPr>
                    <w:t>破碎机</w:t>
                  </w:r>
                </w:p>
              </w:tc>
              <w:tc>
                <w:tcPr>
                  <w:tcW w:w="991" w:type="pct"/>
                  <w:shd w:val="clear" w:color="auto" w:fill="auto"/>
                  <w:noWrap w:val="0"/>
                  <w:vAlign w:val="center"/>
                </w:tcPr>
                <w:p w14:paraId="0156B37C">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w:t>
                  </w:r>
                </w:p>
              </w:tc>
              <w:tc>
                <w:tcPr>
                  <w:tcW w:w="456" w:type="pct"/>
                  <w:shd w:val="clear" w:color="auto" w:fill="auto"/>
                  <w:noWrap w:val="0"/>
                  <w:vAlign w:val="center"/>
                </w:tcPr>
                <w:p w14:paraId="7C9550F1">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1</w:t>
                  </w:r>
                </w:p>
              </w:tc>
              <w:tc>
                <w:tcPr>
                  <w:tcW w:w="961" w:type="pct"/>
                  <w:noWrap w:val="0"/>
                  <w:vAlign w:val="center"/>
                </w:tcPr>
                <w:p w14:paraId="42204B46">
                  <w:pPr>
                    <w:pStyle w:val="20"/>
                    <w:bidi w:val="0"/>
                    <w:jc w:val="center"/>
                    <w:rPr>
                      <w:rFonts w:hint="default"/>
                      <w:color w:val="auto"/>
                      <w:highlight w:val="none"/>
                      <w:lang w:val="en-US" w:eastAsia="zh-CN"/>
                    </w:rPr>
                  </w:pPr>
                  <w:r>
                    <w:rPr>
                      <w:rFonts w:hint="eastAsia"/>
                      <w:color w:val="auto"/>
                      <w:highlight w:val="none"/>
                      <w:lang w:val="en-US" w:eastAsia="zh-CN"/>
                    </w:rPr>
                    <w:t>/</w:t>
                  </w:r>
                </w:p>
              </w:tc>
              <w:tc>
                <w:tcPr>
                  <w:tcW w:w="458" w:type="pct"/>
                  <w:noWrap w:val="0"/>
                  <w:vAlign w:val="center"/>
                </w:tcPr>
                <w:p w14:paraId="0D8A6D89">
                  <w:pPr>
                    <w:pStyle w:val="20"/>
                    <w:bidi w:val="0"/>
                    <w:jc w:val="center"/>
                    <w:rPr>
                      <w:rFonts w:hint="default"/>
                      <w:color w:val="auto"/>
                      <w:highlight w:val="none"/>
                      <w:lang w:val="en-US" w:eastAsia="zh-CN"/>
                    </w:rPr>
                  </w:pPr>
                  <w:r>
                    <w:rPr>
                      <w:rFonts w:hint="eastAsia"/>
                      <w:color w:val="auto"/>
                      <w:highlight w:val="none"/>
                      <w:lang w:val="en-US" w:eastAsia="zh-CN"/>
                    </w:rPr>
                    <w:t>1</w:t>
                  </w:r>
                </w:p>
              </w:tc>
              <w:tc>
                <w:tcPr>
                  <w:tcW w:w="1191" w:type="pct"/>
                  <w:noWrap w:val="0"/>
                  <w:vAlign w:val="center"/>
                </w:tcPr>
                <w:p w14:paraId="35B9347E">
                  <w:pPr>
                    <w:pStyle w:val="20"/>
                    <w:bidi w:val="0"/>
                    <w:jc w:val="center"/>
                    <w:rPr>
                      <w:rFonts w:hint="default"/>
                      <w:color w:val="auto"/>
                      <w:highlight w:val="none"/>
                      <w:lang w:val="en-US" w:eastAsia="zh-CN"/>
                    </w:rPr>
                  </w:pPr>
                  <w:r>
                    <w:rPr>
                      <w:rFonts w:hint="eastAsia"/>
                      <w:color w:val="auto"/>
                      <w:highlight w:val="none"/>
                      <w:lang w:val="en-US" w:eastAsia="zh-CN"/>
                    </w:rPr>
                    <w:t>/</w:t>
                  </w:r>
                </w:p>
              </w:tc>
            </w:tr>
            <w:tr w14:paraId="2BB7F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shd w:val="clear" w:color="auto" w:fill="auto"/>
                  <w:noWrap w:val="0"/>
                  <w:vAlign w:val="center"/>
                </w:tcPr>
                <w:p w14:paraId="51B8E463">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6</w:t>
                  </w:r>
                </w:p>
              </w:tc>
              <w:tc>
                <w:tcPr>
                  <w:tcW w:w="661" w:type="pct"/>
                  <w:noWrap w:val="0"/>
                  <w:vAlign w:val="center"/>
                </w:tcPr>
                <w:p w14:paraId="5E23DACA">
                  <w:pPr>
                    <w:pStyle w:val="20"/>
                    <w:bidi w:val="0"/>
                    <w:jc w:val="center"/>
                    <w:rPr>
                      <w:rFonts w:hint="default"/>
                      <w:color w:val="auto"/>
                      <w:highlight w:val="none"/>
                      <w:lang w:val="en-US" w:eastAsia="zh-CN"/>
                    </w:rPr>
                  </w:pPr>
                  <w:r>
                    <w:rPr>
                      <w:rFonts w:hint="eastAsia"/>
                      <w:color w:val="auto"/>
                      <w:highlight w:val="none"/>
                      <w:lang w:val="en-US" w:eastAsia="zh-CN"/>
                    </w:rPr>
                    <w:t>混料机</w:t>
                  </w:r>
                </w:p>
              </w:tc>
              <w:tc>
                <w:tcPr>
                  <w:tcW w:w="991" w:type="pct"/>
                  <w:shd w:val="clear" w:color="auto" w:fill="auto"/>
                  <w:noWrap w:val="0"/>
                  <w:vAlign w:val="center"/>
                </w:tcPr>
                <w:p w14:paraId="3B272FF7">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w:t>
                  </w:r>
                </w:p>
              </w:tc>
              <w:tc>
                <w:tcPr>
                  <w:tcW w:w="456" w:type="pct"/>
                  <w:shd w:val="clear" w:color="auto" w:fill="auto"/>
                  <w:noWrap w:val="0"/>
                  <w:vAlign w:val="center"/>
                </w:tcPr>
                <w:p w14:paraId="4788BD2C">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1</w:t>
                  </w:r>
                </w:p>
              </w:tc>
              <w:tc>
                <w:tcPr>
                  <w:tcW w:w="961" w:type="pct"/>
                  <w:noWrap w:val="0"/>
                  <w:vAlign w:val="center"/>
                </w:tcPr>
                <w:p w14:paraId="01AD4A3B">
                  <w:pPr>
                    <w:pStyle w:val="20"/>
                    <w:bidi w:val="0"/>
                    <w:jc w:val="center"/>
                    <w:rPr>
                      <w:rFonts w:hint="default"/>
                      <w:color w:val="auto"/>
                      <w:highlight w:val="none"/>
                      <w:lang w:val="en-US" w:eastAsia="zh-CN"/>
                    </w:rPr>
                  </w:pPr>
                  <w:r>
                    <w:rPr>
                      <w:rFonts w:hint="eastAsia"/>
                      <w:color w:val="auto"/>
                      <w:highlight w:val="none"/>
                      <w:lang w:val="en-US" w:eastAsia="zh-CN"/>
                    </w:rPr>
                    <w:t>/</w:t>
                  </w:r>
                </w:p>
              </w:tc>
              <w:tc>
                <w:tcPr>
                  <w:tcW w:w="458" w:type="pct"/>
                  <w:noWrap w:val="0"/>
                  <w:vAlign w:val="center"/>
                </w:tcPr>
                <w:p w14:paraId="03A3B349">
                  <w:pPr>
                    <w:pStyle w:val="20"/>
                    <w:bidi w:val="0"/>
                    <w:jc w:val="center"/>
                    <w:rPr>
                      <w:rFonts w:hint="default"/>
                      <w:color w:val="auto"/>
                      <w:highlight w:val="none"/>
                      <w:lang w:val="en-US" w:eastAsia="zh-CN"/>
                    </w:rPr>
                  </w:pPr>
                  <w:r>
                    <w:rPr>
                      <w:rFonts w:hint="eastAsia"/>
                      <w:color w:val="auto"/>
                      <w:highlight w:val="none"/>
                      <w:lang w:val="en-US" w:eastAsia="zh-CN"/>
                    </w:rPr>
                    <w:t>1</w:t>
                  </w:r>
                </w:p>
              </w:tc>
              <w:tc>
                <w:tcPr>
                  <w:tcW w:w="1191" w:type="pct"/>
                  <w:noWrap w:val="0"/>
                  <w:vAlign w:val="center"/>
                </w:tcPr>
                <w:p w14:paraId="427AA926">
                  <w:pPr>
                    <w:pStyle w:val="20"/>
                    <w:bidi w:val="0"/>
                    <w:rPr>
                      <w:rFonts w:hint="default"/>
                      <w:color w:val="auto"/>
                      <w:highlight w:val="none"/>
                      <w:lang w:val="en-US" w:eastAsia="zh-CN"/>
                    </w:rPr>
                  </w:pPr>
                  <w:r>
                    <w:rPr>
                      <w:rFonts w:hint="eastAsia"/>
                      <w:color w:val="auto"/>
                      <w:highlight w:val="none"/>
                      <w:lang w:val="en-US" w:eastAsia="zh-CN"/>
                    </w:rPr>
                    <w:t>/</w:t>
                  </w:r>
                </w:p>
              </w:tc>
            </w:tr>
            <w:tr w14:paraId="335A9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shd w:val="clear" w:color="auto" w:fill="auto"/>
                  <w:noWrap w:val="0"/>
                  <w:vAlign w:val="center"/>
                </w:tcPr>
                <w:p w14:paraId="03D78113">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7</w:t>
                  </w:r>
                </w:p>
              </w:tc>
              <w:tc>
                <w:tcPr>
                  <w:tcW w:w="661" w:type="pct"/>
                  <w:noWrap w:val="0"/>
                  <w:vAlign w:val="center"/>
                </w:tcPr>
                <w:p w14:paraId="595820FE">
                  <w:pPr>
                    <w:pStyle w:val="20"/>
                    <w:bidi w:val="0"/>
                    <w:jc w:val="center"/>
                    <w:rPr>
                      <w:rFonts w:hint="default"/>
                      <w:color w:val="auto"/>
                      <w:highlight w:val="none"/>
                    </w:rPr>
                  </w:pPr>
                  <w:r>
                    <w:rPr>
                      <w:rFonts w:hint="default"/>
                      <w:color w:val="auto"/>
                      <w:highlight w:val="none"/>
                      <w:lang w:val="en-US" w:eastAsia="zh-CN"/>
                    </w:rPr>
                    <w:t>冷却水系统</w:t>
                  </w:r>
                </w:p>
              </w:tc>
              <w:tc>
                <w:tcPr>
                  <w:tcW w:w="991" w:type="pct"/>
                  <w:shd w:val="clear" w:color="auto" w:fill="auto"/>
                  <w:noWrap w:val="0"/>
                  <w:vAlign w:val="center"/>
                </w:tcPr>
                <w:p w14:paraId="0A576BB5">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LBC-M-65T</w:t>
                  </w:r>
                </w:p>
              </w:tc>
              <w:tc>
                <w:tcPr>
                  <w:tcW w:w="456" w:type="pct"/>
                  <w:shd w:val="clear" w:color="auto" w:fill="auto"/>
                  <w:noWrap w:val="0"/>
                  <w:vAlign w:val="center"/>
                </w:tcPr>
                <w:p w14:paraId="329FE831">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1</w:t>
                  </w:r>
                </w:p>
              </w:tc>
              <w:tc>
                <w:tcPr>
                  <w:tcW w:w="961" w:type="pct"/>
                  <w:noWrap w:val="0"/>
                  <w:vAlign w:val="center"/>
                </w:tcPr>
                <w:p w14:paraId="5A51E814">
                  <w:pPr>
                    <w:pStyle w:val="20"/>
                    <w:bidi w:val="0"/>
                    <w:jc w:val="center"/>
                    <w:rPr>
                      <w:rFonts w:hint="default"/>
                      <w:color w:val="auto"/>
                      <w:highlight w:val="none"/>
                      <w:lang w:val="en-US" w:eastAsia="zh-CN"/>
                    </w:rPr>
                  </w:pPr>
                  <w:r>
                    <w:rPr>
                      <w:rFonts w:hint="eastAsia"/>
                      <w:color w:val="auto"/>
                      <w:highlight w:val="none"/>
                      <w:lang w:val="en-US" w:eastAsia="zh-CN"/>
                    </w:rPr>
                    <w:t>LBC-M-65T</w:t>
                  </w:r>
                </w:p>
              </w:tc>
              <w:tc>
                <w:tcPr>
                  <w:tcW w:w="458" w:type="pct"/>
                  <w:noWrap w:val="0"/>
                  <w:vAlign w:val="center"/>
                </w:tcPr>
                <w:p w14:paraId="53941C0C">
                  <w:pPr>
                    <w:pStyle w:val="20"/>
                    <w:bidi w:val="0"/>
                    <w:jc w:val="center"/>
                    <w:rPr>
                      <w:rFonts w:hint="default"/>
                      <w:color w:val="auto"/>
                      <w:highlight w:val="none"/>
                      <w:lang w:val="en-US" w:eastAsia="zh-CN"/>
                    </w:rPr>
                  </w:pPr>
                  <w:r>
                    <w:rPr>
                      <w:rFonts w:hint="eastAsia"/>
                      <w:color w:val="auto"/>
                      <w:highlight w:val="none"/>
                      <w:lang w:val="en-US" w:eastAsia="zh-CN"/>
                    </w:rPr>
                    <w:t>1</w:t>
                  </w:r>
                </w:p>
              </w:tc>
              <w:tc>
                <w:tcPr>
                  <w:tcW w:w="1191" w:type="pct"/>
                  <w:noWrap w:val="0"/>
                  <w:vAlign w:val="center"/>
                </w:tcPr>
                <w:p w14:paraId="71199C04">
                  <w:pPr>
                    <w:pStyle w:val="20"/>
                    <w:bidi w:val="0"/>
                    <w:rPr>
                      <w:rFonts w:hint="eastAsia"/>
                      <w:color w:val="auto"/>
                      <w:highlight w:val="none"/>
                      <w:lang w:val="en-US" w:eastAsia="zh-CN"/>
                    </w:rPr>
                  </w:pPr>
                  <w:r>
                    <w:rPr>
                      <w:rFonts w:hint="eastAsia"/>
                      <w:color w:val="auto"/>
                      <w:highlight w:val="none"/>
                      <w:lang w:val="en-US" w:eastAsia="zh-CN"/>
                    </w:rPr>
                    <w:t>/</w:t>
                  </w:r>
                </w:p>
              </w:tc>
            </w:tr>
            <w:tr w14:paraId="7FBFF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shd w:val="clear" w:color="auto" w:fill="auto"/>
                  <w:noWrap w:val="0"/>
                  <w:vAlign w:val="center"/>
                </w:tcPr>
                <w:p w14:paraId="2452C586">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8</w:t>
                  </w:r>
                </w:p>
              </w:tc>
              <w:tc>
                <w:tcPr>
                  <w:tcW w:w="661" w:type="pct"/>
                  <w:shd w:val="clear" w:color="auto" w:fill="auto"/>
                  <w:noWrap w:val="0"/>
                  <w:vAlign w:val="center"/>
                </w:tcPr>
                <w:p w14:paraId="127E9965">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空压机</w:t>
                  </w:r>
                </w:p>
              </w:tc>
              <w:tc>
                <w:tcPr>
                  <w:tcW w:w="991" w:type="pct"/>
                  <w:shd w:val="clear" w:color="auto" w:fill="auto"/>
                  <w:noWrap w:val="0"/>
                  <w:vAlign w:val="center"/>
                </w:tcPr>
                <w:p w14:paraId="67A2300E">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HW10007</w:t>
                  </w:r>
                </w:p>
              </w:tc>
              <w:tc>
                <w:tcPr>
                  <w:tcW w:w="456" w:type="pct"/>
                  <w:shd w:val="clear" w:color="auto" w:fill="auto"/>
                  <w:noWrap w:val="0"/>
                  <w:vAlign w:val="center"/>
                </w:tcPr>
                <w:p w14:paraId="011B0C53">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1</w:t>
                  </w:r>
                </w:p>
              </w:tc>
              <w:tc>
                <w:tcPr>
                  <w:tcW w:w="961" w:type="pct"/>
                  <w:shd w:val="clear" w:color="auto" w:fill="auto"/>
                  <w:noWrap w:val="0"/>
                  <w:vAlign w:val="center"/>
                </w:tcPr>
                <w:p w14:paraId="45DDBC60">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HW10007</w:t>
                  </w:r>
                </w:p>
              </w:tc>
              <w:tc>
                <w:tcPr>
                  <w:tcW w:w="458" w:type="pct"/>
                  <w:shd w:val="clear" w:color="auto" w:fill="auto"/>
                  <w:noWrap w:val="0"/>
                  <w:vAlign w:val="center"/>
                </w:tcPr>
                <w:p w14:paraId="2251584F">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1</w:t>
                  </w:r>
                </w:p>
              </w:tc>
              <w:tc>
                <w:tcPr>
                  <w:tcW w:w="1191" w:type="pct"/>
                  <w:shd w:val="clear" w:color="auto" w:fill="auto"/>
                  <w:noWrap w:val="0"/>
                  <w:vAlign w:val="center"/>
                </w:tcPr>
                <w:p w14:paraId="4460E113">
                  <w:pPr>
                    <w:pStyle w:val="20"/>
                    <w:bidi w:val="0"/>
                    <w:rPr>
                      <w:rFonts w:hint="eastAsia"/>
                      <w:color w:val="auto"/>
                      <w:highlight w:val="none"/>
                      <w:lang w:val="en-US" w:eastAsia="zh-CN"/>
                    </w:rPr>
                  </w:pPr>
                  <w:r>
                    <w:rPr>
                      <w:rFonts w:hint="eastAsia"/>
                      <w:color w:val="auto"/>
                      <w:highlight w:val="none"/>
                      <w:lang w:val="en-US" w:eastAsia="zh-CN"/>
                    </w:rPr>
                    <w:t>/</w:t>
                  </w:r>
                </w:p>
              </w:tc>
            </w:tr>
            <w:tr w14:paraId="348BE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shd w:val="clear" w:color="auto" w:fill="auto"/>
                  <w:noWrap w:val="0"/>
                  <w:vAlign w:val="center"/>
                </w:tcPr>
                <w:p w14:paraId="53B80032">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9</w:t>
                  </w:r>
                </w:p>
              </w:tc>
              <w:tc>
                <w:tcPr>
                  <w:tcW w:w="661" w:type="pct"/>
                  <w:noWrap w:val="0"/>
                  <w:vAlign w:val="center"/>
                </w:tcPr>
                <w:p w14:paraId="5638DCCD">
                  <w:pPr>
                    <w:pStyle w:val="20"/>
                    <w:bidi w:val="0"/>
                    <w:jc w:val="center"/>
                    <w:rPr>
                      <w:rFonts w:hint="default"/>
                      <w:color w:val="auto"/>
                      <w:highlight w:val="none"/>
                      <w:lang w:val="en-US" w:eastAsia="zh-CN"/>
                    </w:rPr>
                  </w:pPr>
                  <w:r>
                    <w:rPr>
                      <w:rFonts w:hint="eastAsia"/>
                      <w:color w:val="auto"/>
                      <w:highlight w:val="none"/>
                      <w:lang w:val="en-US" w:eastAsia="zh-CN"/>
                    </w:rPr>
                    <w:t>行车</w:t>
                  </w:r>
                </w:p>
              </w:tc>
              <w:tc>
                <w:tcPr>
                  <w:tcW w:w="991" w:type="pct"/>
                  <w:shd w:val="clear" w:color="auto" w:fill="auto"/>
                  <w:noWrap w:val="0"/>
                  <w:vAlign w:val="center"/>
                </w:tcPr>
                <w:p w14:paraId="52CCC61C">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LD5t-13.5m-6m</w:t>
                  </w:r>
                </w:p>
              </w:tc>
              <w:tc>
                <w:tcPr>
                  <w:tcW w:w="456" w:type="pct"/>
                  <w:shd w:val="clear" w:color="auto" w:fill="auto"/>
                  <w:noWrap w:val="0"/>
                  <w:vAlign w:val="center"/>
                </w:tcPr>
                <w:p w14:paraId="406153D1">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1</w:t>
                  </w:r>
                </w:p>
              </w:tc>
              <w:tc>
                <w:tcPr>
                  <w:tcW w:w="961" w:type="pct"/>
                  <w:noWrap w:val="0"/>
                  <w:vAlign w:val="center"/>
                </w:tcPr>
                <w:p w14:paraId="7034F8AE">
                  <w:pPr>
                    <w:pStyle w:val="20"/>
                    <w:bidi w:val="0"/>
                    <w:jc w:val="center"/>
                    <w:rPr>
                      <w:rFonts w:hint="default"/>
                      <w:color w:val="auto"/>
                      <w:highlight w:val="none"/>
                      <w:lang w:val="en-US" w:eastAsia="zh-CN"/>
                    </w:rPr>
                  </w:pPr>
                  <w:r>
                    <w:rPr>
                      <w:rFonts w:hint="eastAsia"/>
                      <w:color w:val="auto"/>
                      <w:highlight w:val="none"/>
                      <w:lang w:val="en-US" w:eastAsia="zh-CN"/>
                    </w:rPr>
                    <w:t>LD5t-13.5m-6m</w:t>
                  </w:r>
                </w:p>
              </w:tc>
              <w:tc>
                <w:tcPr>
                  <w:tcW w:w="458" w:type="pct"/>
                  <w:noWrap w:val="0"/>
                  <w:vAlign w:val="center"/>
                </w:tcPr>
                <w:p w14:paraId="191923E9">
                  <w:pPr>
                    <w:pStyle w:val="20"/>
                    <w:bidi w:val="0"/>
                    <w:jc w:val="center"/>
                    <w:rPr>
                      <w:rFonts w:hint="default"/>
                      <w:color w:val="auto"/>
                      <w:highlight w:val="none"/>
                      <w:lang w:val="en-US" w:eastAsia="zh-CN"/>
                    </w:rPr>
                  </w:pPr>
                  <w:r>
                    <w:rPr>
                      <w:rFonts w:hint="eastAsia"/>
                      <w:color w:val="auto"/>
                      <w:highlight w:val="none"/>
                      <w:lang w:val="en-US" w:eastAsia="zh-CN"/>
                    </w:rPr>
                    <w:t>1</w:t>
                  </w:r>
                </w:p>
              </w:tc>
              <w:tc>
                <w:tcPr>
                  <w:tcW w:w="1191" w:type="pct"/>
                  <w:noWrap w:val="0"/>
                  <w:vAlign w:val="center"/>
                </w:tcPr>
                <w:p w14:paraId="6DC7AABF">
                  <w:pPr>
                    <w:pStyle w:val="20"/>
                    <w:bidi w:val="0"/>
                    <w:jc w:val="center"/>
                    <w:rPr>
                      <w:rFonts w:hint="eastAsia"/>
                      <w:color w:val="auto"/>
                      <w:highlight w:val="none"/>
                      <w:lang w:val="en-US" w:eastAsia="zh-CN"/>
                    </w:rPr>
                  </w:pPr>
                  <w:r>
                    <w:rPr>
                      <w:rFonts w:hint="eastAsia"/>
                      <w:color w:val="auto"/>
                      <w:highlight w:val="none"/>
                      <w:lang w:val="en-US" w:eastAsia="zh-CN"/>
                    </w:rPr>
                    <w:t>/</w:t>
                  </w:r>
                </w:p>
              </w:tc>
            </w:tr>
            <w:tr w14:paraId="4A555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shd w:val="clear" w:color="auto" w:fill="auto"/>
                  <w:noWrap w:val="0"/>
                  <w:vAlign w:val="center"/>
                </w:tcPr>
                <w:p w14:paraId="34B753B4">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10</w:t>
                  </w:r>
                </w:p>
              </w:tc>
              <w:tc>
                <w:tcPr>
                  <w:tcW w:w="661" w:type="pct"/>
                  <w:noWrap w:val="0"/>
                  <w:vAlign w:val="center"/>
                </w:tcPr>
                <w:p w14:paraId="08B22A16">
                  <w:pPr>
                    <w:pStyle w:val="20"/>
                    <w:bidi w:val="0"/>
                    <w:jc w:val="center"/>
                    <w:rPr>
                      <w:rFonts w:hint="default"/>
                      <w:color w:val="auto"/>
                      <w:highlight w:val="none"/>
                      <w:lang w:val="en-US" w:eastAsia="zh-CN"/>
                    </w:rPr>
                  </w:pPr>
                  <w:r>
                    <w:rPr>
                      <w:rFonts w:hint="eastAsia"/>
                      <w:color w:val="auto"/>
                      <w:highlight w:val="none"/>
                      <w:lang w:val="en-US" w:eastAsia="zh-CN"/>
                    </w:rPr>
                    <w:t>电动叉车</w:t>
                  </w:r>
                </w:p>
              </w:tc>
              <w:tc>
                <w:tcPr>
                  <w:tcW w:w="991" w:type="pct"/>
                  <w:shd w:val="clear" w:color="auto" w:fill="auto"/>
                  <w:noWrap w:val="0"/>
                  <w:vAlign w:val="center"/>
                </w:tcPr>
                <w:p w14:paraId="48AF20EE">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w:t>
                  </w:r>
                </w:p>
              </w:tc>
              <w:tc>
                <w:tcPr>
                  <w:tcW w:w="456" w:type="pct"/>
                  <w:shd w:val="clear" w:color="auto" w:fill="auto"/>
                  <w:noWrap w:val="0"/>
                  <w:vAlign w:val="center"/>
                </w:tcPr>
                <w:p w14:paraId="51F24C29">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w:t>
                  </w:r>
                </w:p>
              </w:tc>
              <w:tc>
                <w:tcPr>
                  <w:tcW w:w="961" w:type="pct"/>
                  <w:noWrap w:val="0"/>
                  <w:vAlign w:val="center"/>
                </w:tcPr>
                <w:p w14:paraId="4CB1C9DF">
                  <w:pPr>
                    <w:pStyle w:val="20"/>
                    <w:bidi w:val="0"/>
                    <w:jc w:val="center"/>
                    <w:rPr>
                      <w:rFonts w:hint="default"/>
                      <w:color w:val="auto"/>
                      <w:highlight w:val="none"/>
                      <w:lang w:val="en-US" w:eastAsia="zh-CN"/>
                    </w:rPr>
                  </w:pPr>
                  <w:r>
                    <w:rPr>
                      <w:rFonts w:hint="eastAsia"/>
                      <w:color w:val="auto"/>
                      <w:highlight w:val="none"/>
                      <w:lang w:val="en-US" w:eastAsia="zh-CN"/>
                    </w:rPr>
                    <w:t>/</w:t>
                  </w:r>
                </w:p>
              </w:tc>
              <w:tc>
                <w:tcPr>
                  <w:tcW w:w="458" w:type="pct"/>
                  <w:noWrap w:val="0"/>
                  <w:vAlign w:val="center"/>
                </w:tcPr>
                <w:p w14:paraId="14796AFA">
                  <w:pPr>
                    <w:pStyle w:val="20"/>
                    <w:bidi w:val="0"/>
                    <w:jc w:val="center"/>
                    <w:rPr>
                      <w:rFonts w:hint="default"/>
                      <w:color w:val="auto"/>
                      <w:highlight w:val="none"/>
                      <w:lang w:val="en-US" w:eastAsia="zh-CN"/>
                    </w:rPr>
                  </w:pPr>
                  <w:r>
                    <w:rPr>
                      <w:rFonts w:hint="eastAsia"/>
                      <w:color w:val="auto"/>
                      <w:highlight w:val="none"/>
                      <w:lang w:val="en-US" w:eastAsia="zh-CN"/>
                    </w:rPr>
                    <w:t>2</w:t>
                  </w:r>
                </w:p>
              </w:tc>
              <w:tc>
                <w:tcPr>
                  <w:tcW w:w="1191" w:type="pct"/>
                  <w:noWrap w:val="0"/>
                  <w:vAlign w:val="center"/>
                </w:tcPr>
                <w:p w14:paraId="18D13CE0">
                  <w:pPr>
                    <w:pStyle w:val="20"/>
                    <w:bidi w:val="0"/>
                    <w:jc w:val="center"/>
                    <w:rPr>
                      <w:rFonts w:hint="default"/>
                      <w:color w:val="auto"/>
                      <w:highlight w:val="none"/>
                      <w:lang w:val="en-US" w:eastAsia="zh-CN"/>
                    </w:rPr>
                  </w:pPr>
                  <w:r>
                    <w:rPr>
                      <w:rFonts w:hint="eastAsia"/>
                      <w:color w:val="auto"/>
                      <w:highlight w:val="none"/>
                      <w:lang w:val="en-US" w:eastAsia="zh-CN"/>
                    </w:rPr>
                    <w:t>物料运输</w:t>
                  </w:r>
                </w:p>
              </w:tc>
            </w:tr>
          </w:tbl>
          <w:p w14:paraId="36EE09BC">
            <w:pPr>
              <w:pStyle w:val="2"/>
              <w:keepNext w:val="0"/>
              <w:keepLines w:val="0"/>
              <w:suppressLineNumbers w:val="0"/>
              <w:bidi w:val="0"/>
              <w:spacing w:beforeAutospacing="0" w:after="0" w:afterAutospacing="0"/>
              <w:ind w:right="0"/>
              <w:rPr>
                <w:rFonts w:hint="eastAsia" w:eastAsia="宋体"/>
                <w:color w:val="auto"/>
                <w:highlight w:val="none"/>
                <w:lang w:val="en-US" w:eastAsia="zh-CN"/>
              </w:rPr>
            </w:pPr>
            <w:r>
              <w:rPr>
                <w:rFonts w:hint="eastAsia" w:eastAsia="宋体"/>
                <w:color w:val="auto"/>
                <w:highlight w:val="none"/>
                <w:lang w:val="en-US" w:eastAsia="zh-CN"/>
              </w:rPr>
              <w:t>现有工程污染物防治措施及污染物排放情况</w:t>
            </w:r>
          </w:p>
          <w:p w14:paraId="0DB90FE8">
            <w:pPr>
              <w:pStyle w:val="18"/>
              <w:bidi w:val="0"/>
              <w:rPr>
                <w:rFonts w:hint="default"/>
                <w:color w:val="auto"/>
                <w:highlight w:val="none"/>
                <w:lang w:val="en-US" w:eastAsia="zh-CN"/>
              </w:rPr>
            </w:pPr>
            <w:r>
              <w:rPr>
                <w:rFonts w:hint="eastAsia"/>
                <w:color w:val="auto"/>
                <w:highlight w:val="none"/>
                <w:lang w:val="en-US" w:eastAsia="zh-CN"/>
              </w:rPr>
              <w:t>现有项目生产工艺与扩建项目一致，无焊接工艺，本节不再复述。根据现有项目实际生产情况，结合扩建项目污染物源强核算过程，梳理现有工程污染物防治措施及污染物排放情况如下：</w:t>
            </w:r>
          </w:p>
          <w:p w14:paraId="160049B2">
            <w:pPr>
              <w:pStyle w:val="18"/>
              <w:rPr>
                <w:rFonts w:hint="eastAsia"/>
                <w:b/>
                <w:bCs/>
                <w:color w:val="auto"/>
                <w:highlight w:val="none"/>
                <w:lang w:eastAsia="zh-CN"/>
              </w:rPr>
            </w:pPr>
            <w:r>
              <w:rPr>
                <w:rFonts w:hint="eastAsia"/>
                <w:b/>
                <w:bCs/>
                <w:color w:val="auto"/>
                <w:highlight w:val="none"/>
                <w:lang w:val="en-US" w:eastAsia="zh-CN"/>
              </w:rPr>
              <w:t>1</w:t>
            </w:r>
            <w:r>
              <w:rPr>
                <w:rFonts w:hint="eastAsia"/>
                <w:b/>
                <w:bCs/>
                <w:color w:val="auto"/>
                <w:highlight w:val="none"/>
              </w:rPr>
              <w:t>）废气</w:t>
            </w:r>
          </w:p>
          <w:p w14:paraId="409B4E1B">
            <w:pPr>
              <w:pStyle w:val="18"/>
              <w:rPr>
                <w:rFonts w:hint="default"/>
                <w:color w:val="auto"/>
                <w:highlight w:val="none"/>
                <w:lang w:val="en-US" w:eastAsia="zh-CN"/>
              </w:rPr>
            </w:pPr>
            <w:r>
              <w:rPr>
                <w:rFonts w:hint="eastAsia"/>
                <w:color w:val="auto"/>
                <w:highlight w:val="none"/>
                <w:lang w:val="en-US" w:eastAsia="zh-CN"/>
              </w:rPr>
              <w:t>现有项目废气无组织排放，无实测数据，使用原料与扩建项目一致，废气污染物及污染物产污系数与扩建项目一致。则根据第四章节扩建项目污染物源强核算内容，按污染物产生量同比例核算现有项目污染物产生量如下表：</w:t>
            </w:r>
          </w:p>
          <w:p w14:paraId="55DDFF61">
            <w:pPr>
              <w:pStyle w:val="19"/>
              <w:bidi w:val="0"/>
              <w:rPr>
                <w:rFonts w:hint="eastAsia"/>
                <w:color w:val="auto"/>
                <w:highlight w:val="none"/>
                <w:lang w:val="en-US" w:eastAsia="zh-CN"/>
              </w:rPr>
            </w:pPr>
            <w:r>
              <w:rPr>
                <w:rFonts w:hint="default" w:ascii="Times New Roman" w:hAnsi="Times New Roman" w:cs="Times New Roman"/>
                <w:color w:val="auto"/>
                <w:highlight w:val="none"/>
              </w:rPr>
              <w:t>表2-</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SEQ 表2- \* ARABIC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11</w:t>
            </w:r>
            <w:r>
              <w:rPr>
                <w:rFonts w:hint="default" w:ascii="Times New Roman" w:hAnsi="Times New Roman" w:cs="Times New Roman"/>
                <w:color w:val="auto"/>
                <w:highlight w:val="none"/>
              </w:rPr>
              <w:fldChar w:fldCharType="end"/>
            </w:r>
            <w:r>
              <w:rPr>
                <w:rFonts w:hint="eastAsia" w:ascii="Times New Roman" w:hAnsi="Times New Roman" w:cs="Times New Roman"/>
                <w:color w:val="auto"/>
                <w:highlight w:val="none"/>
                <w:lang w:val="en-US" w:eastAsia="zh-CN"/>
              </w:rPr>
              <w:t xml:space="preserve">  </w:t>
            </w:r>
            <w:r>
              <w:rPr>
                <w:rFonts w:hint="eastAsia"/>
                <w:color w:val="auto"/>
                <w:highlight w:val="none"/>
                <w:lang w:val="en-US" w:eastAsia="zh-CN"/>
              </w:rPr>
              <w:t>现有项目废气污染物产生情况一览表</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38"/>
              <w:gridCol w:w="1237"/>
              <w:gridCol w:w="1407"/>
              <w:gridCol w:w="1087"/>
              <w:gridCol w:w="1400"/>
              <w:gridCol w:w="2056"/>
            </w:tblGrid>
            <w:tr w14:paraId="624E3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683" w:type="pct"/>
                  <w:shd w:val="clear" w:color="auto" w:fill="auto"/>
                  <w:vAlign w:val="center"/>
                </w:tcPr>
                <w:p w14:paraId="1EF75AB6">
                  <w:pPr>
                    <w:pStyle w:val="20"/>
                    <w:keepNext w:val="0"/>
                    <w:keepLines w:val="0"/>
                    <w:pageBreakBefore w:val="0"/>
                    <w:widowControl/>
                    <w:kinsoku w:val="0"/>
                    <w:wordWrap w:val="0"/>
                    <w:overflowPunct/>
                    <w:topLinePunct w:val="0"/>
                    <w:autoSpaceDE/>
                    <w:autoSpaceDN/>
                    <w:bidi w:val="0"/>
                    <w:adjustRightInd/>
                    <w:snapToGrid/>
                    <w:textAlignment w:val="auto"/>
                    <w:rPr>
                      <w:rFonts w:hint="default"/>
                      <w:b/>
                      <w:bCs/>
                      <w:color w:val="auto"/>
                      <w:highlight w:val="none"/>
                      <w:lang w:val="en-US" w:eastAsia="zh-CN"/>
                    </w:rPr>
                  </w:pPr>
                  <w:r>
                    <w:rPr>
                      <w:rFonts w:hint="eastAsia"/>
                      <w:b/>
                      <w:bCs/>
                      <w:color w:val="auto"/>
                      <w:highlight w:val="none"/>
                      <w:lang w:val="en-US" w:eastAsia="zh-CN"/>
                    </w:rPr>
                    <w:t>废气类别</w:t>
                  </w:r>
                </w:p>
              </w:tc>
              <w:tc>
                <w:tcPr>
                  <w:tcW w:w="742" w:type="pct"/>
                  <w:shd w:val="clear" w:color="auto" w:fill="auto"/>
                  <w:vAlign w:val="center"/>
                </w:tcPr>
                <w:p w14:paraId="10C72F1F">
                  <w:pPr>
                    <w:pStyle w:val="20"/>
                    <w:keepNext w:val="0"/>
                    <w:keepLines w:val="0"/>
                    <w:pageBreakBefore w:val="0"/>
                    <w:widowControl/>
                    <w:kinsoku w:val="0"/>
                    <w:wordWrap w:val="0"/>
                    <w:overflowPunct/>
                    <w:topLinePunct w:val="0"/>
                    <w:autoSpaceDE/>
                    <w:autoSpaceDN/>
                    <w:bidi w:val="0"/>
                    <w:adjustRightInd/>
                    <w:snapToGrid/>
                    <w:textAlignment w:val="auto"/>
                    <w:rPr>
                      <w:rFonts w:hint="default"/>
                      <w:b/>
                      <w:bCs/>
                      <w:color w:val="auto"/>
                      <w:highlight w:val="none"/>
                      <w:lang w:val="en-US" w:eastAsia="zh-CN"/>
                    </w:rPr>
                  </w:pPr>
                  <w:r>
                    <w:rPr>
                      <w:rFonts w:hint="eastAsia"/>
                      <w:b/>
                      <w:bCs/>
                      <w:color w:val="auto"/>
                      <w:highlight w:val="none"/>
                      <w:lang w:val="en-US" w:eastAsia="zh-CN"/>
                    </w:rPr>
                    <w:t>原料种类</w:t>
                  </w:r>
                </w:p>
              </w:tc>
              <w:tc>
                <w:tcPr>
                  <w:tcW w:w="845" w:type="pct"/>
                  <w:shd w:val="clear" w:color="auto" w:fill="auto"/>
                  <w:noWrap/>
                  <w:vAlign w:val="center"/>
                </w:tcPr>
                <w:p w14:paraId="3A494ED3">
                  <w:pPr>
                    <w:pStyle w:val="20"/>
                    <w:keepNext w:val="0"/>
                    <w:keepLines w:val="0"/>
                    <w:pageBreakBefore w:val="0"/>
                    <w:widowControl/>
                    <w:kinsoku w:val="0"/>
                    <w:wordWrap w:val="0"/>
                    <w:overflowPunct/>
                    <w:topLinePunct w:val="0"/>
                    <w:autoSpaceDE/>
                    <w:autoSpaceDN/>
                    <w:bidi w:val="0"/>
                    <w:adjustRightInd/>
                    <w:snapToGrid/>
                    <w:textAlignment w:val="auto"/>
                    <w:rPr>
                      <w:rFonts w:hint="default"/>
                      <w:b/>
                      <w:bCs/>
                      <w:color w:val="auto"/>
                      <w:highlight w:val="none"/>
                      <w:lang w:val="en-US" w:eastAsia="zh-CN"/>
                    </w:rPr>
                  </w:pPr>
                  <w:r>
                    <w:rPr>
                      <w:rFonts w:hint="eastAsia"/>
                      <w:b/>
                      <w:bCs/>
                      <w:color w:val="auto"/>
                      <w:highlight w:val="none"/>
                      <w:lang w:val="en-US" w:eastAsia="zh-CN"/>
                    </w:rPr>
                    <w:t>现有项目产能</w:t>
                  </w:r>
                  <w:r>
                    <w:rPr>
                      <w:rFonts w:hint="default"/>
                      <w:b/>
                      <w:bCs/>
                      <w:color w:val="auto"/>
                      <w:highlight w:val="none"/>
                      <w:lang w:val="en-US" w:eastAsia="zh-CN"/>
                    </w:rPr>
                    <w:t>t</w:t>
                  </w:r>
                </w:p>
              </w:tc>
              <w:tc>
                <w:tcPr>
                  <w:tcW w:w="652" w:type="pct"/>
                  <w:shd w:val="clear" w:color="auto" w:fill="auto"/>
                  <w:noWrap/>
                  <w:vAlign w:val="center"/>
                </w:tcPr>
                <w:p w14:paraId="34D39720">
                  <w:pPr>
                    <w:pStyle w:val="20"/>
                    <w:keepNext w:val="0"/>
                    <w:keepLines w:val="0"/>
                    <w:pageBreakBefore w:val="0"/>
                    <w:widowControl/>
                    <w:kinsoku w:val="0"/>
                    <w:wordWrap w:val="0"/>
                    <w:overflowPunct/>
                    <w:topLinePunct w:val="0"/>
                    <w:autoSpaceDE/>
                    <w:autoSpaceDN/>
                    <w:bidi w:val="0"/>
                    <w:adjustRightInd/>
                    <w:snapToGrid/>
                    <w:textAlignment w:val="auto"/>
                    <w:rPr>
                      <w:rFonts w:hint="eastAsia"/>
                      <w:b/>
                      <w:bCs/>
                      <w:color w:val="auto"/>
                      <w:highlight w:val="none"/>
                      <w:lang w:val="en-US" w:eastAsia="zh-CN"/>
                    </w:rPr>
                  </w:pPr>
                  <w:r>
                    <w:rPr>
                      <w:rFonts w:hint="eastAsia"/>
                      <w:b/>
                      <w:bCs/>
                      <w:color w:val="auto"/>
                      <w:highlight w:val="none"/>
                      <w:lang w:val="en-US" w:eastAsia="zh-CN"/>
                    </w:rPr>
                    <w:t>扩建后产能</w:t>
                  </w:r>
                  <w:r>
                    <w:rPr>
                      <w:rFonts w:hint="default"/>
                      <w:b/>
                      <w:bCs/>
                      <w:color w:val="auto"/>
                      <w:highlight w:val="none"/>
                      <w:lang w:val="en-US" w:eastAsia="zh-CN"/>
                    </w:rPr>
                    <w:t>t</w:t>
                  </w:r>
                </w:p>
              </w:tc>
              <w:tc>
                <w:tcPr>
                  <w:tcW w:w="840" w:type="pct"/>
                  <w:shd w:val="clear" w:color="auto" w:fill="auto"/>
                  <w:noWrap/>
                  <w:vAlign w:val="center"/>
                </w:tcPr>
                <w:p w14:paraId="4F49A942">
                  <w:pPr>
                    <w:pStyle w:val="20"/>
                    <w:keepNext w:val="0"/>
                    <w:keepLines w:val="0"/>
                    <w:pageBreakBefore w:val="0"/>
                    <w:widowControl/>
                    <w:kinsoku w:val="0"/>
                    <w:wordWrap w:val="0"/>
                    <w:overflowPunct/>
                    <w:topLinePunct w:val="0"/>
                    <w:autoSpaceDE/>
                    <w:autoSpaceDN/>
                    <w:bidi w:val="0"/>
                    <w:adjustRightInd/>
                    <w:snapToGrid/>
                    <w:textAlignment w:val="auto"/>
                    <w:rPr>
                      <w:rFonts w:hint="eastAsia"/>
                      <w:b/>
                      <w:bCs/>
                      <w:color w:val="auto"/>
                      <w:highlight w:val="none"/>
                      <w:lang w:val="en-US" w:eastAsia="zh-CN"/>
                    </w:rPr>
                  </w:pPr>
                  <w:r>
                    <w:rPr>
                      <w:rFonts w:hint="eastAsia"/>
                      <w:b/>
                      <w:bCs/>
                      <w:color w:val="auto"/>
                      <w:highlight w:val="none"/>
                      <w:lang w:val="en-US" w:eastAsia="zh-CN"/>
                    </w:rPr>
                    <w:t>污染物</w:t>
                  </w:r>
                </w:p>
              </w:tc>
              <w:tc>
                <w:tcPr>
                  <w:tcW w:w="1234" w:type="pct"/>
                  <w:shd w:val="clear" w:color="auto" w:fill="auto"/>
                  <w:noWrap/>
                  <w:vAlign w:val="center"/>
                </w:tcPr>
                <w:p w14:paraId="2D50AA3D">
                  <w:pPr>
                    <w:pStyle w:val="20"/>
                    <w:keepNext w:val="0"/>
                    <w:keepLines w:val="0"/>
                    <w:pageBreakBefore w:val="0"/>
                    <w:widowControl/>
                    <w:kinsoku w:val="0"/>
                    <w:wordWrap w:val="0"/>
                    <w:overflowPunct/>
                    <w:topLinePunct w:val="0"/>
                    <w:autoSpaceDE/>
                    <w:autoSpaceDN/>
                    <w:bidi w:val="0"/>
                    <w:adjustRightInd/>
                    <w:snapToGrid/>
                    <w:textAlignment w:val="auto"/>
                    <w:rPr>
                      <w:rFonts w:hint="eastAsia"/>
                      <w:b/>
                      <w:bCs/>
                      <w:color w:val="auto"/>
                      <w:highlight w:val="none"/>
                      <w:lang w:val="en-US" w:eastAsia="zh-CN"/>
                    </w:rPr>
                  </w:pPr>
                  <w:r>
                    <w:rPr>
                      <w:rFonts w:hint="eastAsia"/>
                      <w:b/>
                      <w:bCs/>
                      <w:color w:val="auto"/>
                      <w:highlight w:val="none"/>
                      <w:lang w:val="en-US" w:eastAsia="zh-CN"/>
                    </w:rPr>
                    <w:t>现有项目污染物产生量</w:t>
                  </w:r>
                  <w:r>
                    <w:rPr>
                      <w:rFonts w:hint="default"/>
                      <w:b/>
                      <w:bCs/>
                      <w:color w:val="auto"/>
                      <w:highlight w:val="none"/>
                      <w:lang w:val="en-US" w:eastAsia="zh-CN"/>
                    </w:rPr>
                    <w:t>t/a</w:t>
                  </w:r>
                </w:p>
              </w:tc>
            </w:tr>
            <w:tr w14:paraId="301EE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3" w:type="pct"/>
                  <w:vMerge w:val="restart"/>
                  <w:shd w:val="clear" w:color="auto" w:fill="auto"/>
                  <w:vAlign w:val="center"/>
                </w:tcPr>
                <w:p w14:paraId="66B2C953">
                  <w:pPr>
                    <w:pStyle w:val="20"/>
                    <w:keepNext w:val="0"/>
                    <w:keepLines w:val="0"/>
                    <w:pageBreakBefore w:val="0"/>
                    <w:widowControl/>
                    <w:kinsoku w:val="0"/>
                    <w:wordWrap w:val="0"/>
                    <w:overflowPunct/>
                    <w:topLinePunct w:val="0"/>
                    <w:autoSpaceDE/>
                    <w:autoSpaceDN/>
                    <w:bidi w:val="0"/>
                    <w:adjustRightInd/>
                    <w:snapToGrid/>
                    <w:textAlignment w:val="auto"/>
                    <w:rPr>
                      <w:rFonts w:hint="default"/>
                      <w:color w:val="auto"/>
                      <w:highlight w:val="none"/>
                      <w:lang w:val="en-US" w:eastAsia="zh-CN"/>
                    </w:rPr>
                  </w:pPr>
                  <w:r>
                    <w:rPr>
                      <w:rFonts w:hint="eastAsia"/>
                      <w:color w:val="auto"/>
                      <w:highlight w:val="none"/>
                      <w:lang w:val="en-US" w:eastAsia="zh-CN"/>
                    </w:rPr>
                    <w:t>注塑废气</w:t>
                  </w:r>
                </w:p>
              </w:tc>
              <w:tc>
                <w:tcPr>
                  <w:tcW w:w="742" w:type="pct"/>
                  <w:vMerge w:val="restart"/>
                  <w:shd w:val="clear" w:color="auto" w:fill="auto"/>
                  <w:vAlign w:val="center"/>
                </w:tcPr>
                <w:p w14:paraId="572395EC">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rPr>
                  </w:pPr>
                  <w:r>
                    <w:rPr>
                      <w:rFonts w:hint="default"/>
                      <w:color w:val="auto"/>
                      <w:highlight w:val="none"/>
                      <w:lang w:val="en-US" w:eastAsia="zh-CN"/>
                    </w:rPr>
                    <w:t>ABS</w:t>
                  </w:r>
                </w:p>
              </w:tc>
              <w:tc>
                <w:tcPr>
                  <w:tcW w:w="845" w:type="pct"/>
                  <w:vMerge w:val="restart"/>
                  <w:shd w:val="clear" w:color="auto" w:fill="auto"/>
                  <w:noWrap/>
                  <w:vAlign w:val="center"/>
                </w:tcPr>
                <w:p w14:paraId="36BC1007">
                  <w:pPr>
                    <w:pStyle w:val="20"/>
                    <w:keepNext w:val="0"/>
                    <w:keepLines w:val="0"/>
                    <w:pageBreakBefore w:val="0"/>
                    <w:widowControl/>
                    <w:kinsoku w:val="0"/>
                    <w:wordWrap w:val="0"/>
                    <w:overflowPunct/>
                    <w:topLinePunct w:val="0"/>
                    <w:autoSpaceDE/>
                    <w:autoSpaceDN/>
                    <w:bidi w:val="0"/>
                    <w:adjustRightInd/>
                    <w:snapToGrid/>
                    <w:textAlignment w:val="auto"/>
                    <w:rPr>
                      <w:rFonts w:hint="default"/>
                      <w:color w:val="auto"/>
                      <w:highlight w:val="none"/>
                      <w:lang w:val="en-US"/>
                    </w:rPr>
                  </w:pPr>
                  <w:r>
                    <w:rPr>
                      <w:rFonts w:hint="default"/>
                      <w:color w:val="auto"/>
                      <w:highlight w:val="none"/>
                      <w:lang w:val="en-US" w:eastAsia="zh-CN"/>
                    </w:rPr>
                    <w:t>24.8</w:t>
                  </w:r>
                </w:p>
              </w:tc>
              <w:tc>
                <w:tcPr>
                  <w:tcW w:w="652" w:type="pct"/>
                  <w:vMerge w:val="restart"/>
                  <w:shd w:val="clear" w:color="auto" w:fill="auto"/>
                  <w:noWrap/>
                  <w:vAlign w:val="center"/>
                </w:tcPr>
                <w:p w14:paraId="0A935A8E">
                  <w:pPr>
                    <w:pStyle w:val="20"/>
                    <w:keepNext w:val="0"/>
                    <w:keepLines w:val="0"/>
                    <w:pageBreakBefore w:val="0"/>
                    <w:widowControl/>
                    <w:kinsoku w:val="0"/>
                    <w:wordWrap w:val="0"/>
                    <w:overflowPunct/>
                    <w:topLinePunct w:val="0"/>
                    <w:autoSpaceDE/>
                    <w:autoSpaceDN/>
                    <w:bidi w:val="0"/>
                    <w:adjustRightInd/>
                    <w:snapToGrid/>
                    <w:textAlignment w:val="auto"/>
                    <w:rPr>
                      <w:rFonts w:hint="default"/>
                      <w:color w:val="auto"/>
                      <w:highlight w:val="none"/>
                      <w:lang w:val="en-US" w:eastAsia="zh-CN"/>
                    </w:rPr>
                  </w:pPr>
                  <w:r>
                    <w:rPr>
                      <w:rFonts w:hint="default"/>
                      <w:color w:val="auto"/>
                      <w:highlight w:val="none"/>
                      <w:lang w:val="en-US" w:eastAsia="zh-CN"/>
                    </w:rPr>
                    <w:t>251.6</w:t>
                  </w:r>
                </w:p>
              </w:tc>
              <w:tc>
                <w:tcPr>
                  <w:tcW w:w="840" w:type="pct"/>
                  <w:shd w:val="clear" w:color="auto" w:fill="auto"/>
                  <w:noWrap/>
                  <w:vAlign w:val="center"/>
                </w:tcPr>
                <w:p w14:paraId="5CC8876A">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非甲烷总烃</w:t>
                  </w:r>
                </w:p>
              </w:tc>
              <w:tc>
                <w:tcPr>
                  <w:tcW w:w="1234" w:type="pct"/>
                  <w:shd w:val="clear" w:color="auto" w:fill="auto"/>
                  <w:noWrap/>
                  <w:vAlign w:val="center"/>
                </w:tcPr>
                <w:p w14:paraId="09156868">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0.0669</w:t>
                  </w:r>
                </w:p>
              </w:tc>
            </w:tr>
            <w:tr w14:paraId="0805D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3" w:type="pct"/>
                  <w:vMerge w:val="continue"/>
                  <w:shd w:val="clear" w:color="auto" w:fill="auto"/>
                  <w:vAlign w:val="center"/>
                </w:tcPr>
                <w:p w14:paraId="243450AF">
                  <w:pPr>
                    <w:pStyle w:val="20"/>
                    <w:keepNext w:val="0"/>
                    <w:keepLines w:val="0"/>
                    <w:pageBreakBefore w:val="0"/>
                    <w:widowControl/>
                    <w:kinsoku w:val="0"/>
                    <w:wordWrap w:val="0"/>
                    <w:overflowPunct/>
                    <w:topLinePunct w:val="0"/>
                    <w:autoSpaceDE/>
                    <w:autoSpaceDN/>
                    <w:bidi w:val="0"/>
                    <w:adjustRightInd/>
                    <w:snapToGrid/>
                    <w:textAlignment w:val="auto"/>
                    <w:rPr>
                      <w:rFonts w:hint="default"/>
                      <w:color w:val="auto"/>
                      <w:highlight w:val="none"/>
                      <w:lang w:val="en-US" w:eastAsia="zh-CN"/>
                    </w:rPr>
                  </w:pPr>
                </w:p>
              </w:tc>
              <w:tc>
                <w:tcPr>
                  <w:tcW w:w="742" w:type="pct"/>
                  <w:vMerge w:val="continue"/>
                  <w:shd w:val="clear" w:color="auto" w:fill="auto"/>
                  <w:vAlign w:val="center"/>
                </w:tcPr>
                <w:p w14:paraId="600A0A7E">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rPr>
                  </w:pPr>
                </w:p>
              </w:tc>
              <w:tc>
                <w:tcPr>
                  <w:tcW w:w="845" w:type="pct"/>
                  <w:vMerge w:val="continue"/>
                  <w:shd w:val="clear" w:color="auto" w:fill="auto"/>
                  <w:noWrap/>
                  <w:vAlign w:val="center"/>
                </w:tcPr>
                <w:p w14:paraId="033A3FF1">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rPr>
                  </w:pPr>
                </w:p>
              </w:tc>
              <w:tc>
                <w:tcPr>
                  <w:tcW w:w="652" w:type="pct"/>
                  <w:vMerge w:val="continue"/>
                  <w:shd w:val="clear" w:color="auto" w:fill="auto"/>
                  <w:noWrap/>
                  <w:vAlign w:val="center"/>
                </w:tcPr>
                <w:p w14:paraId="25C96DB6">
                  <w:pPr>
                    <w:pStyle w:val="20"/>
                    <w:keepNext w:val="0"/>
                    <w:keepLines w:val="0"/>
                    <w:pageBreakBefore w:val="0"/>
                    <w:widowControl/>
                    <w:kinsoku w:val="0"/>
                    <w:wordWrap w:val="0"/>
                    <w:overflowPunct/>
                    <w:topLinePunct w:val="0"/>
                    <w:autoSpaceDE/>
                    <w:autoSpaceDN/>
                    <w:bidi w:val="0"/>
                    <w:adjustRightInd/>
                    <w:snapToGrid/>
                    <w:textAlignment w:val="auto"/>
                    <w:rPr>
                      <w:rFonts w:hint="default"/>
                      <w:color w:val="auto"/>
                      <w:highlight w:val="none"/>
                      <w:lang w:val="en-US" w:eastAsia="zh-CN"/>
                    </w:rPr>
                  </w:pPr>
                </w:p>
              </w:tc>
              <w:tc>
                <w:tcPr>
                  <w:tcW w:w="840" w:type="pct"/>
                  <w:shd w:val="clear" w:color="auto" w:fill="auto"/>
                  <w:noWrap/>
                  <w:vAlign w:val="center"/>
                </w:tcPr>
                <w:p w14:paraId="5E58CD39">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苯乙烯</w:t>
                  </w:r>
                </w:p>
              </w:tc>
              <w:tc>
                <w:tcPr>
                  <w:tcW w:w="1234" w:type="pct"/>
                  <w:shd w:val="clear" w:color="auto" w:fill="auto"/>
                  <w:noWrap/>
                  <w:vAlign w:val="center"/>
                </w:tcPr>
                <w:p w14:paraId="69FF322D">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0.0285</w:t>
                  </w:r>
                </w:p>
              </w:tc>
            </w:tr>
            <w:tr w14:paraId="440F1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3" w:type="pct"/>
                  <w:vMerge w:val="continue"/>
                  <w:shd w:val="clear" w:color="auto" w:fill="auto"/>
                  <w:vAlign w:val="center"/>
                </w:tcPr>
                <w:p w14:paraId="7FB52CFE">
                  <w:pPr>
                    <w:pStyle w:val="20"/>
                    <w:keepNext w:val="0"/>
                    <w:keepLines w:val="0"/>
                    <w:pageBreakBefore w:val="0"/>
                    <w:widowControl/>
                    <w:kinsoku w:val="0"/>
                    <w:wordWrap w:val="0"/>
                    <w:overflowPunct/>
                    <w:topLinePunct w:val="0"/>
                    <w:autoSpaceDE/>
                    <w:autoSpaceDN/>
                    <w:bidi w:val="0"/>
                    <w:adjustRightInd/>
                    <w:snapToGrid/>
                    <w:textAlignment w:val="auto"/>
                    <w:rPr>
                      <w:rFonts w:hint="default"/>
                      <w:color w:val="auto"/>
                      <w:highlight w:val="none"/>
                      <w:lang w:val="en-US" w:eastAsia="zh-CN"/>
                    </w:rPr>
                  </w:pPr>
                </w:p>
              </w:tc>
              <w:tc>
                <w:tcPr>
                  <w:tcW w:w="742" w:type="pct"/>
                  <w:vMerge w:val="continue"/>
                  <w:shd w:val="clear" w:color="auto" w:fill="auto"/>
                  <w:vAlign w:val="center"/>
                </w:tcPr>
                <w:p w14:paraId="633853CA">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rPr>
                  </w:pPr>
                </w:p>
              </w:tc>
              <w:tc>
                <w:tcPr>
                  <w:tcW w:w="845" w:type="pct"/>
                  <w:vMerge w:val="continue"/>
                  <w:shd w:val="clear" w:color="auto" w:fill="auto"/>
                  <w:noWrap/>
                  <w:vAlign w:val="center"/>
                </w:tcPr>
                <w:p w14:paraId="1F8A9146">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rPr>
                  </w:pPr>
                </w:p>
              </w:tc>
              <w:tc>
                <w:tcPr>
                  <w:tcW w:w="652" w:type="pct"/>
                  <w:vMerge w:val="continue"/>
                  <w:shd w:val="clear" w:color="auto" w:fill="auto"/>
                  <w:noWrap/>
                  <w:vAlign w:val="center"/>
                </w:tcPr>
                <w:p w14:paraId="46B44DD6">
                  <w:pPr>
                    <w:pStyle w:val="20"/>
                    <w:keepNext w:val="0"/>
                    <w:keepLines w:val="0"/>
                    <w:pageBreakBefore w:val="0"/>
                    <w:widowControl/>
                    <w:kinsoku w:val="0"/>
                    <w:wordWrap w:val="0"/>
                    <w:overflowPunct/>
                    <w:topLinePunct w:val="0"/>
                    <w:autoSpaceDE/>
                    <w:autoSpaceDN/>
                    <w:bidi w:val="0"/>
                    <w:adjustRightInd/>
                    <w:snapToGrid/>
                    <w:textAlignment w:val="auto"/>
                    <w:rPr>
                      <w:rFonts w:hint="default"/>
                      <w:color w:val="auto"/>
                      <w:highlight w:val="none"/>
                      <w:lang w:val="en-US" w:eastAsia="zh-CN"/>
                    </w:rPr>
                  </w:pPr>
                </w:p>
              </w:tc>
              <w:tc>
                <w:tcPr>
                  <w:tcW w:w="840" w:type="pct"/>
                  <w:shd w:val="clear" w:color="auto" w:fill="auto"/>
                  <w:noWrap/>
                  <w:vAlign w:val="center"/>
                </w:tcPr>
                <w:p w14:paraId="3FD6D986">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丙烯腈</w:t>
                  </w:r>
                </w:p>
              </w:tc>
              <w:tc>
                <w:tcPr>
                  <w:tcW w:w="1234" w:type="pct"/>
                  <w:shd w:val="clear" w:color="auto" w:fill="auto"/>
                  <w:noWrap/>
                  <w:vAlign w:val="center"/>
                </w:tcPr>
                <w:p w14:paraId="4677A13E">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0.0013</w:t>
                  </w:r>
                </w:p>
              </w:tc>
            </w:tr>
            <w:tr w14:paraId="366F9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3" w:type="pct"/>
                  <w:vMerge w:val="continue"/>
                  <w:shd w:val="clear" w:color="auto" w:fill="auto"/>
                  <w:vAlign w:val="center"/>
                </w:tcPr>
                <w:p w14:paraId="2B3EF6DD">
                  <w:pPr>
                    <w:pStyle w:val="20"/>
                    <w:keepNext w:val="0"/>
                    <w:keepLines w:val="0"/>
                    <w:pageBreakBefore w:val="0"/>
                    <w:widowControl/>
                    <w:kinsoku w:val="0"/>
                    <w:wordWrap w:val="0"/>
                    <w:overflowPunct/>
                    <w:topLinePunct w:val="0"/>
                    <w:autoSpaceDE/>
                    <w:autoSpaceDN/>
                    <w:bidi w:val="0"/>
                    <w:adjustRightInd/>
                    <w:snapToGrid/>
                    <w:textAlignment w:val="auto"/>
                    <w:rPr>
                      <w:rFonts w:hint="default"/>
                      <w:color w:val="auto"/>
                      <w:highlight w:val="none"/>
                      <w:lang w:val="en-US" w:eastAsia="zh-CN"/>
                    </w:rPr>
                  </w:pPr>
                </w:p>
              </w:tc>
              <w:tc>
                <w:tcPr>
                  <w:tcW w:w="742" w:type="pct"/>
                  <w:vMerge w:val="continue"/>
                  <w:shd w:val="clear" w:color="auto" w:fill="auto"/>
                  <w:vAlign w:val="center"/>
                </w:tcPr>
                <w:p w14:paraId="05A53B07">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rPr>
                  </w:pPr>
                </w:p>
              </w:tc>
              <w:tc>
                <w:tcPr>
                  <w:tcW w:w="845" w:type="pct"/>
                  <w:vMerge w:val="continue"/>
                  <w:shd w:val="clear" w:color="auto" w:fill="auto"/>
                  <w:noWrap/>
                  <w:vAlign w:val="center"/>
                </w:tcPr>
                <w:p w14:paraId="17B95B57">
                  <w:pPr>
                    <w:pStyle w:val="20"/>
                    <w:keepNext w:val="0"/>
                    <w:keepLines w:val="0"/>
                    <w:pageBreakBefore w:val="0"/>
                    <w:widowControl/>
                    <w:kinsoku w:val="0"/>
                    <w:wordWrap w:val="0"/>
                    <w:overflowPunct/>
                    <w:topLinePunct w:val="0"/>
                    <w:autoSpaceDE/>
                    <w:autoSpaceDN/>
                    <w:bidi w:val="0"/>
                    <w:adjustRightInd/>
                    <w:snapToGrid/>
                    <w:textAlignment w:val="auto"/>
                    <w:rPr>
                      <w:rFonts w:hint="default"/>
                      <w:color w:val="auto"/>
                      <w:highlight w:val="none"/>
                      <w:lang w:val="en-US"/>
                    </w:rPr>
                  </w:pPr>
                </w:p>
              </w:tc>
              <w:tc>
                <w:tcPr>
                  <w:tcW w:w="652" w:type="pct"/>
                  <w:vMerge w:val="continue"/>
                  <w:shd w:val="clear" w:color="auto" w:fill="auto"/>
                  <w:noWrap/>
                  <w:vAlign w:val="center"/>
                </w:tcPr>
                <w:p w14:paraId="1E489EF9">
                  <w:pPr>
                    <w:pStyle w:val="20"/>
                    <w:keepNext w:val="0"/>
                    <w:keepLines w:val="0"/>
                    <w:pageBreakBefore w:val="0"/>
                    <w:widowControl/>
                    <w:kinsoku w:val="0"/>
                    <w:wordWrap w:val="0"/>
                    <w:overflowPunct/>
                    <w:topLinePunct w:val="0"/>
                    <w:autoSpaceDE/>
                    <w:autoSpaceDN/>
                    <w:bidi w:val="0"/>
                    <w:adjustRightInd/>
                    <w:snapToGrid/>
                    <w:textAlignment w:val="auto"/>
                    <w:rPr>
                      <w:rFonts w:hint="default"/>
                      <w:color w:val="auto"/>
                      <w:highlight w:val="none"/>
                      <w:lang w:val="en-US" w:eastAsia="zh-CN"/>
                    </w:rPr>
                  </w:pPr>
                </w:p>
              </w:tc>
              <w:tc>
                <w:tcPr>
                  <w:tcW w:w="840" w:type="pct"/>
                  <w:shd w:val="clear" w:color="auto" w:fill="auto"/>
                  <w:noWrap/>
                  <w:vAlign w:val="center"/>
                </w:tcPr>
                <w:p w14:paraId="3FCD5FE9">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甲苯</w:t>
                  </w:r>
                </w:p>
              </w:tc>
              <w:tc>
                <w:tcPr>
                  <w:tcW w:w="1234" w:type="pct"/>
                  <w:shd w:val="clear" w:color="auto" w:fill="auto"/>
                  <w:noWrap/>
                  <w:vAlign w:val="center"/>
                </w:tcPr>
                <w:p w14:paraId="1E0E99F5">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0.0008</w:t>
                  </w:r>
                </w:p>
              </w:tc>
            </w:tr>
            <w:tr w14:paraId="7A5F6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3" w:type="pct"/>
                  <w:vMerge w:val="continue"/>
                  <w:shd w:val="clear" w:color="auto" w:fill="auto"/>
                  <w:vAlign w:val="center"/>
                </w:tcPr>
                <w:p w14:paraId="637BB111">
                  <w:pPr>
                    <w:pStyle w:val="20"/>
                    <w:keepNext w:val="0"/>
                    <w:keepLines w:val="0"/>
                    <w:pageBreakBefore w:val="0"/>
                    <w:widowControl/>
                    <w:kinsoku w:val="0"/>
                    <w:wordWrap w:val="0"/>
                    <w:overflowPunct/>
                    <w:topLinePunct w:val="0"/>
                    <w:autoSpaceDE/>
                    <w:autoSpaceDN/>
                    <w:bidi w:val="0"/>
                    <w:adjustRightInd/>
                    <w:snapToGrid/>
                    <w:textAlignment w:val="auto"/>
                    <w:rPr>
                      <w:rFonts w:hint="default"/>
                      <w:color w:val="auto"/>
                      <w:highlight w:val="none"/>
                      <w:lang w:val="en-US" w:eastAsia="zh-CN"/>
                    </w:rPr>
                  </w:pPr>
                </w:p>
              </w:tc>
              <w:tc>
                <w:tcPr>
                  <w:tcW w:w="742" w:type="pct"/>
                  <w:vMerge w:val="continue"/>
                  <w:shd w:val="clear" w:color="auto" w:fill="auto"/>
                  <w:vAlign w:val="center"/>
                </w:tcPr>
                <w:p w14:paraId="13AE87C0">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rPr>
                  </w:pPr>
                </w:p>
              </w:tc>
              <w:tc>
                <w:tcPr>
                  <w:tcW w:w="845" w:type="pct"/>
                  <w:vMerge w:val="continue"/>
                  <w:shd w:val="clear" w:color="auto" w:fill="auto"/>
                  <w:noWrap/>
                  <w:vAlign w:val="center"/>
                </w:tcPr>
                <w:p w14:paraId="23AD0E02">
                  <w:pPr>
                    <w:pStyle w:val="20"/>
                    <w:keepNext w:val="0"/>
                    <w:keepLines w:val="0"/>
                    <w:pageBreakBefore w:val="0"/>
                    <w:widowControl/>
                    <w:kinsoku w:val="0"/>
                    <w:wordWrap w:val="0"/>
                    <w:overflowPunct/>
                    <w:topLinePunct w:val="0"/>
                    <w:autoSpaceDE/>
                    <w:autoSpaceDN/>
                    <w:bidi w:val="0"/>
                    <w:adjustRightInd/>
                    <w:snapToGrid/>
                    <w:textAlignment w:val="auto"/>
                    <w:rPr>
                      <w:rFonts w:hint="default"/>
                      <w:color w:val="auto"/>
                      <w:highlight w:val="none"/>
                      <w:lang w:val="en-US"/>
                    </w:rPr>
                  </w:pPr>
                </w:p>
              </w:tc>
              <w:tc>
                <w:tcPr>
                  <w:tcW w:w="652" w:type="pct"/>
                  <w:vMerge w:val="continue"/>
                  <w:shd w:val="clear" w:color="auto" w:fill="auto"/>
                  <w:noWrap/>
                  <w:vAlign w:val="center"/>
                </w:tcPr>
                <w:p w14:paraId="17C84225">
                  <w:pPr>
                    <w:pStyle w:val="20"/>
                    <w:keepNext w:val="0"/>
                    <w:keepLines w:val="0"/>
                    <w:pageBreakBefore w:val="0"/>
                    <w:widowControl/>
                    <w:kinsoku w:val="0"/>
                    <w:wordWrap w:val="0"/>
                    <w:overflowPunct/>
                    <w:topLinePunct w:val="0"/>
                    <w:autoSpaceDE/>
                    <w:autoSpaceDN/>
                    <w:bidi w:val="0"/>
                    <w:adjustRightInd/>
                    <w:snapToGrid/>
                    <w:textAlignment w:val="auto"/>
                    <w:rPr>
                      <w:rFonts w:hint="default"/>
                      <w:color w:val="auto"/>
                      <w:highlight w:val="none"/>
                      <w:lang w:val="en-US" w:eastAsia="zh-CN"/>
                    </w:rPr>
                  </w:pPr>
                </w:p>
              </w:tc>
              <w:tc>
                <w:tcPr>
                  <w:tcW w:w="840" w:type="pct"/>
                  <w:shd w:val="clear" w:color="auto" w:fill="auto"/>
                  <w:noWrap/>
                  <w:vAlign w:val="center"/>
                </w:tcPr>
                <w:p w14:paraId="60A1D483">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乙苯</w:t>
                  </w:r>
                </w:p>
              </w:tc>
              <w:tc>
                <w:tcPr>
                  <w:tcW w:w="1234" w:type="pct"/>
                  <w:shd w:val="clear" w:color="auto" w:fill="auto"/>
                  <w:noWrap/>
                  <w:vAlign w:val="center"/>
                </w:tcPr>
                <w:p w14:paraId="5D94B2A0">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0.0034</w:t>
                  </w:r>
                </w:p>
              </w:tc>
            </w:tr>
            <w:tr w14:paraId="54588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3" w:type="pct"/>
                  <w:vMerge w:val="continue"/>
                  <w:shd w:val="clear" w:color="auto" w:fill="auto"/>
                  <w:vAlign w:val="center"/>
                </w:tcPr>
                <w:p w14:paraId="24050FCC">
                  <w:pPr>
                    <w:pStyle w:val="20"/>
                    <w:keepNext w:val="0"/>
                    <w:keepLines w:val="0"/>
                    <w:pageBreakBefore w:val="0"/>
                    <w:widowControl/>
                    <w:kinsoku w:val="0"/>
                    <w:wordWrap w:val="0"/>
                    <w:overflowPunct/>
                    <w:topLinePunct w:val="0"/>
                    <w:autoSpaceDE/>
                    <w:autoSpaceDN/>
                    <w:bidi w:val="0"/>
                    <w:adjustRightInd/>
                    <w:snapToGrid/>
                    <w:textAlignment w:val="auto"/>
                    <w:rPr>
                      <w:rFonts w:hint="default"/>
                      <w:color w:val="auto"/>
                      <w:highlight w:val="none"/>
                      <w:lang w:val="en-US" w:eastAsia="zh-CN"/>
                    </w:rPr>
                  </w:pPr>
                </w:p>
              </w:tc>
              <w:tc>
                <w:tcPr>
                  <w:tcW w:w="742" w:type="pct"/>
                  <w:vMerge w:val="continue"/>
                  <w:shd w:val="clear" w:color="auto" w:fill="auto"/>
                  <w:vAlign w:val="center"/>
                </w:tcPr>
                <w:p w14:paraId="59EC2E87">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845" w:type="pct"/>
                  <w:vMerge w:val="continue"/>
                  <w:shd w:val="clear" w:color="auto" w:fill="auto"/>
                  <w:noWrap/>
                  <w:vAlign w:val="center"/>
                </w:tcPr>
                <w:p w14:paraId="294847D8">
                  <w:pPr>
                    <w:pStyle w:val="20"/>
                    <w:keepNext w:val="0"/>
                    <w:keepLines w:val="0"/>
                    <w:pageBreakBefore w:val="0"/>
                    <w:widowControl/>
                    <w:kinsoku w:val="0"/>
                    <w:wordWrap w:val="0"/>
                    <w:overflowPunct/>
                    <w:topLinePunct w:val="0"/>
                    <w:autoSpaceDE/>
                    <w:autoSpaceDN/>
                    <w:bidi w:val="0"/>
                    <w:adjustRightInd/>
                    <w:snapToGrid/>
                    <w:textAlignment w:val="auto"/>
                    <w:rPr>
                      <w:rFonts w:hint="default"/>
                      <w:color w:val="auto"/>
                      <w:highlight w:val="none"/>
                      <w:lang w:val="en-US" w:eastAsia="zh-CN"/>
                    </w:rPr>
                  </w:pPr>
                </w:p>
              </w:tc>
              <w:tc>
                <w:tcPr>
                  <w:tcW w:w="652" w:type="pct"/>
                  <w:vMerge w:val="continue"/>
                  <w:shd w:val="clear" w:color="auto" w:fill="auto"/>
                  <w:noWrap/>
                  <w:vAlign w:val="center"/>
                </w:tcPr>
                <w:p w14:paraId="6CC4140F">
                  <w:pPr>
                    <w:pStyle w:val="20"/>
                    <w:keepNext w:val="0"/>
                    <w:keepLines w:val="0"/>
                    <w:pageBreakBefore w:val="0"/>
                    <w:widowControl/>
                    <w:kinsoku w:val="0"/>
                    <w:wordWrap w:val="0"/>
                    <w:overflowPunct/>
                    <w:topLinePunct w:val="0"/>
                    <w:autoSpaceDE/>
                    <w:autoSpaceDN/>
                    <w:bidi w:val="0"/>
                    <w:adjustRightInd/>
                    <w:snapToGrid/>
                    <w:textAlignment w:val="auto"/>
                    <w:rPr>
                      <w:rFonts w:hint="default"/>
                      <w:color w:val="auto"/>
                      <w:highlight w:val="none"/>
                      <w:lang w:val="en-US" w:eastAsia="zh-CN"/>
                    </w:rPr>
                  </w:pPr>
                </w:p>
              </w:tc>
              <w:tc>
                <w:tcPr>
                  <w:tcW w:w="840" w:type="pct"/>
                  <w:shd w:val="clear" w:color="auto" w:fill="auto"/>
                  <w:noWrap/>
                  <w:vAlign w:val="center"/>
                </w:tcPr>
                <w:p w14:paraId="6660E388">
                  <w:pPr>
                    <w:pStyle w:val="20"/>
                    <w:keepNext w:val="0"/>
                    <w:keepLines w:val="0"/>
                    <w:pageBreakBefore w:val="0"/>
                    <w:widowControl/>
                    <w:kinsoku w:val="0"/>
                    <w:wordWrap w:val="0"/>
                    <w:overflowPunct/>
                    <w:topLinePunct w:val="0"/>
                    <w:autoSpaceDE/>
                    <w:autoSpaceDN/>
                    <w:bidi w:val="0"/>
                    <w:adjustRightInd/>
                    <w:snapToGrid/>
                    <w:textAlignment w:val="auto"/>
                    <w:rPr>
                      <w:rFonts w:hint="default"/>
                      <w:color w:val="auto"/>
                      <w:highlight w:val="none"/>
                      <w:lang w:val="en-US" w:eastAsia="zh-CN"/>
                    </w:rPr>
                  </w:pPr>
                  <w:r>
                    <w:rPr>
                      <w:rFonts w:hint="default"/>
                      <w:color w:val="auto"/>
                      <w:highlight w:val="none"/>
                      <w:lang w:val="en-US" w:eastAsia="zh-CN"/>
                    </w:rPr>
                    <w:t>1,3-</w:t>
                  </w:r>
                  <w:r>
                    <w:rPr>
                      <w:rFonts w:hint="eastAsia"/>
                      <w:color w:val="auto"/>
                      <w:highlight w:val="none"/>
                      <w:lang w:val="en-US" w:eastAsia="zh-CN"/>
                    </w:rPr>
                    <w:t>丁二烯</w:t>
                  </w:r>
                </w:p>
              </w:tc>
              <w:tc>
                <w:tcPr>
                  <w:tcW w:w="1234" w:type="pct"/>
                  <w:shd w:val="clear" w:color="auto" w:fill="auto"/>
                  <w:noWrap/>
                  <w:vAlign w:val="center"/>
                </w:tcPr>
                <w:p w14:paraId="078A08B7">
                  <w:pPr>
                    <w:pStyle w:val="20"/>
                    <w:keepNext w:val="0"/>
                    <w:keepLines w:val="0"/>
                    <w:pageBreakBefore w:val="0"/>
                    <w:widowControl/>
                    <w:kinsoku w:val="0"/>
                    <w:wordWrap w:val="0"/>
                    <w:overflowPunct/>
                    <w:topLinePunct w:val="0"/>
                    <w:autoSpaceDE/>
                    <w:autoSpaceDN/>
                    <w:bidi w:val="0"/>
                    <w:adjustRightInd/>
                    <w:snapToGrid/>
                    <w:textAlignment w:val="auto"/>
                    <w:rPr>
                      <w:rFonts w:hint="default"/>
                      <w:color w:val="auto"/>
                      <w:highlight w:val="none"/>
                      <w:lang w:val="en-US" w:eastAsia="zh-CN"/>
                    </w:rPr>
                  </w:pPr>
                  <w:r>
                    <w:rPr>
                      <w:rFonts w:hint="default"/>
                      <w:color w:val="auto"/>
                      <w:highlight w:val="none"/>
                      <w:lang w:val="en-US" w:eastAsia="zh-CN"/>
                    </w:rPr>
                    <w:t>0.0001</w:t>
                  </w:r>
                </w:p>
              </w:tc>
            </w:tr>
            <w:tr w14:paraId="0818D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3" w:type="pct"/>
                  <w:vMerge w:val="continue"/>
                  <w:shd w:val="clear" w:color="auto" w:fill="auto"/>
                  <w:vAlign w:val="center"/>
                </w:tcPr>
                <w:p w14:paraId="42F373F0">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742" w:type="pct"/>
                  <w:vMerge w:val="restart"/>
                  <w:shd w:val="clear" w:color="auto" w:fill="auto"/>
                  <w:vAlign w:val="center"/>
                </w:tcPr>
                <w:p w14:paraId="3C29192C">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ASA</w:t>
                  </w:r>
                </w:p>
              </w:tc>
              <w:tc>
                <w:tcPr>
                  <w:tcW w:w="845" w:type="pct"/>
                  <w:vMerge w:val="restart"/>
                  <w:shd w:val="clear" w:color="auto" w:fill="auto"/>
                  <w:noWrap/>
                  <w:vAlign w:val="center"/>
                </w:tcPr>
                <w:p w14:paraId="164E5177">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25.8</w:t>
                  </w:r>
                </w:p>
              </w:tc>
              <w:tc>
                <w:tcPr>
                  <w:tcW w:w="652" w:type="pct"/>
                  <w:vMerge w:val="restart"/>
                  <w:shd w:val="clear" w:color="auto" w:fill="auto"/>
                  <w:noWrap/>
                  <w:vAlign w:val="center"/>
                </w:tcPr>
                <w:p w14:paraId="7B98F9C6">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257.6</w:t>
                  </w:r>
                </w:p>
              </w:tc>
              <w:tc>
                <w:tcPr>
                  <w:tcW w:w="840" w:type="pct"/>
                  <w:shd w:val="clear" w:color="auto" w:fill="auto"/>
                  <w:noWrap/>
                  <w:vAlign w:val="center"/>
                </w:tcPr>
                <w:p w14:paraId="56C90702">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非甲烷总烃</w:t>
                  </w:r>
                </w:p>
              </w:tc>
              <w:tc>
                <w:tcPr>
                  <w:tcW w:w="1234" w:type="pct"/>
                  <w:shd w:val="clear" w:color="auto" w:fill="auto"/>
                  <w:noWrap/>
                  <w:vAlign w:val="center"/>
                </w:tcPr>
                <w:p w14:paraId="02E1A596">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0.0697</w:t>
                  </w:r>
                </w:p>
              </w:tc>
            </w:tr>
            <w:tr w14:paraId="1EF15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3" w:type="pct"/>
                  <w:vMerge w:val="continue"/>
                  <w:shd w:val="clear" w:color="auto" w:fill="auto"/>
                  <w:vAlign w:val="center"/>
                </w:tcPr>
                <w:p w14:paraId="7097434C">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742" w:type="pct"/>
                  <w:vMerge w:val="continue"/>
                  <w:shd w:val="clear" w:color="auto" w:fill="auto"/>
                  <w:vAlign w:val="center"/>
                </w:tcPr>
                <w:p w14:paraId="02F9E4CC">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845" w:type="pct"/>
                  <w:vMerge w:val="continue"/>
                  <w:shd w:val="clear" w:color="auto" w:fill="auto"/>
                  <w:noWrap/>
                  <w:vAlign w:val="center"/>
                </w:tcPr>
                <w:p w14:paraId="54437EC5">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652" w:type="pct"/>
                  <w:vMerge w:val="continue"/>
                  <w:shd w:val="clear" w:color="auto" w:fill="auto"/>
                  <w:noWrap/>
                  <w:vAlign w:val="center"/>
                </w:tcPr>
                <w:p w14:paraId="385DEB20">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840" w:type="pct"/>
                  <w:shd w:val="clear" w:color="auto" w:fill="auto"/>
                  <w:noWrap/>
                  <w:vAlign w:val="center"/>
                </w:tcPr>
                <w:p w14:paraId="1089E789">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苯乙烯</w:t>
                  </w:r>
                </w:p>
              </w:tc>
              <w:tc>
                <w:tcPr>
                  <w:tcW w:w="1234" w:type="pct"/>
                  <w:shd w:val="clear" w:color="auto" w:fill="auto"/>
                  <w:noWrap/>
                  <w:vAlign w:val="center"/>
                </w:tcPr>
                <w:p w14:paraId="34435075">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0.0178</w:t>
                  </w:r>
                </w:p>
              </w:tc>
            </w:tr>
            <w:tr w14:paraId="1CC95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3" w:type="pct"/>
                  <w:vMerge w:val="continue"/>
                  <w:shd w:val="clear" w:color="auto" w:fill="auto"/>
                  <w:vAlign w:val="center"/>
                </w:tcPr>
                <w:p w14:paraId="2D8EAC3F">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742" w:type="pct"/>
                  <w:vMerge w:val="continue"/>
                  <w:shd w:val="clear" w:color="auto" w:fill="auto"/>
                  <w:vAlign w:val="center"/>
                </w:tcPr>
                <w:p w14:paraId="61A89BD8">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845" w:type="pct"/>
                  <w:vMerge w:val="continue"/>
                  <w:shd w:val="clear" w:color="auto" w:fill="auto"/>
                  <w:noWrap/>
                  <w:vAlign w:val="center"/>
                </w:tcPr>
                <w:p w14:paraId="5F85C95B">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652" w:type="pct"/>
                  <w:vMerge w:val="continue"/>
                  <w:shd w:val="clear" w:color="auto" w:fill="auto"/>
                  <w:noWrap/>
                  <w:vAlign w:val="center"/>
                </w:tcPr>
                <w:p w14:paraId="124FE3F8">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840" w:type="pct"/>
                  <w:shd w:val="clear" w:color="auto" w:fill="auto"/>
                  <w:noWrap/>
                  <w:vAlign w:val="center"/>
                </w:tcPr>
                <w:p w14:paraId="790777F1">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丙烯腈</w:t>
                  </w:r>
                </w:p>
              </w:tc>
              <w:tc>
                <w:tcPr>
                  <w:tcW w:w="1234" w:type="pct"/>
                  <w:shd w:val="clear" w:color="auto" w:fill="auto"/>
                  <w:noWrap/>
                  <w:vAlign w:val="center"/>
                </w:tcPr>
                <w:p w14:paraId="3BD2B47F">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0.0008</w:t>
                  </w:r>
                </w:p>
              </w:tc>
            </w:tr>
            <w:tr w14:paraId="531B5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3" w:type="pct"/>
                  <w:vMerge w:val="continue"/>
                  <w:shd w:val="clear" w:color="auto" w:fill="auto"/>
                  <w:vAlign w:val="center"/>
                </w:tcPr>
                <w:p w14:paraId="56913AF5">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742" w:type="pct"/>
                  <w:vMerge w:val="continue"/>
                  <w:shd w:val="clear" w:color="auto" w:fill="auto"/>
                  <w:vAlign w:val="center"/>
                </w:tcPr>
                <w:p w14:paraId="3071A1AC">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845" w:type="pct"/>
                  <w:vMerge w:val="continue"/>
                  <w:shd w:val="clear" w:color="auto" w:fill="auto"/>
                  <w:noWrap/>
                  <w:vAlign w:val="center"/>
                </w:tcPr>
                <w:p w14:paraId="7D4668DC">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652" w:type="pct"/>
                  <w:vMerge w:val="continue"/>
                  <w:shd w:val="clear" w:color="auto" w:fill="auto"/>
                  <w:noWrap/>
                  <w:vAlign w:val="center"/>
                </w:tcPr>
                <w:p w14:paraId="3651BF41">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840" w:type="pct"/>
                  <w:shd w:val="clear" w:color="auto" w:fill="auto"/>
                  <w:noWrap/>
                  <w:vAlign w:val="center"/>
                </w:tcPr>
                <w:p w14:paraId="459FD3EB">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甲苯</w:t>
                  </w:r>
                </w:p>
              </w:tc>
              <w:tc>
                <w:tcPr>
                  <w:tcW w:w="1234" w:type="pct"/>
                  <w:shd w:val="clear" w:color="auto" w:fill="auto"/>
                  <w:noWrap/>
                  <w:vAlign w:val="center"/>
                </w:tcPr>
                <w:p w14:paraId="52DC4302">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0.0005</w:t>
                  </w:r>
                </w:p>
              </w:tc>
            </w:tr>
            <w:tr w14:paraId="294F5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3" w:type="pct"/>
                  <w:vMerge w:val="continue"/>
                  <w:shd w:val="clear" w:color="auto" w:fill="auto"/>
                  <w:vAlign w:val="center"/>
                </w:tcPr>
                <w:p w14:paraId="2122E35A">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742" w:type="pct"/>
                  <w:vMerge w:val="continue"/>
                  <w:shd w:val="clear" w:color="auto" w:fill="auto"/>
                  <w:vAlign w:val="center"/>
                </w:tcPr>
                <w:p w14:paraId="7207C52E">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845" w:type="pct"/>
                  <w:vMerge w:val="continue"/>
                  <w:shd w:val="clear" w:color="auto" w:fill="auto"/>
                  <w:noWrap/>
                  <w:vAlign w:val="center"/>
                </w:tcPr>
                <w:p w14:paraId="63AF62ED">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652" w:type="pct"/>
                  <w:vMerge w:val="continue"/>
                  <w:shd w:val="clear" w:color="auto" w:fill="auto"/>
                  <w:noWrap/>
                  <w:vAlign w:val="center"/>
                </w:tcPr>
                <w:p w14:paraId="0397666A">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840" w:type="pct"/>
                  <w:shd w:val="clear" w:color="auto" w:fill="auto"/>
                  <w:noWrap/>
                  <w:vAlign w:val="center"/>
                </w:tcPr>
                <w:p w14:paraId="7AA7F99D">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乙苯</w:t>
                  </w:r>
                </w:p>
              </w:tc>
              <w:tc>
                <w:tcPr>
                  <w:tcW w:w="1234" w:type="pct"/>
                  <w:shd w:val="clear" w:color="auto" w:fill="auto"/>
                  <w:noWrap/>
                  <w:vAlign w:val="center"/>
                </w:tcPr>
                <w:p w14:paraId="7F38E9E4">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0.0021</w:t>
                  </w:r>
                </w:p>
              </w:tc>
            </w:tr>
            <w:tr w14:paraId="2B170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3" w:type="pct"/>
                  <w:vMerge w:val="continue"/>
                  <w:shd w:val="clear" w:color="auto" w:fill="auto"/>
                  <w:vAlign w:val="center"/>
                </w:tcPr>
                <w:p w14:paraId="6A1D91A7">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742" w:type="pct"/>
                  <w:vMerge w:val="continue"/>
                  <w:shd w:val="clear" w:color="auto" w:fill="auto"/>
                  <w:vAlign w:val="center"/>
                </w:tcPr>
                <w:p w14:paraId="49E036F4">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845" w:type="pct"/>
                  <w:vMerge w:val="continue"/>
                  <w:shd w:val="clear" w:color="auto" w:fill="auto"/>
                  <w:noWrap/>
                  <w:vAlign w:val="center"/>
                </w:tcPr>
                <w:p w14:paraId="4A1A1AFF">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652" w:type="pct"/>
                  <w:vMerge w:val="continue"/>
                  <w:shd w:val="clear" w:color="auto" w:fill="auto"/>
                  <w:noWrap/>
                  <w:vAlign w:val="center"/>
                </w:tcPr>
                <w:p w14:paraId="05B6B568">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840" w:type="pct"/>
                  <w:shd w:val="clear" w:color="auto" w:fill="auto"/>
                  <w:noWrap/>
                  <w:vAlign w:val="center"/>
                </w:tcPr>
                <w:p w14:paraId="17ABAB34">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甲基丙烯酸甲酯</w:t>
                  </w:r>
                </w:p>
              </w:tc>
              <w:tc>
                <w:tcPr>
                  <w:tcW w:w="1234" w:type="pct"/>
                  <w:shd w:val="clear" w:color="auto" w:fill="auto"/>
                  <w:noWrap/>
                  <w:vAlign w:val="center"/>
                </w:tcPr>
                <w:p w14:paraId="13377CBA">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0.0226</w:t>
                  </w:r>
                </w:p>
              </w:tc>
            </w:tr>
            <w:tr w14:paraId="0DDAA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3" w:type="pct"/>
                  <w:vMerge w:val="continue"/>
                  <w:shd w:val="clear" w:color="auto" w:fill="auto"/>
                  <w:vAlign w:val="center"/>
                </w:tcPr>
                <w:p w14:paraId="2B84472D">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742" w:type="pct"/>
                  <w:vMerge w:val="continue"/>
                  <w:shd w:val="clear" w:color="auto" w:fill="auto"/>
                  <w:vAlign w:val="center"/>
                </w:tcPr>
                <w:p w14:paraId="6A7ADA89">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845" w:type="pct"/>
                  <w:vMerge w:val="continue"/>
                  <w:shd w:val="clear" w:color="auto" w:fill="auto"/>
                  <w:noWrap/>
                  <w:vAlign w:val="center"/>
                </w:tcPr>
                <w:p w14:paraId="11D63E6F">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652" w:type="pct"/>
                  <w:vMerge w:val="continue"/>
                  <w:shd w:val="clear" w:color="auto" w:fill="auto"/>
                  <w:noWrap/>
                  <w:vAlign w:val="center"/>
                </w:tcPr>
                <w:p w14:paraId="0D494DCA">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840" w:type="pct"/>
                  <w:shd w:val="clear" w:color="auto" w:fill="auto"/>
                  <w:noWrap/>
                  <w:vAlign w:val="center"/>
                </w:tcPr>
                <w:p w14:paraId="60473D72">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丙烯酸甲酯</w:t>
                  </w:r>
                </w:p>
              </w:tc>
              <w:tc>
                <w:tcPr>
                  <w:tcW w:w="1234" w:type="pct"/>
                  <w:shd w:val="clear" w:color="auto" w:fill="auto"/>
                  <w:noWrap/>
                  <w:vAlign w:val="center"/>
                </w:tcPr>
                <w:p w14:paraId="785B92C4">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0.0006</w:t>
                  </w:r>
                </w:p>
              </w:tc>
            </w:tr>
            <w:tr w14:paraId="142FF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3" w:type="pct"/>
                  <w:vMerge w:val="continue"/>
                  <w:shd w:val="clear" w:color="auto" w:fill="auto"/>
                  <w:vAlign w:val="center"/>
                </w:tcPr>
                <w:p w14:paraId="1CF6505C">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742" w:type="pct"/>
                  <w:vMerge w:val="continue"/>
                  <w:shd w:val="clear" w:color="auto" w:fill="auto"/>
                  <w:vAlign w:val="center"/>
                </w:tcPr>
                <w:p w14:paraId="7D69BC0C">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845" w:type="pct"/>
                  <w:vMerge w:val="continue"/>
                  <w:shd w:val="clear" w:color="auto" w:fill="auto"/>
                  <w:noWrap/>
                  <w:vAlign w:val="center"/>
                </w:tcPr>
                <w:p w14:paraId="25E2746D">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652" w:type="pct"/>
                  <w:vMerge w:val="continue"/>
                  <w:shd w:val="clear" w:color="auto" w:fill="auto"/>
                  <w:noWrap/>
                  <w:vAlign w:val="center"/>
                </w:tcPr>
                <w:p w14:paraId="48FE56DC">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840" w:type="pct"/>
                  <w:shd w:val="clear" w:color="auto" w:fill="auto"/>
                  <w:noWrap/>
                  <w:vAlign w:val="center"/>
                </w:tcPr>
                <w:p w14:paraId="5F98DBD4">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丙烯酸</w:t>
                  </w:r>
                </w:p>
              </w:tc>
              <w:tc>
                <w:tcPr>
                  <w:tcW w:w="1234" w:type="pct"/>
                  <w:shd w:val="clear" w:color="auto" w:fill="auto"/>
                  <w:noWrap/>
                  <w:vAlign w:val="center"/>
                </w:tcPr>
                <w:p w14:paraId="731ADBB3">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0.0083</w:t>
                  </w:r>
                </w:p>
              </w:tc>
            </w:tr>
            <w:tr w14:paraId="0C848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3" w:type="pct"/>
                  <w:vMerge w:val="continue"/>
                  <w:shd w:val="clear" w:color="auto" w:fill="auto"/>
                  <w:vAlign w:val="center"/>
                </w:tcPr>
                <w:p w14:paraId="72620407">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742" w:type="pct"/>
                  <w:vMerge w:val="continue"/>
                  <w:shd w:val="clear" w:color="auto" w:fill="auto"/>
                  <w:vAlign w:val="center"/>
                </w:tcPr>
                <w:p w14:paraId="63717858">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845" w:type="pct"/>
                  <w:vMerge w:val="continue"/>
                  <w:shd w:val="clear" w:color="auto" w:fill="auto"/>
                  <w:noWrap/>
                  <w:vAlign w:val="center"/>
                </w:tcPr>
                <w:p w14:paraId="1D38FAE8">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652" w:type="pct"/>
                  <w:vMerge w:val="continue"/>
                  <w:shd w:val="clear" w:color="auto" w:fill="auto"/>
                  <w:noWrap/>
                  <w:vAlign w:val="center"/>
                </w:tcPr>
                <w:p w14:paraId="2123BA1B">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840" w:type="pct"/>
                  <w:shd w:val="clear" w:color="auto" w:fill="auto"/>
                  <w:noWrap/>
                  <w:vAlign w:val="center"/>
                </w:tcPr>
                <w:p w14:paraId="4AAF5246">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丙烯酸丁酯</w:t>
                  </w:r>
                </w:p>
              </w:tc>
              <w:tc>
                <w:tcPr>
                  <w:tcW w:w="1234" w:type="pct"/>
                  <w:shd w:val="clear" w:color="auto" w:fill="auto"/>
                  <w:noWrap/>
                  <w:vAlign w:val="center"/>
                </w:tcPr>
                <w:p w14:paraId="6FCFF675">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0.0416</w:t>
                  </w:r>
                </w:p>
              </w:tc>
            </w:tr>
            <w:tr w14:paraId="2888C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3" w:type="pct"/>
                  <w:vMerge w:val="continue"/>
                  <w:shd w:val="clear" w:color="auto" w:fill="auto"/>
                  <w:vAlign w:val="center"/>
                </w:tcPr>
                <w:p w14:paraId="0DEA25B2">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742" w:type="pct"/>
                  <w:shd w:val="clear" w:color="auto" w:fill="auto"/>
                  <w:vAlign w:val="center"/>
                </w:tcPr>
                <w:p w14:paraId="39A3ECC2">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PP</w:t>
                  </w:r>
                </w:p>
              </w:tc>
              <w:tc>
                <w:tcPr>
                  <w:tcW w:w="845" w:type="pct"/>
                  <w:shd w:val="clear" w:color="auto" w:fill="auto"/>
                  <w:noWrap/>
                  <w:vAlign w:val="center"/>
                </w:tcPr>
                <w:p w14:paraId="32988945">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11.2</w:t>
                  </w:r>
                </w:p>
              </w:tc>
              <w:tc>
                <w:tcPr>
                  <w:tcW w:w="652" w:type="pct"/>
                  <w:shd w:val="clear" w:color="auto" w:fill="auto"/>
                  <w:noWrap/>
                  <w:vAlign w:val="center"/>
                </w:tcPr>
                <w:p w14:paraId="6C3514BA">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188.4</w:t>
                  </w:r>
                </w:p>
              </w:tc>
              <w:tc>
                <w:tcPr>
                  <w:tcW w:w="840" w:type="pct"/>
                  <w:shd w:val="clear" w:color="auto" w:fill="auto"/>
                  <w:noWrap/>
                  <w:vAlign w:val="center"/>
                </w:tcPr>
                <w:p w14:paraId="02041735">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非甲烷总烃</w:t>
                  </w:r>
                </w:p>
              </w:tc>
              <w:tc>
                <w:tcPr>
                  <w:tcW w:w="1234" w:type="pct"/>
                  <w:shd w:val="clear" w:color="auto" w:fill="auto"/>
                  <w:noWrap/>
                  <w:vAlign w:val="center"/>
                </w:tcPr>
                <w:p w14:paraId="5BCBC57D">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0.0303</w:t>
                  </w:r>
                </w:p>
              </w:tc>
            </w:tr>
            <w:tr w14:paraId="7D1B0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3" w:type="pct"/>
                  <w:vMerge w:val="restart"/>
                  <w:shd w:val="clear" w:color="auto" w:fill="auto"/>
                  <w:vAlign w:val="center"/>
                </w:tcPr>
                <w:p w14:paraId="56B22B80">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破碎</w:t>
                  </w:r>
                </w:p>
              </w:tc>
              <w:tc>
                <w:tcPr>
                  <w:tcW w:w="742" w:type="pct"/>
                  <w:shd w:val="clear" w:color="auto" w:fill="auto"/>
                  <w:vAlign w:val="center"/>
                </w:tcPr>
                <w:p w14:paraId="10F9E8FD">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ABS</w:t>
                  </w:r>
                </w:p>
              </w:tc>
              <w:tc>
                <w:tcPr>
                  <w:tcW w:w="845" w:type="pct"/>
                  <w:shd w:val="clear" w:color="auto" w:fill="auto"/>
                  <w:noWrap/>
                  <w:vAlign w:val="center"/>
                </w:tcPr>
                <w:p w14:paraId="36EBD118">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24.8</w:t>
                  </w:r>
                </w:p>
              </w:tc>
              <w:tc>
                <w:tcPr>
                  <w:tcW w:w="652" w:type="pct"/>
                  <w:shd w:val="clear" w:color="auto" w:fill="auto"/>
                  <w:noWrap/>
                  <w:vAlign w:val="center"/>
                </w:tcPr>
                <w:p w14:paraId="65778620">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251.6</w:t>
                  </w:r>
                </w:p>
              </w:tc>
              <w:tc>
                <w:tcPr>
                  <w:tcW w:w="840" w:type="pct"/>
                  <w:vMerge w:val="restart"/>
                  <w:shd w:val="clear" w:color="auto" w:fill="auto"/>
                  <w:noWrap/>
                  <w:vAlign w:val="center"/>
                </w:tcPr>
                <w:p w14:paraId="37E4CA3F">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颗粒物</w:t>
                  </w:r>
                </w:p>
              </w:tc>
              <w:tc>
                <w:tcPr>
                  <w:tcW w:w="1234" w:type="pct"/>
                  <w:shd w:val="clear" w:color="auto" w:fill="auto"/>
                  <w:noWrap/>
                  <w:vAlign w:val="center"/>
                </w:tcPr>
                <w:p w14:paraId="366A90AB">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0.0009</w:t>
                  </w:r>
                </w:p>
              </w:tc>
            </w:tr>
            <w:tr w14:paraId="7E70A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3" w:type="pct"/>
                  <w:vMerge w:val="continue"/>
                  <w:shd w:val="clear" w:color="auto" w:fill="auto"/>
                  <w:vAlign w:val="center"/>
                </w:tcPr>
                <w:p w14:paraId="1C285AD6">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742" w:type="pct"/>
                  <w:shd w:val="clear" w:color="auto" w:fill="auto"/>
                  <w:vAlign w:val="center"/>
                </w:tcPr>
                <w:p w14:paraId="0489FA19">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ASA</w:t>
                  </w:r>
                </w:p>
              </w:tc>
              <w:tc>
                <w:tcPr>
                  <w:tcW w:w="845" w:type="pct"/>
                  <w:shd w:val="clear" w:color="auto" w:fill="auto"/>
                  <w:noWrap/>
                  <w:vAlign w:val="center"/>
                </w:tcPr>
                <w:p w14:paraId="658EAFC2">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25.8</w:t>
                  </w:r>
                </w:p>
              </w:tc>
              <w:tc>
                <w:tcPr>
                  <w:tcW w:w="652" w:type="pct"/>
                  <w:shd w:val="clear" w:color="auto" w:fill="auto"/>
                  <w:noWrap/>
                  <w:vAlign w:val="center"/>
                </w:tcPr>
                <w:p w14:paraId="0A83E528">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257.6</w:t>
                  </w:r>
                </w:p>
              </w:tc>
              <w:tc>
                <w:tcPr>
                  <w:tcW w:w="840" w:type="pct"/>
                  <w:vMerge w:val="continue"/>
                  <w:shd w:val="clear" w:color="auto" w:fill="auto"/>
                  <w:noWrap/>
                  <w:vAlign w:val="center"/>
                </w:tcPr>
                <w:p w14:paraId="6A95A026">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1234" w:type="pct"/>
                  <w:shd w:val="clear" w:color="auto" w:fill="auto"/>
                  <w:noWrap/>
                  <w:vAlign w:val="center"/>
                </w:tcPr>
                <w:p w14:paraId="22CF7879">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0.0009</w:t>
                  </w:r>
                </w:p>
              </w:tc>
            </w:tr>
            <w:tr w14:paraId="2E63F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3" w:type="pct"/>
                  <w:vMerge w:val="continue"/>
                  <w:shd w:val="clear" w:color="auto" w:fill="auto"/>
                  <w:vAlign w:val="center"/>
                </w:tcPr>
                <w:p w14:paraId="7013CC1F">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742" w:type="pct"/>
                  <w:shd w:val="clear" w:color="auto" w:fill="auto"/>
                  <w:vAlign w:val="center"/>
                </w:tcPr>
                <w:p w14:paraId="0D4FF109">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PP</w:t>
                  </w:r>
                </w:p>
              </w:tc>
              <w:tc>
                <w:tcPr>
                  <w:tcW w:w="845" w:type="pct"/>
                  <w:shd w:val="clear" w:color="auto" w:fill="auto"/>
                  <w:noWrap/>
                  <w:vAlign w:val="center"/>
                </w:tcPr>
                <w:p w14:paraId="11DF264A">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25.8</w:t>
                  </w:r>
                </w:p>
              </w:tc>
              <w:tc>
                <w:tcPr>
                  <w:tcW w:w="652" w:type="pct"/>
                  <w:shd w:val="clear" w:color="auto" w:fill="auto"/>
                  <w:noWrap/>
                  <w:vAlign w:val="center"/>
                </w:tcPr>
                <w:p w14:paraId="5C44F8D1">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188.4</w:t>
                  </w:r>
                </w:p>
              </w:tc>
              <w:tc>
                <w:tcPr>
                  <w:tcW w:w="840" w:type="pct"/>
                  <w:vMerge w:val="continue"/>
                  <w:shd w:val="clear" w:color="auto" w:fill="auto"/>
                  <w:noWrap/>
                  <w:vAlign w:val="center"/>
                </w:tcPr>
                <w:p w14:paraId="5D3371B8">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1234" w:type="pct"/>
                  <w:shd w:val="clear" w:color="auto" w:fill="auto"/>
                  <w:noWrap/>
                  <w:vAlign w:val="center"/>
                </w:tcPr>
                <w:p w14:paraId="16564814">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0.0008</w:t>
                  </w:r>
                </w:p>
              </w:tc>
            </w:tr>
            <w:tr w14:paraId="572D7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683" w:type="pct"/>
                  <w:shd w:val="clear" w:color="auto" w:fill="auto"/>
                  <w:vAlign w:val="center"/>
                </w:tcPr>
                <w:p w14:paraId="254D5320">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废气类别</w:t>
                  </w:r>
                </w:p>
              </w:tc>
              <w:tc>
                <w:tcPr>
                  <w:tcW w:w="742" w:type="pct"/>
                  <w:shd w:val="clear" w:color="auto" w:fill="auto"/>
                  <w:vAlign w:val="center"/>
                </w:tcPr>
                <w:p w14:paraId="45C89C3A">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原料种类</w:t>
                  </w:r>
                </w:p>
              </w:tc>
              <w:tc>
                <w:tcPr>
                  <w:tcW w:w="845" w:type="pct"/>
                  <w:shd w:val="clear" w:color="auto" w:fill="auto"/>
                  <w:noWrap/>
                  <w:vAlign w:val="center"/>
                </w:tcPr>
                <w:p w14:paraId="1FFA0CD9">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现有项目用量</w:t>
                  </w:r>
                  <w:r>
                    <w:rPr>
                      <w:rFonts w:hint="default"/>
                      <w:color w:val="auto"/>
                      <w:highlight w:val="none"/>
                      <w:lang w:val="en-US" w:eastAsia="zh-CN"/>
                    </w:rPr>
                    <w:t>t</w:t>
                  </w:r>
                </w:p>
              </w:tc>
              <w:tc>
                <w:tcPr>
                  <w:tcW w:w="652" w:type="pct"/>
                  <w:shd w:val="clear" w:color="auto" w:fill="auto"/>
                  <w:noWrap/>
                  <w:vAlign w:val="center"/>
                </w:tcPr>
                <w:p w14:paraId="38D768E4">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扩建后用量</w:t>
                  </w:r>
                  <w:r>
                    <w:rPr>
                      <w:rFonts w:hint="default"/>
                      <w:color w:val="auto"/>
                      <w:highlight w:val="none"/>
                      <w:lang w:val="en-US" w:eastAsia="zh-CN"/>
                    </w:rPr>
                    <w:t>t</w:t>
                  </w:r>
                </w:p>
              </w:tc>
              <w:tc>
                <w:tcPr>
                  <w:tcW w:w="840" w:type="pct"/>
                  <w:shd w:val="clear" w:color="auto" w:fill="auto"/>
                  <w:noWrap/>
                  <w:vAlign w:val="center"/>
                </w:tcPr>
                <w:p w14:paraId="2EB8A9E3">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污染物</w:t>
                  </w:r>
                </w:p>
              </w:tc>
              <w:tc>
                <w:tcPr>
                  <w:tcW w:w="1234" w:type="pct"/>
                  <w:shd w:val="clear" w:color="auto" w:fill="auto"/>
                  <w:noWrap/>
                  <w:vAlign w:val="center"/>
                </w:tcPr>
                <w:p w14:paraId="367F6860">
                  <w:pPr>
                    <w:pStyle w:val="20"/>
                    <w:keepNext w:val="0"/>
                    <w:keepLines w:val="0"/>
                    <w:pageBreakBefore w:val="0"/>
                    <w:widowControl/>
                    <w:kinsoku w:val="0"/>
                    <w:wordWrap w:val="0"/>
                    <w:overflowPunct/>
                    <w:topLinePunct w:val="0"/>
                    <w:autoSpaceDE/>
                    <w:autoSpaceDN/>
                    <w:bidi w:val="0"/>
                    <w:adjustRightInd/>
                    <w:snapToGrid/>
                    <w:textAlignment w:val="auto"/>
                    <w:rPr>
                      <w:rFonts w:hint="default"/>
                      <w:color w:val="auto"/>
                      <w:highlight w:val="none"/>
                      <w:lang w:val="en-US" w:eastAsia="zh-CN"/>
                    </w:rPr>
                  </w:pPr>
                  <w:r>
                    <w:rPr>
                      <w:rFonts w:hint="eastAsia"/>
                      <w:color w:val="auto"/>
                      <w:highlight w:val="none"/>
                      <w:lang w:val="en-US" w:eastAsia="zh-CN"/>
                    </w:rPr>
                    <w:t>现有项目污染物产生量</w:t>
                  </w:r>
                  <w:r>
                    <w:rPr>
                      <w:rFonts w:hint="default"/>
                      <w:color w:val="auto"/>
                      <w:highlight w:val="none"/>
                      <w:lang w:val="en-US" w:eastAsia="zh-CN"/>
                    </w:rPr>
                    <w:t>t/a</w:t>
                  </w:r>
                </w:p>
              </w:tc>
            </w:tr>
            <w:tr w14:paraId="0CC6E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683" w:type="pct"/>
                  <w:vMerge w:val="restart"/>
                  <w:shd w:val="clear" w:color="auto" w:fill="auto"/>
                  <w:vAlign w:val="center"/>
                </w:tcPr>
                <w:p w14:paraId="6C12F8B9">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脱模、清洗剂废气</w:t>
                  </w:r>
                </w:p>
              </w:tc>
              <w:tc>
                <w:tcPr>
                  <w:tcW w:w="742" w:type="pct"/>
                  <w:shd w:val="clear" w:color="auto" w:fill="auto"/>
                  <w:vAlign w:val="center"/>
                </w:tcPr>
                <w:p w14:paraId="177EFCD1">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清洗剂</w:t>
                  </w:r>
                </w:p>
              </w:tc>
              <w:tc>
                <w:tcPr>
                  <w:tcW w:w="845" w:type="pct"/>
                  <w:shd w:val="clear" w:color="auto" w:fill="auto"/>
                  <w:noWrap/>
                  <w:vAlign w:val="center"/>
                </w:tcPr>
                <w:p w14:paraId="40A87447">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0.0108</w:t>
                  </w:r>
                </w:p>
              </w:tc>
              <w:tc>
                <w:tcPr>
                  <w:tcW w:w="652" w:type="pct"/>
                  <w:shd w:val="clear" w:color="auto" w:fill="auto"/>
                  <w:noWrap/>
                  <w:vAlign w:val="center"/>
                </w:tcPr>
                <w:p w14:paraId="4E353FA9">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0.081</w:t>
                  </w:r>
                </w:p>
              </w:tc>
              <w:tc>
                <w:tcPr>
                  <w:tcW w:w="840" w:type="pct"/>
                  <w:vMerge w:val="restart"/>
                  <w:shd w:val="clear" w:color="auto" w:fill="auto"/>
                  <w:noWrap/>
                  <w:vAlign w:val="center"/>
                </w:tcPr>
                <w:p w14:paraId="18D71005">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非甲烷总烃</w:t>
                  </w:r>
                </w:p>
              </w:tc>
              <w:tc>
                <w:tcPr>
                  <w:tcW w:w="1234" w:type="pct"/>
                  <w:shd w:val="clear" w:color="auto" w:fill="auto"/>
                  <w:noWrap/>
                  <w:vAlign w:val="center"/>
                </w:tcPr>
                <w:p w14:paraId="676F4736">
                  <w:pPr>
                    <w:pStyle w:val="20"/>
                    <w:keepNext w:val="0"/>
                    <w:keepLines w:val="0"/>
                    <w:pageBreakBefore w:val="0"/>
                    <w:widowControl/>
                    <w:kinsoku w:val="0"/>
                    <w:wordWrap w:val="0"/>
                    <w:overflowPunct/>
                    <w:topLinePunct w:val="0"/>
                    <w:autoSpaceDE/>
                    <w:autoSpaceDN/>
                    <w:bidi w:val="0"/>
                    <w:adjustRightInd/>
                    <w:snapToGrid/>
                    <w:textAlignment w:val="auto"/>
                    <w:rPr>
                      <w:rFonts w:hint="default"/>
                      <w:color w:val="auto"/>
                      <w:highlight w:val="none"/>
                      <w:lang w:val="en-US" w:eastAsia="zh-CN"/>
                    </w:rPr>
                  </w:pPr>
                  <w:r>
                    <w:rPr>
                      <w:rFonts w:hint="default"/>
                      <w:color w:val="auto"/>
                      <w:highlight w:val="none"/>
                      <w:lang w:val="en-US" w:eastAsia="zh-CN"/>
                    </w:rPr>
                    <w:t>0.0106</w:t>
                  </w:r>
                </w:p>
              </w:tc>
            </w:tr>
            <w:tr w14:paraId="5BF96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3" w:type="pct"/>
                  <w:vMerge w:val="continue"/>
                  <w:shd w:val="clear" w:color="auto" w:fill="auto"/>
                  <w:vAlign w:val="center"/>
                </w:tcPr>
                <w:p w14:paraId="6DFA6328">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742" w:type="pct"/>
                  <w:shd w:val="clear" w:color="auto" w:fill="auto"/>
                  <w:vAlign w:val="center"/>
                </w:tcPr>
                <w:p w14:paraId="7E85AE30">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脱模剂</w:t>
                  </w:r>
                </w:p>
              </w:tc>
              <w:tc>
                <w:tcPr>
                  <w:tcW w:w="845" w:type="pct"/>
                  <w:shd w:val="clear" w:color="auto" w:fill="auto"/>
                  <w:noWrap/>
                  <w:vAlign w:val="center"/>
                </w:tcPr>
                <w:p w14:paraId="2F02CCB8">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0.0072</w:t>
                  </w:r>
                </w:p>
              </w:tc>
              <w:tc>
                <w:tcPr>
                  <w:tcW w:w="652" w:type="pct"/>
                  <w:shd w:val="clear" w:color="auto" w:fill="auto"/>
                  <w:noWrap/>
                  <w:vAlign w:val="center"/>
                </w:tcPr>
                <w:p w14:paraId="0163D4E5">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0.054</w:t>
                  </w:r>
                </w:p>
              </w:tc>
              <w:tc>
                <w:tcPr>
                  <w:tcW w:w="840" w:type="pct"/>
                  <w:vMerge w:val="continue"/>
                  <w:shd w:val="clear" w:color="auto" w:fill="auto"/>
                  <w:noWrap/>
                  <w:vAlign w:val="center"/>
                </w:tcPr>
                <w:p w14:paraId="4284B886">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1234" w:type="pct"/>
                  <w:shd w:val="clear" w:color="auto" w:fill="auto"/>
                  <w:noWrap/>
                  <w:vAlign w:val="center"/>
                </w:tcPr>
                <w:p w14:paraId="5FDF7E59">
                  <w:pPr>
                    <w:pStyle w:val="20"/>
                    <w:keepNext w:val="0"/>
                    <w:keepLines w:val="0"/>
                    <w:pageBreakBefore w:val="0"/>
                    <w:widowControl/>
                    <w:kinsoku w:val="0"/>
                    <w:wordWrap w:val="0"/>
                    <w:overflowPunct/>
                    <w:topLinePunct w:val="0"/>
                    <w:autoSpaceDE/>
                    <w:autoSpaceDN/>
                    <w:bidi w:val="0"/>
                    <w:adjustRightInd/>
                    <w:snapToGrid/>
                    <w:textAlignment w:val="auto"/>
                    <w:rPr>
                      <w:rFonts w:hint="default"/>
                      <w:color w:val="auto"/>
                      <w:highlight w:val="none"/>
                      <w:lang w:val="en-US" w:eastAsia="zh-CN"/>
                    </w:rPr>
                  </w:pPr>
                  <w:r>
                    <w:rPr>
                      <w:rFonts w:hint="default"/>
                      <w:color w:val="auto"/>
                      <w:highlight w:val="none"/>
                      <w:lang w:val="en-US" w:eastAsia="zh-CN"/>
                    </w:rPr>
                    <w:t>0.0072</w:t>
                  </w:r>
                </w:p>
              </w:tc>
            </w:tr>
            <w:tr w14:paraId="5249D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5000" w:type="pct"/>
                  <w:gridSpan w:val="6"/>
                  <w:shd w:val="clear" w:color="auto" w:fill="auto"/>
                  <w:vAlign w:val="center"/>
                </w:tcPr>
                <w:p w14:paraId="06EB82AA">
                  <w:pPr>
                    <w:pStyle w:val="20"/>
                    <w:keepNext w:val="0"/>
                    <w:keepLines w:val="0"/>
                    <w:pageBreakBefore w:val="0"/>
                    <w:widowControl/>
                    <w:kinsoku w:val="0"/>
                    <w:wordWrap w:val="0"/>
                    <w:overflowPunct/>
                    <w:topLinePunct w:val="0"/>
                    <w:autoSpaceDE/>
                    <w:autoSpaceDN/>
                    <w:bidi w:val="0"/>
                    <w:adjustRightInd/>
                    <w:snapToGrid/>
                    <w:jc w:val="left"/>
                    <w:textAlignment w:val="auto"/>
                    <w:rPr>
                      <w:rFonts w:hint="default"/>
                      <w:color w:val="auto"/>
                      <w:highlight w:val="none"/>
                      <w:lang w:val="en-US" w:eastAsia="zh-CN"/>
                    </w:rPr>
                  </w:pPr>
                  <w:r>
                    <w:rPr>
                      <w:rFonts w:hint="default"/>
                      <w:color w:val="auto"/>
                      <w:highlight w:val="none"/>
                      <w:lang w:val="en-US" w:eastAsia="zh-CN"/>
                    </w:rPr>
                    <w:t>扩建项目ABS产能251.6t，非甲烷总烃产生量0.679，现有项目产能，24.8t，</w:t>
                  </w:r>
                  <w:r>
                    <w:rPr>
                      <w:rFonts w:hint="eastAsia"/>
                      <w:color w:val="auto"/>
                      <w:highlight w:val="none"/>
                      <w:lang w:val="en-US" w:eastAsia="zh-CN"/>
                    </w:rPr>
                    <w:t>产污系数一致，</w:t>
                  </w:r>
                  <w:r>
                    <w:rPr>
                      <w:rFonts w:hint="default"/>
                      <w:color w:val="auto"/>
                      <w:highlight w:val="none"/>
                      <w:lang w:val="en-US" w:eastAsia="zh-CN"/>
                    </w:rPr>
                    <w:t>同比例计算非甲烷总烃产生量=0.679</w:t>
                  </w:r>
                  <w:r>
                    <w:rPr>
                      <w:rFonts w:hint="eastAsia"/>
                      <w:color w:val="auto"/>
                      <w:highlight w:val="none"/>
                      <w:lang w:val="en-US" w:eastAsia="zh-CN"/>
                    </w:rPr>
                    <w:t>*</w:t>
                  </w:r>
                  <w:r>
                    <w:rPr>
                      <w:rFonts w:hint="default"/>
                      <w:color w:val="auto"/>
                      <w:highlight w:val="none"/>
                      <w:lang w:val="en-US" w:eastAsia="zh-CN"/>
                    </w:rPr>
                    <w:t>（24.8/251.6）=0.0669，其余同理。</w:t>
                  </w:r>
                </w:p>
              </w:tc>
            </w:tr>
          </w:tbl>
          <w:p w14:paraId="385F6566">
            <w:pPr>
              <w:pStyle w:val="18"/>
              <w:rPr>
                <w:rFonts w:hint="default"/>
                <w:color w:val="auto"/>
                <w:highlight w:val="none"/>
                <w:lang w:val="en-US" w:eastAsia="zh-CN"/>
              </w:rPr>
            </w:pPr>
            <w:r>
              <w:rPr>
                <w:rFonts w:hint="eastAsia"/>
                <w:color w:val="auto"/>
                <w:highlight w:val="none"/>
                <w:lang w:val="en-US" w:eastAsia="zh-CN"/>
              </w:rPr>
              <w:t>现有项目废气污染物为无组织排放，排放量统计如下：</w:t>
            </w:r>
          </w:p>
          <w:p w14:paraId="4C3AF994">
            <w:pPr>
              <w:pStyle w:val="19"/>
              <w:bidi w:val="0"/>
              <w:rPr>
                <w:rFonts w:hint="default"/>
                <w:color w:val="auto"/>
                <w:highlight w:val="none"/>
                <w:lang w:val="en-US" w:eastAsia="zh-CN"/>
              </w:rPr>
            </w:pPr>
            <w:r>
              <w:rPr>
                <w:rFonts w:hint="default" w:ascii="Times New Roman" w:hAnsi="Times New Roman" w:cs="Times New Roman"/>
                <w:color w:val="auto"/>
                <w:highlight w:val="none"/>
              </w:rPr>
              <w:t>表2-</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SEQ 表2- \* ARABIC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12</w:t>
            </w:r>
            <w:r>
              <w:rPr>
                <w:rFonts w:hint="default" w:ascii="Times New Roman" w:hAnsi="Times New Roman" w:cs="Times New Roman"/>
                <w:color w:val="auto"/>
                <w:highlight w:val="none"/>
              </w:rPr>
              <w:fldChar w:fldCharType="end"/>
            </w:r>
            <w:r>
              <w:rPr>
                <w:rFonts w:hint="eastAsia" w:ascii="Times New Roman" w:hAnsi="Times New Roman" w:cs="Times New Roman"/>
                <w:color w:val="auto"/>
                <w:highlight w:val="none"/>
                <w:lang w:val="en-US" w:eastAsia="zh-CN"/>
              </w:rPr>
              <w:t xml:space="preserve">  </w:t>
            </w:r>
            <w:r>
              <w:rPr>
                <w:rFonts w:hint="eastAsia"/>
                <w:color w:val="auto"/>
                <w:highlight w:val="none"/>
                <w:lang w:val="en-US" w:eastAsia="zh-CN"/>
              </w:rPr>
              <w:t>现有项目废气污染物排放量（无组织）</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33"/>
              <w:gridCol w:w="1465"/>
              <w:gridCol w:w="1710"/>
              <w:gridCol w:w="734"/>
              <w:gridCol w:w="1955"/>
              <w:gridCol w:w="1725"/>
            </w:tblGrid>
            <w:tr w14:paraId="2BB6E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440" w:type="pct"/>
                  <w:shd w:val="clear" w:color="auto" w:fill="auto"/>
                  <w:vAlign w:val="center"/>
                </w:tcPr>
                <w:p w14:paraId="7548DA69">
                  <w:pPr>
                    <w:pStyle w:val="20"/>
                    <w:bidi w:val="0"/>
                    <w:rPr>
                      <w:rFonts w:hint="default"/>
                      <w:b/>
                      <w:bCs/>
                      <w:color w:val="auto"/>
                      <w:highlight w:val="none"/>
                      <w:lang w:val="en-US" w:eastAsia="zh-CN"/>
                    </w:rPr>
                  </w:pPr>
                  <w:r>
                    <w:rPr>
                      <w:rFonts w:hint="eastAsia"/>
                      <w:b/>
                      <w:bCs/>
                      <w:color w:val="auto"/>
                      <w:highlight w:val="none"/>
                      <w:lang w:val="en-US" w:eastAsia="zh-CN"/>
                    </w:rPr>
                    <w:t>序号</w:t>
                  </w:r>
                </w:p>
              </w:tc>
              <w:tc>
                <w:tcPr>
                  <w:tcW w:w="880" w:type="pct"/>
                  <w:shd w:val="clear" w:color="auto" w:fill="auto"/>
                  <w:vAlign w:val="center"/>
                </w:tcPr>
                <w:p w14:paraId="113534D8">
                  <w:pPr>
                    <w:pStyle w:val="20"/>
                    <w:bidi w:val="0"/>
                    <w:rPr>
                      <w:rFonts w:hint="default"/>
                      <w:b/>
                      <w:bCs/>
                      <w:color w:val="auto"/>
                      <w:highlight w:val="none"/>
                      <w:lang w:val="en-US" w:eastAsia="zh-CN"/>
                    </w:rPr>
                  </w:pPr>
                  <w:r>
                    <w:rPr>
                      <w:rFonts w:hint="eastAsia"/>
                      <w:b/>
                      <w:bCs/>
                      <w:color w:val="auto"/>
                      <w:highlight w:val="none"/>
                      <w:lang w:val="en-US" w:eastAsia="zh-CN"/>
                    </w:rPr>
                    <w:t>污染物</w:t>
                  </w:r>
                </w:p>
              </w:tc>
              <w:tc>
                <w:tcPr>
                  <w:tcW w:w="1027" w:type="pct"/>
                  <w:shd w:val="clear" w:color="auto" w:fill="auto"/>
                  <w:noWrap/>
                  <w:vAlign w:val="center"/>
                </w:tcPr>
                <w:p w14:paraId="20493DE0">
                  <w:pPr>
                    <w:pStyle w:val="20"/>
                    <w:bidi w:val="0"/>
                    <w:rPr>
                      <w:rFonts w:hint="default"/>
                      <w:b/>
                      <w:bCs/>
                      <w:color w:val="auto"/>
                      <w:highlight w:val="none"/>
                      <w:lang w:val="en-US" w:eastAsia="zh-CN"/>
                    </w:rPr>
                  </w:pPr>
                  <w:r>
                    <w:rPr>
                      <w:rFonts w:hint="eastAsia"/>
                      <w:b/>
                      <w:bCs/>
                      <w:color w:val="auto"/>
                      <w:highlight w:val="none"/>
                      <w:lang w:val="en-US" w:eastAsia="zh-CN"/>
                    </w:rPr>
                    <w:t>无组织排放量</w:t>
                  </w:r>
                </w:p>
              </w:tc>
              <w:tc>
                <w:tcPr>
                  <w:tcW w:w="441" w:type="pct"/>
                  <w:shd w:val="clear" w:color="auto" w:fill="auto"/>
                  <w:noWrap/>
                  <w:vAlign w:val="center"/>
                </w:tcPr>
                <w:p w14:paraId="12C34031">
                  <w:pPr>
                    <w:pStyle w:val="20"/>
                    <w:bidi w:val="0"/>
                    <w:rPr>
                      <w:rFonts w:hint="eastAsia"/>
                      <w:b/>
                      <w:bCs/>
                      <w:color w:val="auto"/>
                      <w:highlight w:val="none"/>
                      <w:lang w:val="en-US" w:eastAsia="zh-CN"/>
                    </w:rPr>
                  </w:pPr>
                  <w:r>
                    <w:rPr>
                      <w:rFonts w:hint="eastAsia"/>
                      <w:b/>
                      <w:bCs/>
                      <w:color w:val="auto"/>
                      <w:highlight w:val="none"/>
                      <w:lang w:val="en-US" w:eastAsia="zh-CN"/>
                    </w:rPr>
                    <w:t>序号</w:t>
                  </w:r>
                </w:p>
              </w:tc>
              <w:tc>
                <w:tcPr>
                  <w:tcW w:w="1174" w:type="pct"/>
                  <w:shd w:val="clear" w:color="auto" w:fill="auto"/>
                  <w:noWrap/>
                  <w:vAlign w:val="center"/>
                </w:tcPr>
                <w:p w14:paraId="729B1B35">
                  <w:pPr>
                    <w:pStyle w:val="20"/>
                    <w:bidi w:val="0"/>
                    <w:rPr>
                      <w:rFonts w:hint="eastAsia"/>
                      <w:b/>
                      <w:bCs/>
                      <w:color w:val="auto"/>
                      <w:highlight w:val="none"/>
                      <w:lang w:val="en-US" w:eastAsia="zh-CN"/>
                    </w:rPr>
                  </w:pPr>
                  <w:r>
                    <w:rPr>
                      <w:rFonts w:hint="eastAsia"/>
                      <w:b/>
                      <w:bCs/>
                      <w:color w:val="auto"/>
                      <w:highlight w:val="none"/>
                      <w:lang w:val="en-US" w:eastAsia="zh-CN"/>
                    </w:rPr>
                    <w:t>污染物</w:t>
                  </w:r>
                </w:p>
              </w:tc>
              <w:tc>
                <w:tcPr>
                  <w:tcW w:w="1036" w:type="pct"/>
                  <w:shd w:val="clear" w:color="auto" w:fill="auto"/>
                  <w:noWrap/>
                  <w:vAlign w:val="center"/>
                </w:tcPr>
                <w:p w14:paraId="2379BB90">
                  <w:pPr>
                    <w:pStyle w:val="20"/>
                    <w:bidi w:val="0"/>
                    <w:rPr>
                      <w:rFonts w:hint="eastAsia"/>
                      <w:b/>
                      <w:bCs/>
                      <w:color w:val="auto"/>
                      <w:highlight w:val="none"/>
                      <w:lang w:val="en-US" w:eastAsia="zh-CN"/>
                    </w:rPr>
                  </w:pPr>
                  <w:r>
                    <w:rPr>
                      <w:rFonts w:hint="eastAsia"/>
                      <w:b/>
                      <w:bCs/>
                      <w:color w:val="auto"/>
                      <w:highlight w:val="none"/>
                      <w:lang w:val="en-US" w:eastAsia="zh-CN"/>
                    </w:rPr>
                    <w:t>无组织排放量</w:t>
                  </w:r>
                </w:p>
              </w:tc>
            </w:tr>
            <w:tr w14:paraId="05370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440" w:type="pct"/>
                  <w:shd w:val="clear" w:color="auto" w:fill="auto"/>
                  <w:vAlign w:val="center"/>
                </w:tcPr>
                <w:p w14:paraId="75650C37">
                  <w:pPr>
                    <w:pStyle w:val="20"/>
                    <w:bidi w:val="0"/>
                    <w:rPr>
                      <w:rFonts w:hint="default"/>
                      <w:color w:val="auto"/>
                      <w:highlight w:val="none"/>
                      <w:lang w:val="en-US" w:eastAsia="zh-CN"/>
                    </w:rPr>
                  </w:pPr>
                  <w:r>
                    <w:rPr>
                      <w:rFonts w:hint="eastAsia"/>
                      <w:color w:val="auto"/>
                      <w:highlight w:val="none"/>
                      <w:lang w:val="en-US" w:eastAsia="zh-CN"/>
                    </w:rPr>
                    <w:t>1</w:t>
                  </w:r>
                </w:p>
              </w:tc>
              <w:tc>
                <w:tcPr>
                  <w:tcW w:w="880" w:type="pct"/>
                  <w:shd w:val="clear" w:color="auto" w:fill="auto"/>
                  <w:vAlign w:val="center"/>
                </w:tcPr>
                <w:p w14:paraId="12855305">
                  <w:pPr>
                    <w:pStyle w:val="20"/>
                    <w:bidi w:val="0"/>
                    <w:rPr>
                      <w:rFonts w:hint="eastAsia"/>
                      <w:color w:val="auto"/>
                      <w:highlight w:val="none"/>
                    </w:rPr>
                  </w:pPr>
                  <w:r>
                    <w:rPr>
                      <w:rFonts w:hint="eastAsia"/>
                      <w:color w:val="auto"/>
                      <w:highlight w:val="none"/>
                      <w:lang w:val="en-US" w:eastAsia="zh-CN"/>
                    </w:rPr>
                    <w:t>非甲烷总烃</w:t>
                  </w:r>
                </w:p>
              </w:tc>
              <w:tc>
                <w:tcPr>
                  <w:tcW w:w="1027" w:type="pct"/>
                  <w:shd w:val="clear" w:color="auto" w:fill="auto"/>
                  <w:noWrap/>
                  <w:vAlign w:val="center"/>
                </w:tcPr>
                <w:p w14:paraId="4DB78027">
                  <w:pPr>
                    <w:pStyle w:val="20"/>
                    <w:bidi w:val="0"/>
                    <w:rPr>
                      <w:rFonts w:hint="default"/>
                      <w:color w:val="auto"/>
                      <w:highlight w:val="none"/>
                      <w:lang w:val="en-US"/>
                    </w:rPr>
                  </w:pPr>
                  <w:r>
                    <w:rPr>
                      <w:rFonts w:hint="eastAsia"/>
                      <w:color w:val="auto"/>
                      <w:highlight w:val="none"/>
                      <w:lang w:val="en-US" w:eastAsia="zh-CN"/>
                    </w:rPr>
                    <w:t>0.1847</w:t>
                  </w:r>
                </w:p>
              </w:tc>
              <w:tc>
                <w:tcPr>
                  <w:tcW w:w="441" w:type="pct"/>
                  <w:shd w:val="clear" w:color="auto" w:fill="auto"/>
                  <w:noWrap/>
                  <w:vAlign w:val="center"/>
                </w:tcPr>
                <w:p w14:paraId="35BA0408">
                  <w:pPr>
                    <w:pStyle w:val="20"/>
                    <w:bidi w:val="0"/>
                    <w:rPr>
                      <w:rFonts w:hint="default"/>
                      <w:color w:val="auto"/>
                      <w:highlight w:val="none"/>
                      <w:lang w:val="en-US" w:eastAsia="zh-CN"/>
                    </w:rPr>
                  </w:pPr>
                  <w:r>
                    <w:rPr>
                      <w:rFonts w:hint="eastAsia"/>
                      <w:color w:val="auto"/>
                      <w:highlight w:val="none"/>
                      <w:lang w:val="en-US" w:eastAsia="zh-CN"/>
                    </w:rPr>
                    <w:t>7</w:t>
                  </w:r>
                </w:p>
              </w:tc>
              <w:tc>
                <w:tcPr>
                  <w:tcW w:w="1174" w:type="pct"/>
                  <w:shd w:val="clear" w:color="auto" w:fill="auto"/>
                  <w:noWrap/>
                  <w:vAlign w:val="center"/>
                </w:tcPr>
                <w:p w14:paraId="690866EB">
                  <w:pPr>
                    <w:pStyle w:val="20"/>
                    <w:bidi w:val="0"/>
                    <w:rPr>
                      <w:rFonts w:hint="eastAsia"/>
                      <w:color w:val="auto"/>
                      <w:highlight w:val="none"/>
                      <w:lang w:val="en-US" w:eastAsia="zh-CN"/>
                    </w:rPr>
                  </w:pPr>
                  <w:r>
                    <w:rPr>
                      <w:rFonts w:hint="eastAsia"/>
                      <w:color w:val="auto"/>
                      <w:highlight w:val="none"/>
                      <w:lang w:val="en-US" w:eastAsia="zh-CN"/>
                    </w:rPr>
                    <w:t>甲基丙烯酸甲酯</w:t>
                  </w:r>
                </w:p>
              </w:tc>
              <w:tc>
                <w:tcPr>
                  <w:tcW w:w="1036" w:type="pct"/>
                  <w:shd w:val="clear" w:color="auto" w:fill="auto"/>
                  <w:noWrap/>
                  <w:vAlign w:val="center"/>
                </w:tcPr>
                <w:p w14:paraId="6C550992">
                  <w:pPr>
                    <w:pStyle w:val="20"/>
                    <w:bidi w:val="0"/>
                    <w:rPr>
                      <w:rFonts w:hint="eastAsia"/>
                      <w:color w:val="auto"/>
                      <w:highlight w:val="none"/>
                      <w:lang w:val="en-US" w:eastAsia="zh-CN"/>
                    </w:rPr>
                  </w:pPr>
                  <w:r>
                    <w:rPr>
                      <w:rFonts w:hint="eastAsia"/>
                      <w:color w:val="auto"/>
                      <w:highlight w:val="none"/>
                      <w:lang w:val="en-US" w:eastAsia="zh-CN"/>
                    </w:rPr>
                    <w:t>0.0226</w:t>
                  </w:r>
                </w:p>
              </w:tc>
            </w:tr>
            <w:tr w14:paraId="73FC1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40" w:type="pct"/>
                  <w:shd w:val="clear" w:color="auto" w:fill="auto"/>
                  <w:vAlign w:val="center"/>
                </w:tcPr>
                <w:p w14:paraId="1291CBFC">
                  <w:pPr>
                    <w:pStyle w:val="20"/>
                    <w:bidi w:val="0"/>
                    <w:rPr>
                      <w:rFonts w:hint="default"/>
                      <w:color w:val="auto"/>
                      <w:highlight w:val="none"/>
                      <w:lang w:val="en-US" w:eastAsia="zh-CN"/>
                    </w:rPr>
                  </w:pPr>
                  <w:r>
                    <w:rPr>
                      <w:rFonts w:hint="eastAsia"/>
                      <w:color w:val="auto"/>
                      <w:highlight w:val="none"/>
                      <w:lang w:val="en-US" w:eastAsia="zh-CN"/>
                    </w:rPr>
                    <w:t>2</w:t>
                  </w:r>
                </w:p>
              </w:tc>
              <w:tc>
                <w:tcPr>
                  <w:tcW w:w="880" w:type="pct"/>
                  <w:shd w:val="clear" w:color="auto" w:fill="auto"/>
                  <w:vAlign w:val="center"/>
                </w:tcPr>
                <w:p w14:paraId="1A7CE1BA">
                  <w:pPr>
                    <w:pStyle w:val="20"/>
                    <w:bidi w:val="0"/>
                    <w:rPr>
                      <w:rFonts w:hint="eastAsia"/>
                      <w:color w:val="auto"/>
                      <w:highlight w:val="none"/>
                    </w:rPr>
                  </w:pPr>
                  <w:r>
                    <w:rPr>
                      <w:rFonts w:hint="eastAsia"/>
                      <w:color w:val="auto"/>
                      <w:highlight w:val="none"/>
                      <w:lang w:val="en-US" w:eastAsia="zh-CN"/>
                    </w:rPr>
                    <w:t>丙烯腈</w:t>
                  </w:r>
                </w:p>
              </w:tc>
              <w:tc>
                <w:tcPr>
                  <w:tcW w:w="1027" w:type="pct"/>
                  <w:shd w:val="clear" w:color="auto" w:fill="auto"/>
                  <w:noWrap/>
                  <w:vAlign w:val="center"/>
                </w:tcPr>
                <w:p w14:paraId="6323A974">
                  <w:pPr>
                    <w:pStyle w:val="20"/>
                    <w:bidi w:val="0"/>
                    <w:rPr>
                      <w:rFonts w:hint="eastAsia"/>
                      <w:color w:val="auto"/>
                      <w:highlight w:val="none"/>
                    </w:rPr>
                  </w:pPr>
                  <w:r>
                    <w:rPr>
                      <w:rFonts w:hint="eastAsia"/>
                      <w:color w:val="auto"/>
                      <w:highlight w:val="none"/>
                      <w:lang w:val="en-US" w:eastAsia="zh-CN"/>
                    </w:rPr>
                    <w:t>0.0021</w:t>
                  </w:r>
                </w:p>
              </w:tc>
              <w:tc>
                <w:tcPr>
                  <w:tcW w:w="441" w:type="pct"/>
                  <w:shd w:val="clear" w:color="auto" w:fill="auto"/>
                  <w:noWrap/>
                  <w:vAlign w:val="center"/>
                </w:tcPr>
                <w:p w14:paraId="1B122DA8">
                  <w:pPr>
                    <w:pStyle w:val="20"/>
                    <w:bidi w:val="0"/>
                    <w:rPr>
                      <w:rFonts w:hint="default"/>
                      <w:color w:val="auto"/>
                      <w:highlight w:val="none"/>
                      <w:lang w:val="en-US" w:eastAsia="zh-CN"/>
                    </w:rPr>
                  </w:pPr>
                  <w:r>
                    <w:rPr>
                      <w:rFonts w:hint="eastAsia"/>
                      <w:color w:val="auto"/>
                      <w:highlight w:val="none"/>
                      <w:lang w:val="en-US" w:eastAsia="zh-CN"/>
                    </w:rPr>
                    <w:t>8</w:t>
                  </w:r>
                </w:p>
              </w:tc>
              <w:tc>
                <w:tcPr>
                  <w:tcW w:w="1174" w:type="pct"/>
                  <w:shd w:val="clear" w:color="auto" w:fill="auto"/>
                  <w:noWrap/>
                  <w:vAlign w:val="center"/>
                </w:tcPr>
                <w:p w14:paraId="4CB2D101">
                  <w:pPr>
                    <w:pStyle w:val="20"/>
                    <w:bidi w:val="0"/>
                    <w:rPr>
                      <w:rFonts w:hint="eastAsia"/>
                      <w:color w:val="auto"/>
                      <w:highlight w:val="none"/>
                      <w:lang w:val="en-US" w:eastAsia="zh-CN"/>
                    </w:rPr>
                  </w:pPr>
                  <w:r>
                    <w:rPr>
                      <w:rFonts w:hint="eastAsia"/>
                      <w:color w:val="auto"/>
                      <w:highlight w:val="none"/>
                      <w:lang w:val="en-US" w:eastAsia="zh-CN"/>
                    </w:rPr>
                    <w:t>丙烯酸甲酯</w:t>
                  </w:r>
                </w:p>
              </w:tc>
              <w:tc>
                <w:tcPr>
                  <w:tcW w:w="1036" w:type="pct"/>
                  <w:shd w:val="clear" w:color="auto" w:fill="auto"/>
                  <w:noWrap/>
                  <w:vAlign w:val="center"/>
                </w:tcPr>
                <w:p w14:paraId="4BBE2CD2">
                  <w:pPr>
                    <w:pStyle w:val="20"/>
                    <w:bidi w:val="0"/>
                    <w:rPr>
                      <w:rFonts w:hint="eastAsia"/>
                      <w:color w:val="auto"/>
                      <w:highlight w:val="none"/>
                      <w:lang w:val="en-US" w:eastAsia="zh-CN"/>
                    </w:rPr>
                  </w:pPr>
                  <w:r>
                    <w:rPr>
                      <w:rFonts w:hint="eastAsia"/>
                      <w:color w:val="auto"/>
                      <w:highlight w:val="none"/>
                      <w:lang w:val="en-US" w:eastAsia="zh-CN"/>
                    </w:rPr>
                    <w:t>0.0006</w:t>
                  </w:r>
                </w:p>
              </w:tc>
            </w:tr>
            <w:tr w14:paraId="3AA03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40" w:type="pct"/>
                  <w:shd w:val="clear" w:color="auto" w:fill="auto"/>
                  <w:vAlign w:val="center"/>
                </w:tcPr>
                <w:p w14:paraId="08A98E81">
                  <w:pPr>
                    <w:pStyle w:val="20"/>
                    <w:bidi w:val="0"/>
                    <w:rPr>
                      <w:rFonts w:hint="default"/>
                      <w:color w:val="auto"/>
                      <w:highlight w:val="none"/>
                      <w:lang w:val="en-US" w:eastAsia="zh-CN"/>
                    </w:rPr>
                  </w:pPr>
                  <w:r>
                    <w:rPr>
                      <w:rFonts w:hint="eastAsia"/>
                      <w:color w:val="auto"/>
                      <w:highlight w:val="none"/>
                      <w:lang w:val="en-US" w:eastAsia="zh-CN"/>
                    </w:rPr>
                    <w:t>3</w:t>
                  </w:r>
                </w:p>
              </w:tc>
              <w:tc>
                <w:tcPr>
                  <w:tcW w:w="880" w:type="pct"/>
                  <w:shd w:val="clear" w:color="auto" w:fill="auto"/>
                  <w:vAlign w:val="center"/>
                </w:tcPr>
                <w:p w14:paraId="2F81124D">
                  <w:pPr>
                    <w:pStyle w:val="20"/>
                    <w:bidi w:val="0"/>
                    <w:rPr>
                      <w:rFonts w:hint="eastAsia"/>
                      <w:color w:val="auto"/>
                      <w:highlight w:val="none"/>
                    </w:rPr>
                  </w:pPr>
                  <w:r>
                    <w:rPr>
                      <w:rFonts w:hint="eastAsia"/>
                      <w:color w:val="auto"/>
                      <w:highlight w:val="none"/>
                      <w:lang w:val="en-US" w:eastAsia="zh-CN"/>
                    </w:rPr>
                    <w:t>1,3-丁二烯</w:t>
                  </w:r>
                </w:p>
              </w:tc>
              <w:tc>
                <w:tcPr>
                  <w:tcW w:w="1027" w:type="pct"/>
                  <w:shd w:val="clear" w:color="auto" w:fill="auto"/>
                  <w:noWrap/>
                  <w:vAlign w:val="center"/>
                </w:tcPr>
                <w:p w14:paraId="4987A118">
                  <w:pPr>
                    <w:pStyle w:val="20"/>
                    <w:bidi w:val="0"/>
                    <w:rPr>
                      <w:rFonts w:hint="eastAsia"/>
                      <w:color w:val="auto"/>
                      <w:highlight w:val="none"/>
                    </w:rPr>
                  </w:pPr>
                  <w:r>
                    <w:rPr>
                      <w:rFonts w:hint="eastAsia"/>
                      <w:color w:val="auto"/>
                      <w:highlight w:val="none"/>
                      <w:lang w:val="en-US" w:eastAsia="zh-CN"/>
                    </w:rPr>
                    <w:t>0.0001</w:t>
                  </w:r>
                </w:p>
              </w:tc>
              <w:tc>
                <w:tcPr>
                  <w:tcW w:w="441" w:type="pct"/>
                  <w:shd w:val="clear" w:color="auto" w:fill="auto"/>
                  <w:noWrap/>
                  <w:vAlign w:val="center"/>
                </w:tcPr>
                <w:p w14:paraId="571BB3F3">
                  <w:pPr>
                    <w:pStyle w:val="20"/>
                    <w:bidi w:val="0"/>
                    <w:rPr>
                      <w:rFonts w:hint="default"/>
                      <w:color w:val="auto"/>
                      <w:highlight w:val="none"/>
                      <w:lang w:val="en-US" w:eastAsia="zh-CN"/>
                    </w:rPr>
                  </w:pPr>
                  <w:r>
                    <w:rPr>
                      <w:rFonts w:hint="eastAsia"/>
                      <w:color w:val="auto"/>
                      <w:highlight w:val="none"/>
                      <w:lang w:val="en-US" w:eastAsia="zh-CN"/>
                    </w:rPr>
                    <w:t>9</w:t>
                  </w:r>
                </w:p>
              </w:tc>
              <w:tc>
                <w:tcPr>
                  <w:tcW w:w="1174" w:type="pct"/>
                  <w:shd w:val="clear" w:color="auto" w:fill="auto"/>
                  <w:noWrap/>
                  <w:vAlign w:val="center"/>
                </w:tcPr>
                <w:p w14:paraId="47EE3125">
                  <w:pPr>
                    <w:pStyle w:val="20"/>
                    <w:bidi w:val="0"/>
                    <w:rPr>
                      <w:rFonts w:hint="eastAsia"/>
                      <w:color w:val="auto"/>
                      <w:highlight w:val="none"/>
                      <w:lang w:val="en-US" w:eastAsia="zh-CN"/>
                    </w:rPr>
                  </w:pPr>
                  <w:r>
                    <w:rPr>
                      <w:rFonts w:hint="eastAsia"/>
                      <w:color w:val="auto"/>
                      <w:highlight w:val="none"/>
                      <w:lang w:val="en-US" w:eastAsia="zh-CN"/>
                    </w:rPr>
                    <w:t>丙烯酸</w:t>
                  </w:r>
                </w:p>
              </w:tc>
              <w:tc>
                <w:tcPr>
                  <w:tcW w:w="1036" w:type="pct"/>
                  <w:shd w:val="clear" w:color="auto" w:fill="auto"/>
                  <w:noWrap/>
                  <w:vAlign w:val="center"/>
                </w:tcPr>
                <w:p w14:paraId="42FAEF30">
                  <w:pPr>
                    <w:pStyle w:val="20"/>
                    <w:bidi w:val="0"/>
                    <w:rPr>
                      <w:rFonts w:hint="eastAsia"/>
                      <w:color w:val="auto"/>
                      <w:highlight w:val="none"/>
                      <w:lang w:val="en-US" w:eastAsia="zh-CN"/>
                    </w:rPr>
                  </w:pPr>
                  <w:r>
                    <w:rPr>
                      <w:rFonts w:hint="eastAsia"/>
                      <w:color w:val="auto"/>
                      <w:highlight w:val="none"/>
                      <w:lang w:val="en-US" w:eastAsia="zh-CN"/>
                    </w:rPr>
                    <w:t>0.0083</w:t>
                  </w:r>
                </w:p>
              </w:tc>
            </w:tr>
            <w:tr w14:paraId="63E7D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440" w:type="pct"/>
                  <w:shd w:val="clear" w:color="auto" w:fill="auto"/>
                  <w:vAlign w:val="center"/>
                </w:tcPr>
                <w:p w14:paraId="4653FF92">
                  <w:pPr>
                    <w:pStyle w:val="20"/>
                    <w:bidi w:val="0"/>
                    <w:rPr>
                      <w:rFonts w:hint="default"/>
                      <w:color w:val="auto"/>
                      <w:highlight w:val="none"/>
                      <w:lang w:val="en-US" w:eastAsia="zh-CN"/>
                    </w:rPr>
                  </w:pPr>
                  <w:r>
                    <w:rPr>
                      <w:rFonts w:hint="eastAsia"/>
                      <w:color w:val="auto"/>
                      <w:highlight w:val="none"/>
                      <w:lang w:val="en-US" w:eastAsia="zh-CN"/>
                    </w:rPr>
                    <w:t>4</w:t>
                  </w:r>
                </w:p>
              </w:tc>
              <w:tc>
                <w:tcPr>
                  <w:tcW w:w="880" w:type="pct"/>
                  <w:shd w:val="clear" w:color="auto" w:fill="auto"/>
                  <w:vAlign w:val="center"/>
                </w:tcPr>
                <w:p w14:paraId="1F4B38D1">
                  <w:pPr>
                    <w:pStyle w:val="20"/>
                    <w:bidi w:val="0"/>
                    <w:rPr>
                      <w:rFonts w:hint="eastAsia"/>
                      <w:color w:val="auto"/>
                      <w:highlight w:val="none"/>
                    </w:rPr>
                  </w:pPr>
                  <w:r>
                    <w:rPr>
                      <w:rFonts w:hint="eastAsia"/>
                      <w:color w:val="auto"/>
                      <w:highlight w:val="none"/>
                      <w:lang w:val="en-US" w:eastAsia="zh-CN"/>
                    </w:rPr>
                    <w:t>苯乙烯</w:t>
                  </w:r>
                </w:p>
              </w:tc>
              <w:tc>
                <w:tcPr>
                  <w:tcW w:w="1027" w:type="pct"/>
                  <w:shd w:val="clear" w:color="auto" w:fill="auto"/>
                  <w:noWrap/>
                  <w:vAlign w:val="center"/>
                </w:tcPr>
                <w:p w14:paraId="45E26640">
                  <w:pPr>
                    <w:pStyle w:val="20"/>
                    <w:bidi w:val="0"/>
                    <w:rPr>
                      <w:rFonts w:hint="default"/>
                      <w:color w:val="auto"/>
                      <w:highlight w:val="none"/>
                      <w:lang w:val="en-US"/>
                    </w:rPr>
                  </w:pPr>
                  <w:r>
                    <w:rPr>
                      <w:rFonts w:hint="eastAsia"/>
                      <w:color w:val="auto"/>
                      <w:highlight w:val="none"/>
                      <w:lang w:val="en-US" w:eastAsia="zh-CN"/>
                    </w:rPr>
                    <w:t>0.0463</w:t>
                  </w:r>
                </w:p>
              </w:tc>
              <w:tc>
                <w:tcPr>
                  <w:tcW w:w="441" w:type="pct"/>
                  <w:shd w:val="clear" w:color="auto" w:fill="auto"/>
                  <w:noWrap/>
                  <w:vAlign w:val="center"/>
                </w:tcPr>
                <w:p w14:paraId="4E9B830A">
                  <w:pPr>
                    <w:pStyle w:val="20"/>
                    <w:bidi w:val="0"/>
                    <w:rPr>
                      <w:rFonts w:hint="default"/>
                      <w:color w:val="auto"/>
                      <w:highlight w:val="none"/>
                      <w:lang w:val="en-US" w:eastAsia="zh-CN"/>
                    </w:rPr>
                  </w:pPr>
                  <w:r>
                    <w:rPr>
                      <w:rFonts w:hint="eastAsia"/>
                      <w:color w:val="auto"/>
                      <w:highlight w:val="none"/>
                      <w:lang w:val="en-US" w:eastAsia="zh-CN"/>
                    </w:rPr>
                    <w:t>10</w:t>
                  </w:r>
                </w:p>
              </w:tc>
              <w:tc>
                <w:tcPr>
                  <w:tcW w:w="1174" w:type="pct"/>
                  <w:shd w:val="clear" w:color="auto" w:fill="auto"/>
                  <w:noWrap/>
                  <w:vAlign w:val="center"/>
                </w:tcPr>
                <w:p w14:paraId="250F3455">
                  <w:pPr>
                    <w:pStyle w:val="20"/>
                    <w:bidi w:val="0"/>
                    <w:rPr>
                      <w:rFonts w:hint="eastAsia"/>
                      <w:color w:val="auto"/>
                      <w:highlight w:val="none"/>
                      <w:lang w:val="en-US" w:eastAsia="zh-CN"/>
                    </w:rPr>
                  </w:pPr>
                  <w:r>
                    <w:rPr>
                      <w:rFonts w:hint="eastAsia"/>
                      <w:color w:val="auto"/>
                      <w:highlight w:val="none"/>
                      <w:lang w:val="en-US" w:eastAsia="zh-CN"/>
                    </w:rPr>
                    <w:t>丙烯酸丁酯</w:t>
                  </w:r>
                </w:p>
              </w:tc>
              <w:tc>
                <w:tcPr>
                  <w:tcW w:w="1036" w:type="pct"/>
                  <w:shd w:val="clear" w:color="auto" w:fill="auto"/>
                  <w:noWrap/>
                  <w:vAlign w:val="center"/>
                </w:tcPr>
                <w:p w14:paraId="272E281B">
                  <w:pPr>
                    <w:pStyle w:val="20"/>
                    <w:bidi w:val="0"/>
                    <w:rPr>
                      <w:rFonts w:hint="eastAsia"/>
                      <w:color w:val="auto"/>
                      <w:highlight w:val="none"/>
                      <w:lang w:val="en-US" w:eastAsia="zh-CN"/>
                    </w:rPr>
                  </w:pPr>
                  <w:r>
                    <w:rPr>
                      <w:rFonts w:hint="eastAsia"/>
                      <w:color w:val="auto"/>
                      <w:highlight w:val="none"/>
                      <w:lang w:val="en-US" w:eastAsia="zh-CN"/>
                    </w:rPr>
                    <w:t>0.0416</w:t>
                  </w:r>
                </w:p>
              </w:tc>
            </w:tr>
            <w:tr w14:paraId="1861A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440" w:type="pct"/>
                  <w:shd w:val="clear" w:color="auto" w:fill="auto"/>
                  <w:vAlign w:val="center"/>
                </w:tcPr>
                <w:p w14:paraId="0AC1A157">
                  <w:pPr>
                    <w:pStyle w:val="20"/>
                    <w:bidi w:val="0"/>
                    <w:rPr>
                      <w:rFonts w:hint="default"/>
                      <w:color w:val="auto"/>
                      <w:highlight w:val="none"/>
                      <w:lang w:val="en-US" w:eastAsia="zh-CN"/>
                    </w:rPr>
                  </w:pPr>
                  <w:r>
                    <w:rPr>
                      <w:rFonts w:hint="eastAsia"/>
                      <w:color w:val="auto"/>
                      <w:highlight w:val="none"/>
                      <w:lang w:val="en-US" w:eastAsia="zh-CN"/>
                    </w:rPr>
                    <w:t>5</w:t>
                  </w:r>
                </w:p>
              </w:tc>
              <w:tc>
                <w:tcPr>
                  <w:tcW w:w="880" w:type="pct"/>
                  <w:shd w:val="clear" w:color="auto" w:fill="auto"/>
                  <w:vAlign w:val="center"/>
                </w:tcPr>
                <w:p w14:paraId="558304AA">
                  <w:pPr>
                    <w:pStyle w:val="20"/>
                    <w:bidi w:val="0"/>
                    <w:rPr>
                      <w:rFonts w:hint="eastAsia"/>
                      <w:color w:val="auto"/>
                      <w:highlight w:val="none"/>
                    </w:rPr>
                  </w:pPr>
                  <w:r>
                    <w:rPr>
                      <w:rFonts w:hint="eastAsia"/>
                      <w:color w:val="auto"/>
                      <w:highlight w:val="none"/>
                      <w:lang w:val="en-US" w:eastAsia="zh-CN"/>
                    </w:rPr>
                    <w:t>甲苯</w:t>
                  </w:r>
                </w:p>
              </w:tc>
              <w:tc>
                <w:tcPr>
                  <w:tcW w:w="1027" w:type="pct"/>
                  <w:shd w:val="clear" w:color="auto" w:fill="auto"/>
                  <w:noWrap/>
                  <w:vAlign w:val="center"/>
                </w:tcPr>
                <w:p w14:paraId="3D45D2A9">
                  <w:pPr>
                    <w:pStyle w:val="20"/>
                    <w:bidi w:val="0"/>
                    <w:rPr>
                      <w:rFonts w:hint="default"/>
                      <w:color w:val="auto"/>
                      <w:highlight w:val="none"/>
                      <w:lang w:val="en-US"/>
                    </w:rPr>
                  </w:pPr>
                  <w:r>
                    <w:rPr>
                      <w:rFonts w:hint="eastAsia"/>
                      <w:color w:val="auto"/>
                      <w:highlight w:val="none"/>
                      <w:lang w:val="en-US" w:eastAsia="zh-CN"/>
                    </w:rPr>
                    <w:t>0.0013</w:t>
                  </w:r>
                </w:p>
              </w:tc>
              <w:tc>
                <w:tcPr>
                  <w:tcW w:w="441" w:type="pct"/>
                  <w:shd w:val="clear" w:color="auto" w:fill="auto"/>
                  <w:noWrap/>
                  <w:vAlign w:val="center"/>
                </w:tcPr>
                <w:p w14:paraId="07C71B1D">
                  <w:pPr>
                    <w:pStyle w:val="20"/>
                    <w:bidi w:val="0"/>
                    <w:rPr>
                      <w:rFonts w:hint="default"/>
                      <w:color w:val="auto"/>
                      <w:highlight w:val="none"/>
                      <w:lang w:val="en-US" w:eastAsia="zh-CN"/>
                    </w:rPr>
                  </w:pPr>
                  <w:r>
                    <w:rPr>
                      <w:rFonts w:hint="eastAsia"/>
                      <w:color w:val="auto"/>
                      <w:highlight w:val="none"/>
                      <w:lang w:val="en-US" w:eastAsia="zh-CN"/>
                    </w:rPr>
                    <w:t>11</w:t>
                  </w:r>
                </w:p>
              </w:tc>
              <w:tc>
                <w:tcPr>
                  <w:tcW w:w="1174" w:type="pct"/>
                  <w:shd w:val="clear" w:color="auto" w:fill="auto"/>
                  <w:noWrap/>
                  <w:vAlign w:val="center"/>
                </w:tcPr>
                <w:p w14:paraId="1F0B02F3">
                  <w:pPr>
                    <w:pStyle w:val="20"/>
                    <w:bidi w:val="0"/>
                    <w:rPr>
                      <w:rFonts w:hint="eastAsia"/>
                      <w:color w:val="auto"/>
                      <w:highlight w:val="none"/>
                      <w:lang w:val="en-US" w:eastAsia="zh-CN"/>
                    </w:rPr>
                  </w:pPr>
                  <w:r>
                    <w:rPr>
                      <w:rFonts w:hint="eastAsia"/>
                      <w:color w:val="auto"/>
                      <w:highlight w:val="none"/>
                      <w:lang w:val="en-US" w:eastAsia="zh-CN"/>
                    </w:rPr>
                    <w:t>颗粒物</w:t>
                  </w:r>
                </w:p>
              </w:tc>
              <w:tc>
                <w:tcPr>
                  <w:tcW w:w="1036" w:type="pct"/>
                  <w:shd w:val="clear" w:color="auto" w:fill="auto"/>
                  <w:noWrap/>
                  <w:vAlign w:val="center"/>
                </w:tcPr>
                <w:p w14:paraId="73500203">
                  <w:pPr>
                    <w:pStyle w:val="20"/>
                    <w:bidi w:val="0"/>
                    <w:rPr>
                      <w:rFonts w:hint="eastAsia"/>
                      <w:color w:val="auto"/>
                      <w:highlight w:val="none"/>
                      <w:lang w:val="en-US" w:eastAsia="zh-CN"/>
                    </w:rPr>
                  </w:pPr>
                  <w:r>
                    <w:rPr>
                      <w:rFonts w:hint="eastAsia"/>
                      <w:color w:val="auto"/>
                      <w:highlight w:val="none"/>
                      <w:lang w:val="en-US" w:eastAsia="zh-CN"/>
                    </w:rPr>
                    <w:t>0.0026</w:t>
                  </w:r>
                </w:p>
              </w:tc>
            </w:tr>
            <w:tr w14:paraId="22D42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440" w:type="pct"/>
                  <w:shd w:val="clear" w:color="auto" w:fill="auto"/>
                  <w:vAlign w:val="center"/>
                </w:tcPr>
                <w:p w14:paraId="227D25AC">
                  <w:pPr>
                    <w:pStyle w:val="20"/>
                    <w:bidi w:val="0"/>
                    <w:rPr>
                      <w:rFonts w:hint="default"/>
                      <w:color w:val="auto"/>
                      <w:highlight w:val="none"/>
                      <w:lang w:val="en-US" w:eastAsia="zh-CN"/>
                    </w:rPr>
                  </w:pPr>
                  <w:r>
                    <w:rPr>
                      <w:rFonts w:hint="eastAsia"/>
                      <w:color w:val="auto"/>
                      <w:highlight w:val="none"/>
                      <w:lang w:val="en-US" w:eastAsia="zh-CN"/>
                    </w:rPr>
                    <w:t>6</w:t>
                  </w:r>
                </w:p>
              </w:tc>
              <w:tc>
                <w:tcPr>
                  <w:tcW w:w="880" w:type="pct"/>
                  <w:shd w:val="clear" w:color="auto" w:fill="auto"/>
                  <w:vAlign w:val="center"/>
                </w:tcPr>
                <w:p w14:paraId="3C93E5A7">
                  <w:pPr>
                    <w:pStyle w:val="20"/>
                    <w:bidi w:val="0"/>
                    <w:rPr>
                      <w:rFonts w:hint="eastAsia"/>
                      <w:color w:val="auto"/>
                      <w:highlight w:val="none"/>
                      <w:lang w:val="en-US" w:eastAsia="zh-CN"/>
                    </w:rPr>
                  </w:pPr>
                  <w:r>
                    <w:rPr>
                      <w:rFonts w:hint="eastAsia"/>
                      <w:color w:val="auto"/>
                      <w:highlight w:val="none"/>
                      <w:lang w:val="en-US" w:eastAsia="zh-CN"/>
                    </w:rPr>
                    <w:t>乙苯</w:t>
                  </w:r>
                </w:p>
              </w:tc>
              <w:tc>
                <w:tcPr>
                  <w:tcW w:w="1027" w:type="pct"/>
                  <w:shd w:val="clear" w:color="auto" w:fill="auto"/>
                  <w:noWrap/>
                  <w:vAlign w:val="center"/>
                </w:tcPr>
                <w:p w14:paraId="77D4F65E">
                  <w:pPr>
                    <w:pStyle w:val="20"/>
                    <w:bidi w:val="0"/>
                    <w:rPr>
                      <w:rFonts w:hint="default"/>
                      <w:color w:val="auto"/>
                      <w:highlight w:val="none"/>
                      <w:lang w:val="en-US" w:eastAsia="zh-CN"/>
                    </w:rPr>
                  </w:pPr>
                  <w:r>
                    <w:rPr>
                      <w:rFonts w:hint="eastAsia"/>
                      <w:color w:val="auto"/>
                      <w:highlight w:val="none"/>
                      <w:lang w:val="en-US" w:eastAsia="zh-CN"/>
                    </w:rPr>
                    <w:t>0.0055</w:t>
                  </w:r>
                </w:p>
              </w:tc>
              <w:tc>
                <w:tcPr>
                  <w:tcW w:w="441" w:type="pct"/>
                  <w:shd w:val="clear" w:color="auto" w:fill="auto"/>
                  <w:noWrap/>
                  <w:vAlign w:val="center"/>
                </w:tcPr>
                <w:p w14:paraId="605BB50A">
                  <w:pPr>
                    <w:pStyle w:val="20"/>
                    <w:bidi w:val="0"/>
                    <w:rPr>
                      <w:rFonts w:hint="default"/>
                      <w:color w:val="auto"/>
                      <w:highlight w:val="none"/>
                      <w:lang w:val="en-US" w:eastAsia="zh-CN"/>
                    </w:rPr>
                  </w:pPr>
                  <w:r>
                    <w:rPr>
                      <w:rFonts w:hint="eastAsia"/>
                      <w:color w:val="auto"/>
                      <w:highlight w:val="none"/>
                      <w:lang w:val="en-US" w:eastAsia="zh-CN"/>
                    </w:rPr>
                    <w:t>/</w:t>
                  </w:r>
                </w:p>
              </w:tc>
              <w:tc>
                <w:tcPr>
                  <w:tcW w:w="1174" w:type="pct"/>
                  <w:shd w:val="clear" w:color="auto" w:fill="auto"/>
                  <w:noWrap/>
                  <w:vAlign w:val="center"/>
                </w:tcPr>
                <w:p w14:paraId="36F618C8">
                  <w:pPr>
                    <w:pStyle w:val="20"/>
                    <w:bidi w:val="0"/>
                    <w:rPr>
                      <w:rFonts w:hint="default"/>
                      <w:color w:val="auto"/>
                      <w:highlight w:val="none"/>
                      <w:lang w:val="en-US" w:eastAsia="zh-CN"/>
                    </w:rPr>
                  </w:pPr>
                  <w:r>
                    <w:rPr>
                      <w:rFonts w:hint="eastAsia"/>
                      <w:color w:val="auto"/>
                      <w:highlight w:val="none"/>
                      <w:lang w:val="en-US" w:eastAsia="zh-CN"/>
                    </w:rPr>
                    <w:t>/</w:t>
                  </w:r>
                </w:p>
              </w:tc>
              <w:tc>
                <w:tcPr>
                  <w:tcW w:w="1036" w:type="pct"/>
                  <w:shd w:val="clear" w:color="auto" w:fill="auto"/>
                  <w:noWrap/>
                  <w:vAlign w:val="center"/>
                </w:tcPr>
                <w:p w14:paraId="36054D97">
                  <w:pPr>
                    <w:pStyle w:val="20"/>
                    <w:bidi w:val="0"/>
                    <w:rPr>
                      <w:rFonts w:hint="default"/>
                      <w:color w:val="auto"/>
                      <w:highlight w:val="none"/>
                      <w:lang w:val="en-US" w:eastAsia="zh-CN"/>
                    </w:rPr>
                  </w:pPr>
                  <w:r>
                    <w:rPr>
                      <w:rFonts w:hint="eastAsia"/>
                      <w:color w:val="auto"/>
                      <w:highlight w:val="none"/>
                      <w:lang w:val="en-US" w:eastAsia="zh-CN"/>
                    </w:rPr>
                    <w:t>/</w:t>
                  </w:r>
                </w:p>
              </w:tc>
            </w:tr>
          </w:tbl>
          <w:p w14:paraId="0D8F8A32">
            <w:pPr>
              <w:pStyle w:val="18"/>
              <w:bidi w:val="0"/>
              <w:rPr>
                <w:rFonts w:hint="eastAsia"/>
                <w:color w:val="auto"/>
                <w:highlight w:val="none"/>
                <w:lang w:val="en-US" w:eastAsia="zh-CN"/>
              </w:rPr>
            </w:pPr>
            <w:r>
              <w:rPr>
                <w:rFonts w:hint="eastAsia"/>
                <w:color w:val="auto"/>
                <w:highlight w:val="none"/>
                <w:lang w:val="en-US" w:eastAsia="zh-CN"/>
              </w:rPr>
              <w:t>项目扩建后注塑废气有组织排放，治理后可减少现有项目污染物排放量，根据</w:t>
            </w:r>
            <w:r>
              <w:rPr>
                <w:rFonts w:hint="eastAsia"/>
                <w:color w:val="auto"/>
                <w:highlight w:val="none"/>
              </w:rPr>
              <w:t>废气污染物排放源强核算</w:t>
            </w:r>
            <w:r>
              <w:rPr>
                <w:rFonts w:hint="eastAsia"/>
                <w:color w:val="auto"/>
                <w:highlight w:val="none"/>
                <w:lang w:eastAsia="zh-CN"/>
              </w:rPr>
              <w:t>，</w:t>
            </w:r>
            <w:r>
              <w:rPr>
                <w:rFonts w:hint="eastAsia"/>
                <w:color w:val="auto"/>
                <w:highlight w:val="none"/>
                <w:lang w:val="en-US" w:eastAsia="zh-CN"/>
              </w:rPr>
              <w:t>现有项目以新带老削减量数据如下：</w:t>
            </w:r>
          </w:p>
          <w:p w14:paraId="16F8F420">
            <w:pPr>
              <w:pStyle w:val="19"/>
              <w:bidi w:val="0"/>
              <w:rPr>
                <w:rFonts w:hint="default"/>
                <w:color w:val="auto"/>
                <w:highlight w:val="none"/>
                <w:lang w:val="en-US" w:eastAsia="zh-CN"/>
              </w:rPr>
            </w:pPr>
            <w:r>
              <w:rPr>
                <w:rFonts w:hint="default" w:ascii="Times New Roman" w:hAnsi="Times New Roman" w:cs="Times New Roman"/>
                <w:color w:val="auto"/>
                <w:highlight w:val="none"/>
              </w:rPr>
              <w:t>表2-</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SEQ 表2- \* ARABIC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13</w:t>
            </w:r>
            <w:r>
              <w:rPr>
                <w:rFonts w:hint="default" w:ascii="Times New Roman" w:hAnsi="Times New Roman" w:cs="Times New Roman"/>
                <w:color w:val="auto"/>
                <w:highlight w:val="none"/>
              </w:rPr>
              <w:fldChar w:fldCharType="end"/>
            </w:r>
            <w:r>
              <w:rPr>
                <w:rFonts w:hint="eastAsia" w:ascii="Times New Roman" w:hAnsi="Times New Roman" w:cs="Times New Roman"/>
                <w:color w:val="auto"/>
                <w:highlight w:val="none"/>
                <w:lang w:val="en-US" w:eastAsia="zh-CN"/>
              </w:rPr>
              <w:t xml:space="preserve">  </w:t>
            </w:r>
            <w:r>
              <w:rPr>
                <w:rFonts w:hint="eastAsia"/>
                <w:color w:val="auto"/>
                <w:highlight w:val="none"/>
                <w:lang w:val="en-US" w:eastAsia="zh-CN"/>
              </w:rPr>
              <w:t>现有项目废气污染物“以新带老削减排放量”</w:t>
            </w:r>
          </w:p>
          <w:tbl>
            <w:tblPr>
              <w:tblStyle w:val="14"/>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72"/>
              <w:gridCol w:w="1618"/>
              <w:gridCol w:w="876"/>
              <w:gridCol w:w="636"/>
              <w:gridCol w:w="798"/>
              <w:gridCol w:w="803"/>
              <w:gridCol w:w="563"/>
              <w:gridCol w:w="655"/>
              <w:gridCol w:w="798"/>
              <w:gridCol w:w="798"/>
            </w:tblGrid>
            <w:tr w14:paraId="7CD98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794" w:hRule="atLeast"/>
              </w:trPr>
              <w:tc>
                <w:tcPr>
                  <w:tcW w:w="464" w:type="pct"/>
                  <w:tcMar>
                    <w:top w:w="0" w:type="dxa"/>
                    <w:left w:w="57" w:type="dxa"/>
                    <w:bottom w:w="0" w:type="dxa"/>
                    <w:right w:w="57" w:type="dxa"/>
                  </w:tcMar>
                  <w:vAlign w:val="center"/>
                </w:tcPr>
                <w:p w14:paraId="0579EB7B">
                  <w:pPr>
                    <w:pStyle w:val="20"/>
                    <w:keepNext w:val="0"/>
                    <w:keepLines w:val="0"/>
                    <w:pageBreakBefore w:val="0"/>
                    <w:widowControl/>
                    <w:kinsoku w:val="0"/>
                    <w:wordWrap w:val="0"/>
                    <w:overflowPunct/>
                    <w:topLinePunct w:val="0"/>
                    <w:autoSpaceDE/>
                    <w:autoSpaceDN/>
                    <w:bidi w:val="0"/>
                    <w:adjustRightInd/>
                    <w:snapToGrid/>
                    <w:textAlignment w:val="auto"/>
                    <w:rPr>
                      <w:rFonts w:hint="eastAsia" w:eastAsia="宋体"/>
                      <w:b/>
                      <w:bCs/>
                      <w:color w:val="auto"/>
                      <w:highlight w:val="none"/>
                      <w:lang w:val="en-US" w:eastAsia="zh-CN"/>
                    </w:rPr>
                  </w:pPr>
                  <w:r>
                    <w:rPr>
                      <w:rFonts w:hint="eastAsia"/>
                      <w:b/>
                      <w:bCs/>
                      <w:color w:val="auto"/>
                      <w:highlight w:val="none"/>
                      <w:lang w:val="en-US" w:eastAsia="zh-CN"/>
                    </w:rPr>
                    <w:t>污染源</w:t>
                  </w:r>
                </w:p>
              </w:tc>
              <w:tc>
                <w:tcPr>
                  <w:tcW w:w="972" w:type="pct"/>
                  <w:tcMar>
                    <w:top w:w="0" w:type="dxa"/>
                    <w:left w:w="57" w:type="dxa"/>
                    <w:bottom w:w="0" w:type="dxa"/>
                    <w:right w:w="57" w:type="dxa"/>
                  </w:tcMar>
                  <w:vAlign w:val="center"/>
                </w:tcPr>
                <w:p w14:paraId="4B53DCE7">
                  <w:pPr>
                    <w:pStyle w:val="20"/>
                    <w:keepNext w:val="0"/>
                    <w:keepLines w:val="0"/>
                    <w:pageBreakBefore w:val="0"/>
                    <w:widowControl/>
                    <w:kinsoku w:val="0"/>
                    <w:wordWrap w:val="0"/>
                    <w:overflowPunct/>
                    <w:topLinePunct w:val="0"/>
                    <w:autoSpaceDE/>
                    <w:autoSpaceDN/>
                    <w:bidi w:val="0"/>
                    <w:adjustRightInd/>
                    <w:snapToGrid/>
                    <w:textAlignment w:val="auto"/>
                    <w:rPr>
                      <w:b/>
                      <w:bCs/>
                      <w:color w:val="auto"/>
                      <w:highlight w:val="none"/>
                    </w:rPr>
                  </w:pPr>
                  <w:r>
                    <w:rPr>
                      <w:b/>
                      <w:bCs/>
                      <w:color w:val="auto"/>
                      <w:highlight w:val="none"/>
                    </w:rPr>
                    <w:t>污染物</w:t>
                  </w:r>
                </w:p>
              </w:tc>
              <w:tc>
                <w:tcPr>
                  <w:tcW w:w="526" w:type="pct"/>
                  <w:tcMar>
                    <w:top w:w="0" w:type="dxa"/>
                    <w:left w:w="57" w:type="dxa"/>
                    <w:bottom w:w="0" w:type="dxa"/>
                    <w:right w:w="57" w:type="dxa"/>
                  </w:tcMar>
                  <w:vAlign w:val="center"/>
                </w:tcPr>
                <w:p w14:paraId="68D70045">
                  <w:pPr>
                    <w:pStyle w:val="20"/>
                    <w:spacing w:before="31"/>
                    <w:rPr>
                      <w:b/>
                      <w:bCs/>
                      <w:color w:val="auto"/>
                      <w:highlight w:val="none"/>
                    </w:rPr>
                  </w:pPr>
                  <w:r>
                    <w:rPr>
                      <w:rFonts w:hint="eastAsia"/>
                      <w:b/>
                      <w:bCs/>
                      <w:color w:val="auto"/>
                      <w:highlight w:val="none"/>
                    </w:rPr>
                    <w:t>产生量t/a</w:t>
                  </w:r>
                </w:p>
              </w:tc>
              <w:tc>
                <w:tcPr>
                  <w:tcW w:w="382" w:type="pct"/>
                  <w:tcMar>
                    <w:top w:w="0" w:type="dxa"/>
                    <w:left w:w="57" w:type="dxa"/>
                    <w:bottom w:w="0" w:type="dxa"/>
                    <w:right w:w="57" w:type="dxa"/>
                  </w:tcMar>
                  <w:vAlign w:val="center"/>
                </w:tcPr>
                <w:p w14:paraId="0F8F7A6F">
                  <w:pPr>
                    <w:pStyle w:val="20"/>
                    <w:spacing w:before="31"/>
                    <w:rPr>
                      <w:rFonts w:hint="default" w:eastAsia="宋体"/>
                      <w:b/>
                      <w:bCs/>
                      <w:color w:val="auto"/>
                      <w:highlight w:val="none"/>
                      <w:lang w:val="en-US" w:eastAsia="zh-CN"/>
                    </w:rPr>
                  </w:pPr>
                  <w:r>
                    <w:rPr>
                      <w:rFonts w:hint="eastAsia"/>
                      <w:b/>
                      <w:bCs/>
                      <w:color w:val="auto"/>
                      <w:highlight w:val="none"/>
                      <w:lang w:val="en-US" w:eastAsia="zh-CN"/>
                    </w:rPr>
                    <w:t>收集效率</w:t>
                  </w:r>
                </w:p>
              </w:tc>
              <w:tc>
                <w:tcPr>
                  <w:tcW w:w="479" w:type="pct"/>
                  <w:tcMar>
                    <w:top w:w="0" w:type="dxa"/>
                    <w:left w:w="57" w:type="dxa"/>
                    <w:bottom w:w="0" w:type="dxa"/>
                    <w:right w:w="57" w:type="dxa"/>
                  </w:tcMar>
                  <w:vAlign w:val="center"/>
                </w:tcPr>
                <w:p w14:paraId="2733823A">
                  <w:pPr>
                    <w:pStyle w:val="20"/>
                    <w:spacing w:before="31"/>
                    <w:rPr>
                      <w:b/>
                      <w:bCs/>
                      <w:color w:val="auto"/>
                      <w:highlight w:val="none"/>
                    </w:rPr>
                  </w:pPr>
                  <w:r>
                    <w:rPr>
                      <w:rFonts w:hint="eastAsia"/>
                      <w:b/>
                      <w:bCs/>
                      <w:color w:val="auto"/>
                      <w:highlight w:val="none"/>
                    </w:rPr>
                    <w:t>无组织t/a</w:t>
                  </w:r>
                </w:p>
              </w:tc>
              <w:tc>
                <w:tcPr>
                  <w:tcW w:w="482" w:type="pct"/>
                  <w:tcMar>
                    <w:top w:w="0" w:type="dxa"/>
                    <w:left w:w="57" w:type="dxa"/>
                    <w:bottom w:w="0" w:type="dxa"/>
                    <w:right w:w="57" w:type="dxa"/>
                  </w:tcMar>
                  <w:vAlign w:val="center"/>
                </w:tcPr>
                <w:p w14:paraId="6B25A023">
                  <w:pPr>
                    <w:pStyle w:val="20"/>
                    <w:spacing w:before="31"/>
                    <w:rPr>
                      <w:b/>
                      <w:bCs/>
                      <w:color w:val="auto"/>
                      <w:highlight w:val="none"/>
                    </w:rPr>
                  </w:pPr>
                  <w:r>
                    <w:rPr>
                      <w:rFonts w:hint="eastAsia"/>
                      <w:b/>
                      <w:bCs/>
                      <w:color w:val="auto"/>
                      <w:highlight w:val="none"/>
                    </w:rPr>
                    <w:t>有组织产生量t/a</w:t>
                  </w:r>
                </w:p>
              </w:tc>
              <w:tc>
                <w:tcPr>
                  <w:tcW w:w="338" w:type="pct"/>
                  <w:tcMar>
                    <w:top w:w="0" w:type="dxa"/>
                    <w:left w:w="57" w:type="dxa"/>
                    <w:bottom w:w="0" w:type="dxa"/>
                    <w:right w:w="57" w:type="dxa"/>
                  </w:tcMar>
                  <w:vAlign w:val="center"/>
                </w:tcPr>
                <w:p w14:paraId="7BFA50BA">
                  <w:pPr>
                    <w:pStyle w:val="20"/>
                    <w:spacing w:before="31"/>
                    <w:rPr>
                      <w:b/>
                      <w:bCs/>
                      <w:color w:val="auto"/>
                      <w:highlight w:val="none"/>
                    </w:rPr>
                  </w:pPr>
                  <w:r>
                    <w:rPr>
                      <w:rFonts w:hint="eastAsia"/>
                      <w:b/>
                      <w:bCs/>
                      <w:color w:val="auto"/>
                      <w:highlight w:val="none"/>
                    </w:rPr>
                    <w:t>治理工艺</w:t>
                  </w:r>
                </w:p>
              </w:tc>
              <w:tc>
                <w:tcPr>
                  <w:tcW w:w="393" w:type="pct"/>
                  <w:tcMar>
                    <w:top w:w="0" w:type="dxa"/>
                    <w:left w:w="57" w:type="dxa"/>
                    <w:bottom w:w="0" w:type="dxa"/>
                    <w:right w:w="57" w:type="dxa"/>
                  </w:tcMar>
                  <w:vAlign w:val="center"/>
                </w:tcPr>
                <w:p w14:paraId="4C35FB26">
                  <w:pPr>
                    <w:pStyle w:val="20"/>
                    <w:spacing w:before="31"/>
                    <w:rPr>
                      <w:b/>
                      <w:bCs/>
                      <w:color w:val="auto"/>
                      <w:highlight w:val="none"/>
                    </w:rPr>
                  </w:pPr>
                  <w:r>
                    <w:rPr>
                      <w:rFonts w:hint="eastAsia"/>
                      <w:b/>
                      <w:bCs/>
                      <w:color w:val="auto"/>
                      <w:highlight w:val="none"/>
                    </w:rPr>
                    <w:t>处理效率%</w:t>
                  </w:r>
                </w:p>
              </w:tc>
              <w:tc>
                <w:tcPr>
                  <w:tcW w:w="479" w:type="pct"/>
                  <w:tcMar>
                    <w:top w:w="0" w:type="dxa"/>
                    <w:left w:w="57" w:type="dxa"/>
                    <w:bottom w:w="0" w:type="dxa"/>
                    <w:right w:w="57" w:type="dxa"/>
                  </w:tcMar>
                  <w:vAlign w:val="center"/>
                </w:tcPr>
                <w:p w14:paraId="23B95174">
                  <w:pPr>
                    <w:pStyle w:val="20"/>
                    <w:spacing w:before="31"/>
                    <w:rPr>
                      <w:b/>
                      <w:bCs/>
                      <w:color w:val="auto"/>
                      <w:highlight w:val="none"/>
                    </w:rPr>
                  </w:pPr>
                  <w:r>
                    <w:rPr>
                      <w:rFonts w:hint="eastAsia"/>
                      <w:b/>
                      <w:bCs/>
                      <w:color w:val="auto"/>
                      <w:highlight w:val="none"/>
                    </w:rPr>
                    <w:t>有组织排放量t/a</w:t>
                  </w:r>
                </w:p>
              </w:tc>
              <w:tc>
                <w:tcPr>
                  <w:tcW w:w="479" w:type="pct"/>
                  <w:tcMar>
                    <w:top w:w="0" w:type="dxa"/>
                    <w:left w:w="57" w:type="dxa"/>
                    <w:bottom w:w="0" w:type="dxa"/>
                    <w:right w:w="57" w:type="dxa"/>
                  </w:tcMar>
                  <w:vAlign w:val="center"/>
                </w:tcPr>
                <w:p w14:paraId="7B62CC3B">
                  <w:pPr>
                    <w:pStyle w:val="20"/>
                    <w:spacing w:before="31"/>
                    <w:rPr>
                      <w:rFonts w:hint="default" w:eastAsia="宋体"/>
                      <w:b/>
                      <w:bCs/>
                      <w:color w:val="auto"/>
                      <w:highlight w:val="none"/>
                      <w:lang w:val="en-US" w:eastAsia="zh-CN"/>
                    </w:rPr>
                  </w:pPr>
                  <w:r>
                    <w:rPr>
                      <w:rFonts w:hint="eastAsia"/>
                      <w:b/>
                      <w:bCs/>
                      <w:color w:val="auto"/>
                      <w:highlight w:val="none"/>
                      <w:lang w:val="en-US" w:eastAsia="zh-CN"/>
                    </w:rPr>
                    <w:t>削减量</w:t>
                  </w:r>
                  <w:r>
                    <w:rPr>
                      <w:rFonts w:hint="eastAsia"/>
                      <w:b/>
                      <w:bCs/>
                      <w:color w:val="auto"/>
                      <w:highlight w:val="none"/>
                    </w:rPr>
                    <w:t>t/a</w:t>
                  </w:r>
                </w:p>
              </w:tc>
            </w:tr>
            <w:tr w14:paraId="3615C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25" w:hRule="atLeast"/>
              </w:trPr>
              <w:tc>
                <w:tcPr>
                  <w:tcW w:w="464" w:type="pct"/>
                  <w:vMerge w:val="restart"/>
                  <w:tcMar>
                    <w:top w:w="0" w:type="dxa"/>
                    <w:left w:w="57" w:type="dxa"/>
                    <w:bottom w:w="0" w:type="dxa"/>
                    <w:right w:w="57" w:type="dxa"/>
                  </w:tcMar>
                  <w:vAlign w:val="center"/>
                </w:tcPr>
                <w:p w14:paraId="578CAB94">
                  <w:pPr>
                    <w:pStyle w:val="20"/>
                    <w:bidi w:val="0"/>
                    <w:rPr>
                      <w:rFonts w:hint="default"/>
                      <w:color w:val="auto"/>
                      <w:highlight w:val="none"/>
                      <w:lang w:val="en-US" w:eastAsia="zh-CN"/>
                    </w:rPr>
                  </w:pPr>
                  <w:r>
                    <w:rPr>
                      <w:rFonts w:hint="eastAsia"/>
                      <w:color w:val="auto"/>
                      <w:highlight w:val="none"/>
                      <w:lang w:val="en-US" w:eastAsia="zh-CN"/>
                    </w:rPr>
                    <w:t>现有项目（注塑废气+脱模清洗剂废气）</w:t>
                  </w:r>
                </w:p>
              </w:tc>
              <w:tc>
                <w:tcPr>
                  <w:tcW w:w="972" w:type="pct"/>
                  <w:tcMar>
                    <w:top w:w="0" w:type="dxa"/>
                    <w:left w:w="57" w:type="dxa"/>
                    <w:bottom w:w="0" w:type="dxa"/>
                    <w:right w:w="57" w:type="dxa"/>
                  </w:tcMar>
                  <w:vAlign w:val="center"/>
                </w:tcPr>
                <w:p w14:paraId="6626E277">
                  <w:pPr>
                    <w:pStyle w:val="20"/>
                    <w:bidi w:val="0"/>
                    <w:rPr>
                      <w:color w:val="auto"/>
                      <w:highlight w:val="none"/>
                      <w:lang w:val="en-US" w:eastAsia="zh-CN"/>
                    </w:rPr>
                  </w:pPr>
                  <w:r>
                    <w:rPr>
                      <w:rFonts w:hint="eastAsia"/>
                      <w:color w:val="auto"/>
                      <w:highlight w:val="none"/>
                      <w:lang w:val="en-US" w:eastAsia="zh-CN"/>
                    </w:rPr>
                    <w:t>非甲烷总烃</w:t>
                  </w:r>
                </w:p>
              </w:tc>
              <w:tc>
                <w:tcPr>
                  <w:tcW w:w="526" w:type="pct"/>
                  <w:shd w:val="clear" w:color="auto" w:fill="auto"/>
                  <w:tcMar>
                    <w:top w:w="0" w:type="dxa"/>
                    <w:left w:w="57" w:type="dxa"/>
                    <w:bottom w:w="0" w:type="dxa"/>
                    <w:right w:w="57" w:type="dxa"/>
                  </w:tcMar>
                  <w:vAlign w:val="center"/>
                </w:tcPr>
                <w:p w14:paraId="4C0A00B3">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0.1847</w:t>
                  </w:r>
                </w:p>
              </w:tc>
              <w:tc>
                <w:tcPr>
                  <w:tcW w:w="382" w:type="pct"/>
                  <w:vMerge w:val="restart"/>
                  <w:shd w:val="clear" w:color="auto" w:fill="auto"/>
                  <w:tcMar>
                    <w:top w:w="0" w:type="dxa"/>
                    <w:left w:w="57" w:type="dxa"/>
                    <w:bottom w:w="0" w:type="dxa"/>
                    <w:right w:w="57" w:type="dxa"/>
                  </w:tcMar>
                  <w:vAlign w:val="center"/>
                </w:tcPr>
                <w:p w14:paraId="09E90DED">
                  <w:pPr>
                    <w:pStyle w:val="20"/>
                    <w:bidi w:val="0"/>
                    <w:rPr>
                      <w:rFonts w:hint="default"/>
                      <w:color w:val="auto"/>
                      <w:highlight w:val="none"/>
                      <w:lang w:val="en-US" w:eastAsia="zh-CN"/>
                    </w:rPr>
                  </w:pPr>
                  <w:r>
                    <w:rPr>
                      <w:rFonts w:hint="eastAsia"/>
                      <w:color w:val="auto"/>
                      <w:highlight w:val="none"/>
                      <w:lang w:val="en-US" w:eastAsia="zh-CN"/>
                    </w:rPr>
                    <w:t>80%</w:t>
                  </w:r>
                </w:p>
              </w:tc>
              <w:tc>
                <w:tcPr>
                  <w:tcW w:w="479" w:type="pct"/>
                  <w:shd w:val="clear" w:color="auto" w:fill="auto"/>
                  <w:tcMar>
                    <w:top w:w="0" w:type="dxa"/>
                    <w:left w:w="57" w:type="dxa"/>
                    <w:bottom w:w="0" w:type="dxa"/>
                    <w:right w:w="57" w:type="dxa"/>
                  </w:tcMar>
                  <w:vAlign w:val="center"/>
                </w:tcPr>
                <w:p w14:paraId="76F8558D">
                  <w:pPr>
                    <w:pStyle w:val="20"/>
                    <w:bidi w:val="0"/>
                    <w:rPr>
                      <w:rFonts w:hint="eastAsia"/>
                      <w:color w:val="auto"/>
                      <w:highlight w:val="none"/>
                      <w:lang w:val="en-US" w:eastAsia="zh-CN"/>
                    </w:rPr>
                  </w:pPr>
                  <w:r>
                    <w:rPr>
                      <w:rFonts w:hint="default"/>
                      <w:color w:val="auto"/>
                      <w:highlight w:val="none"/>
                      <w:lang w:val="en-US" w:eastAsia="zh-CN"/>
                    </w:rPr>
                    <w:t>0.0369</w:t>
                  </w:r>
                </w:p>
              </w:tc>
              <w:tc>
                <w:tcPr>
                  <w:tcW w:w="482" w:type="pct"/>
                  <w:tcMar>
                    <w:top w:w="0" w:type="dxa"/>
                    <w:left w:w="57" w:type="dxa"/>
                    <w:bottom w:w="0" w:type="dxa"/>
                    <w:right w:w="57" w:type="dxa"/>
                  </w:tcMar>
                  <w:vAlign w:val="center"/>
                </w:tcPr>
                <w:p w14:paraId="20B39EDF">
                  <w:pPr>
                    <w:pStyle w:val="20"/>
                    <w:bidi w:val="0"/>
                    <w:rPr>
                      <w:color w:val="auto"/>
                      <w:highlight w:val="none"/>
                    </w:rPr>
                  </w:pPr>
                  <w:r>
                    <w:rPr>
                      <w:rFonts w:hint="default"/>
                      <w:color w:val="auto"/>
                      <w:highlight w:val="none"/>
                      <w:lang w:val="en-US" w:eastAsia="zh-CN"/>
                    </w:rPr>
                    <w:t>0.1478</w:t>
                  </w:r>
                </w:p>
              </w:tc>
              <w:tc>
                <w:tcPr>
                  <w:tcW w:w="338" w:type="pct"/>
                  <w:vMerge w:val="restart"/>
                  <w:tcMar>
                    <w:top w:w="0" w:type="dxa"/>
                    <w:left w:w="57" w:type="dxa"/>
                    <w:bottom w:w="0" w:type="dxa"/>
                    <w:right w:w="57" w:type="dxa"/>
                  </w:tcMar>
                  <w:vAlign w:val="center"/>
                </w:tcPr>
                <w:p w14:paraId="48AE2144">
                  <w:pPr>
                    <w:pStyle w:val="20"/>
                    <w:bidi w:val="0"/>
                    <w:rPr>
                      <w:rFonts w:hint="eastAsia" w:eastAsia="宋体"/>
                      <w:color w:val="auto"/>
                      <w:highlight w:val="none"/>
                      <w:lang w:val="en-US" w:eastAsia="zh-CN"/>
                    </w:rPr>
                  </w:pPr>
                  <w:r>
                    <w:rPr>
                      <w:rFonts w:hint="eastAsia"/>
                      <w:color w:val="auto"/>
                      <w:highlight w:val="none"/>
                      <w:lang w:eastAsia="zh-CN"/>
                    </w:rPr>
                    <w:t>过滤棉+UV光氧化+两级活性炭</w:t>
                  </w:r>
                </w:p>
              </w:tc>
              <w:tc>
                <w:tcPr>
                  <w:tcW w:w="393" w:type="pct"/>
                  <w:vMerge w:val="restart"/>
                  <w:tcMar>
                    <w:top w:w="0" w:type="dxa"/>
                    <w:left w:w="57" w:type="dxa"/>
                    <w:bottom w:w="0" w:type="dxa"/>
                    <w:right w:w="57" w:type="dxa"/>
                  </w:tcMar>
                  <w:vAlign w:val="center"/>
                </w:tcPr>
                <w:p w14:paraId="6D3FCD70">
                  <w:pPr>
                    <w:pStyle w:val="20"/>
                    <w:bidi w:val="0"/>
                    <w:rPr>
                      <w:rFonts w:hint="default"/>
                      <w:color w:val="auto"/>
                      <w:highlight w:val="none"/>
                      <w:lang w:val="en-US" w:eastAsia="zh-CN"/>
                    </w:rPr>
                  </w:pPr>
                  <w:r>
                    <w:rPr>
                      <w:rFonts w:hint="eastAsia"/>
                      <w:color w:val="auto"/>
                      <w:highlight w:val="none"/>
                      <w:lang w:val="en-US" w:eastAsia="zh-CN"/>
                    </w:rPr>
                    <w:t>60</w:t>
                  </w:r>
                </w:p>
              </w:tc>
              <w:tc>
                <w:tcPr>
                  <w:tcW w:w="479" w:type="pct"/>
                  <w:tcMar>
                    <w:top w:w="0" w:type="dxa"/>
                    <w:left w:w="57" w:type="dxa"/>
                    <w:bottom w:w="0" w:type="dxa"/>
                    <w:right w:w="57" w:type="dxa"/>
                  </w:tcMar>
                  <w:vAlign w:val="center"/>
                </w:tcPr>
                <w:p w14:paraId="19D9F68D">
                  <w:pPr>
                    <w:pStyle w:val="20"/>
                    <w:bidi w:val="0"/>
                    <w:rPr>
                      <w:color w:val="auto"/>
                      <w:highlight w:val="none"/>
                    </w:rPr>
                  </w:pPr>
                  <w:r>
                    <w:rPr>
                      <w:rFonts w:hint="default"/>
                      <w:color w:val="auto"/>
                      <w:highlight w:val="none"/>
                      <w:lang w:val="en-US" w:eastAsia="zh-CN"/>
                    </w:rPr>
                    <w:t>0.0591</w:t>
                  </w:r>
                </w:p>
              </w:tc>
              <w:tc>
                <w:tcPr>
                  <w:tcW w:w="479" w:type="pct"/>
                  <w:tcMar>
                    <w:top w:w="0" w:type="dxa"/>
                    <w:left w:w="57" w:type="dxa"/>
                    <w:bottom w:w="0" w:type="dxa"/>
                    <w:right w:w="57" w:type="dxa"/>
                  </w:tcMar>
                  <w:vAlign w:val="center"/>
                </w:tcPr>
                <w:p w14:paraId="4413692F">
                  <w:pPr>
                    <w:pStyle w:val="20"/>
                    <w:bidi w:val="0"/>
                    <w:rPr>
                      <w:rFonts w:hint="default"/>
                      <w:color w:val="auto"/>
                      <w:highlight w:val="none"/>
                      <w:lang w:val="en-US" w:eastAsia="zh-CN"/>
                    </w:rPr>
                  </w:pPr>
                  <w:r>
                    <w:rPr>
                      <w:rFonts w:hint="eastAsia"/>
                      <w:color w:val="auto"/>
                      <w:highlight w:val="none"/>
                      <w:lang w:val="en-US" w:eastAsia="zh-CN"/>
                    </w:rPr>
                    <w:t>0.0887</w:t>
                  </w:r>
                </w:p>
              </w:tc>
            </w:tr>
            <w:tr w14:paraId="4F79C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25" w:hRule="atLeast"/>
              </w:trPr>
              <w:tc>
                <w:tcPr>
                  <w:tcW w:w="464" w:type="pct"/>
                  <w:vMerge w:val="continue"/>
                  <w:tcMar>
                    <w:top w:w="0" w:type="dxa"/>
                    <w:left w:w="57" w:type="dxa"/>
                    <w:bottom w:w="0" w:type="dxa"/>
                    <w:right w:w="57" w:type="dxa"/>
                  </w:tcMar>
                  <w:vAlign w:val="center"/>
                </w:tcPr>
                <w:p w14:paraId="60D68847">
                  <w:pPr>
                    <w:pStyle w:val="20"/>
                    <w:bidi w:val="0"/>
                    <w:rPr>
                      <w:rFonts w:hint="eastAsia"/>
                      <w:color w:val="auto"/>
                      <w:highlight w:val="none"/>
                      <w:lang w:val="en-US" w:eastAsia="zh-CN"/>
                    </w:rPr>
                  </w:pPr>
                </w:p>
              </w:tc>
              <w:tc>
                <w:tcPr>
                  <w:tcW w:w="972" w:type="pct"/>
                  <w:tcMar>
                    <w:top w:w="0" w:type="dxa"/>
                    <w:left w:w="57" w:type="dxa"/>
                    <w:bottom w:w="0" w:type="dxa"/>
                    <w:right w:w="57" w:type="dxa"/>
                  </w:tcMar>
                  <w:vAlign w:val="center"/>
                </w:tcPr>
                <w:p w14:paraId="0D4EDF28">
                  <w:pPr>
                    <w:pStyle w:val="20"/>
                    <w:bidi w:val="0"/>
                    <w:rPr>
                      <w:rFonts w:hint="eastAsia"/>
                      <w:color w:val="auto"/>
                      <w:highlight w:val="none"/>
                    </w:rPr>
                  </w:pPr>
                  <w:r>
                    <w:rPr>
                      <w:rFonts w:hint="eastAsia"/>
                      <w:color w:val="auto"/>
                      <w:highlight w:val="none"/>
                      <w:lang w:val="en-US" w:eastAsia="zh-CN"/>
                    </w:rPr>
                    <w:t>丙烯腈</w:t>
                  </w:r>
                </w:p>
              </w:tc>
              <w:tc>
                <w:tcPr>
                  <w:tcW w:w="526" w:type="pct"/>
                  <w:shd w:val="clear" w:color="auto" w:fill="auto"/>
                  <w:tcMar>
                    <w:top w:w="0" w:type="dxa"/>
                    <w:left w:w="57" w:type="dxa"/>
                    <w:bottom w:w="0" w:type="dxa"/>
                    <w:right w:w="57" w:type="dxa"/>
                  </w:tcMar>
                  <w:vAlign w:val="center"/>
                </w:tcPr>
                <w:p w14:paraId="6CFEE6BB">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0.0021</w:t>
                  </w:r>
                </w:p>
              </w:tc>
              <w:tc>
                <w:tcPr>
                  <w:tcW w:w="382" w:type="pct"/>
                  <w:vMerge w:val="continue"/>
                  <w:tcMar>
                    <w:top w:w="0" w:type="dxa"/>
                    <w:left w:w="57" w:type="dxa"/>
                    <w:bottom w:w="0" w:type="dxa"/>
                    <w:right w:w="57" w:type="dxa"/>
                  </w:tcMar>
                  <w:vAlign w:val="center"/>
                </w:tcPr>
                <w:p w14:paraId="0EEB0C95">
                  <w:pPr>
                    <w:pStyle w:val="20"/>
                    <w:bidi w:val="0"/>
                    <w:rPr>
                      <w:rFonts w:hint="eastAsia"/>
                      <w:color w:val="auto"/>
                      <w:highlight w:val="none"/>
                      <w:lang w:val="en-US" w:eastAsia="zh-CN"/>
                    </w:rPr>
                  </w:pPr>
                </w:p>
              </w:tc>
              <w:tc>
                <w:tcPr>
                  <w:tcW w:w="479" w:type="pct"/>
                  <w:tcMar>
                    <w:top w:w="0" w:type="dxa"/>
                    <w:left w:w="57" w:type="dxa"/>
                    <w:bottom w:w="0" w:type="dxa"/>
                    <w:right w:w="57" w:type="dxa"/>
                  </w:tcMar>
                  <w:vAlign w:val="center"/>
                </w:tcPr>
                <w:p w14:paraId="6E02FB5C">
                  <w:pPr>
                    <w:pStyle w:val="20"/>
                    <w:bidi w:val="0"/>
                    <w:rPr>
                      <w:rFonts w:hint="eastAsia"/>
                      <w:color w:val="auto"/>
                      <w:highlight w:val="none"/>
                      <w:lang w:val="en-US" w:eastAsia="zh-CN"/>
                    </w:rPr>
                  </w:pPr>
                  <w:r>
                    <w:rPr>
                      <w:rFonts w:hint="default"/>
                      <w:color w:val="auto"/>
                      <w:highlight w:val="none"/>
                      <w:lang w:val="en-US" w:eastAsia="zh-CN"/>
                    </w:rPr>
                    <w:t>0.0004</w:t>
                  </w:r>
                </w:p>
              </w:tc>
              <w:tc>
                <w:tcPr>
                  <w:tcW w:w="482" w:type="pct"/>
                  <w:tcMar>
                    <w:top w:w="0" w:type="dxa"/>
                    <w:left w:w="57" w:type="dxa"/>
                    <w:bottom w:w="0" w:type="dxa"/>
                    <w:right w:w="57" w:type="dxa"/>
                  </w:tcMar>
                  <w:vAlign w:val="center"/>
                </w:tcPr>
                <w:p w14:paraId="0489D1A9">
                  <w:pPr>
                    <w:pStyle w:val="20"/>
                    <w:bidi w:val="0"/>
                    <w:rPr>
                      <w:rFonts w:hint="default"/>
                      <w:color w:val="auto"/>
                      <w:highlight w:val="none"/>
                      <w:lang w:val="en-US" w:eastAsia="zh-CN"/>
                    </w:rPr>
                  </w:pPr>
                  <w:r>
                    <w:rPr>
                      <w:rFonts w:hint="default"/>
                      <w:color w:val="auto"/>
                      <w:highlight w:val="none"/>
                      <w:lang w:val="en-US" w:eastAsia="zh-CN"/>
                    </w:rPr>
                    <w:t>0.0017</w:t>
                  </w:r>
                </w:p>
              </w:tc>
              <w:tc>
                <w:tcPr>
                  <w:tcW w:w="338" w:type="pct"/>
                  <w:vMerge w:val="continue"/>
                  <w:tcMar>
                    <w:top w:w="0" w:type="dxa"/>
                    <w:left w:w="57" w:type="dxa"/>
                    <w:bottom w:w="0" w:type="dxa"/>
                    <w:right w:w="57" w:type="dxa"/>
                  </w:tcMar>
                  <w:vAlign w:val="center"/>
                </w:tcPr>
                <w:p w14:paraId="4674B24F">
                  <w:pPr>
                    <w:pStyle w:val="20"/>
                    <w:bidi w:val="0"/>
                    <w:rPr>
                      <w:rFonts w:hint="eastAsia"/>
                      <w:color w:val="auto"/>
                      <w:highlight w:val="none"/>
                    </w:rPr>
                  </w:pPr>
                </w:p>
              </w:tc>
              <w:tc>
                <w:tcPr>
                  <w:tcW w:w="393" w:type="pct"/>
                  <w:vMerge w:val="continue"/>
                  <w:tcMar>
                    <w:top w:w="0" w:type="dxa"/>
                    <w:left w:w="57" w:type="dxa"/>
                    <w:bottom w:w="0" w:type="dxa"/>
                    <w:right w:w="57" w:type="dxa"/>
                  </w:tcMar>
                  <w:vAlign w:val="center"/>
                </w:tcPr>
                <w:p w14:paraId="51942299">
                  <w:pPr>
                    <w:pStyle w:val="20"/>
                    <w:bidi w:val="0"/>
                    <w:rPr>
                      <w:rFonts w:hint="eastAsia"/>
                      <w:color w:val="auto"/>
                      <w:highlight w:val="none"/>
                    </w:rPr>
                  </w:pPr>
                </w:p>
              </w:tc>
              <w:tc>
                <w:tcPr>
                  <w:tcW w:w="479" w:type="pct"/>
                  <w:tcMar>
                    <w:top w:w="0" w:type="dxa"/>
                    <w:left w:w="57" w:type="dxa"/>
                    <w:bottom w:w="0" w:type="dxa"/>
                    <w:right w:w="57" w:type="dxa"/>
                  </w:tcMar>
                  <w:vAlign w:val="center"/>
                </w:tcPr>
                <w:p w14:paraId="414D5D43">
                  <w:pPr>
                    <w:pStyle w:val="20"/>
                    <w:bidi w:val="0"/>
                    <w:rPr>
                      <w:rFonts w:hint="default"/>
                      <w:color w:val="auto"/>
                      <w:highlight w:val="none"/>
                      <w:lang w:val="en-US" w:eastAsia="zh-CN"/>
                    </w:rPr>
                  </w:pPr>
                  <w:r>
                    <w:rPr>
                      <w:rFonts w:hint="default"/>
                      <w:color w:val="auto"/>
                      <w:highlight w:val="none"/>
                      <w:lang w:val="en-US" w:eastAsia="zh-CN"/>
                    </w:rPr>
                    <w:t>0.0007</w:t>
                  </w:r>
                </w:p>
              </w:tc>
              <w:tc>
                <w:tcPr>
                  <w:tcW w:w="479" w:type="pct"/>
                  <w:tcMar>
                    <w:top w:w="0" w:type="dxa"/>
                    <w:left w:w="57" w:type="dxa"/>
                    <w:bottom w:w="0" w:type="dxa"/>
                    <w:right w:w="57" w:type="dxa"/>
                  </w:tcMar>
                  <w:vAlign w:val="center"/>
                </w:tcPr>
                <w:p w14:paraId="5F47FA47">
                  <w:pPr>
                    <w:pStyle w:val="20"/>
                    <w:bidi w:val="0"/>
                    <w:rPr>
                      <w:rFonts w:hint="default"/>
                      <w:color w:val="auto"/>
                      <w:highlight w:val="none"/>
                      <w:lang w:val="en-US" w:eastAsia="zh-CN"/>
                    </w:rPr>
                  </w:pPr>
                  <w:r>
                    <w:rPr>
                      <w:rFonts w:hint="eastAsia"/>
                      <w:color w:val="auto"/>
                      <w:highlight w:val="none"/>
                      <w:lang w:val="en-US" w:eastAsia="zh-CN"/>
                    </w:rPr>
                    <w:t>0.0010</w:t>
                  </w:r>
                </w:p>
              </w:tc>
            </w:tr>
            <w:tr w14:paraId="39E61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25" w:hRule="atLeast"/>
              </w:trPr>
              <w:tc>
                <w:tcPr>
                  <w:tcW w:w="464" w:type="pct"/>
                  <w:vMerge w:val="continue"/>
                  <w:tcMar>
                    <w:top w:w="0" w:type="dxa"/>
                    <w:left w:w="57" w:type="dxa"/>
                    <w:bottom w:w="0" w:type="dxa"/>
                    <w:right w:w="57" w:type="dxa"/>
                  </w:tcMar>
                  <w:vAlign w:val="center"/>
                </w:tcPr>
                <w:p w14:paraId="7F6AA08D">
                  <w:pPr>
                    <w:pStyle w:val="20"/>
                    <w:bidi w:val="0"/>
                    <w:rPr>
                      <w:rFonts w:hint="eastAsia"/>
                      <w:color w:val="auto"/>
                      <w:highlight w:val="none"/>
                      <w:lang w:val="en-US" w:eastAsia="zh-CN"/>
                    </w:rPr>
                  </w:pPr>
                </w:p>
              </w:tc>
              <w:tc>
                <w:tcPr>
                  <w:tcW w:w="972" w:type="pct"/>
                  <w:tcMar>
                    <w:top w:w="0" w:type="dxa"/>
                    <w:left w:w="57" w:type="dxa"/>
                    <w:bottom w:w="0" w:type="dxa"/>
                    <w:right w:w="57" w:type="dxa"/>
                  </w:tcMar>
                  <w:vAlign w:val="center"/>
                </w:tcPr>
                <w:p w14:paraId="579E953A">
                  <w:pPr>
                    <w:pStyle w:val="20"/>
                    <w:bidi w:val="0"/>
                    <w:rPr>
                      <w:rFonts w:hint="eastAsia"/>
                      <w:color w:val="auto"/>
                      <w:highlight w:val="none"/>
                    </w:rPr>
                  </w:pPr>
                  <w:r>
                    <w:rPr>
                      <w:rFonts w:hint="eastAsia"/>
                      <w:color w:val="auto"/>
                      <w:highlight w:val="none"/>
                      <w:lang w:val="en-US" w:eastAsia="zh-CN"/>
                    </w:rPr>
                    <w:t>1,3-丁二烯</w:t>
                  </w:r>
                </w:p>
              </w:tc>
              <w:tc>
                <w:tcPr>
                  <w:tcW w:w="526" w:type="pct"/>
                  <w:shd w:val="clear" w:color="auto" w:fill="auto"/>
                  <w:tcMar>
                    <w:top w:w="0" w:type="dxa"/>
                    <w:left w:w="57" w:type="dxa"/>
                    <w:bottom w:w="0" w:type="dxa"/>
                    <w:right w:w="57" w:type="dxa"/>
                  </w:tcMar>
                  <w:vAlign w:val="center"/>
                </w:tcPr>
                <w:p w14:paraId="2F10E86C">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0.0001</w:t>
                  </w:r>
                </w:p>
              </w:tc>
              <w:tc>
                <w:tcPr>
                  <w:tcW w:w="382" w:type="pct"/>
                  <w:vMerge w:val="continue"/>
                  <w:tcMar>
                    <w:top w:w="0" w:type="dxa"/>
                    <w:left w:w="57" w:type="dxa"/>
                    <w:bottom w:w="0" w:type="dxa"/>
                    <w:right w:w="57" w:type="dxa"/>
                  </w:tcMar>
                  <w:vAlign w:val="center"/>
                </w:tcPr>
                <w:p w14:paraId="61AD6538">
                  <w:pPr>
                    <w:pStyle w:val="20"/>
                    <w:bidi w:val="0"/>
                    <w:rPr>
                      <w:rFonts w:hint="eastAsia"/>
                      <w:color w:val="auto"/>
                      <w:highlight w:val="none"/>
                      <w:lang w:val="en-US" w:eastAsia="zh-CN"/>
                    </w:rPr>
                  </w:pPr>
                </w:p>
              </w:tc>
              <w:tc>
                <w:tcPr>
                  <w:tcW w:w="479" w:type="pct"/>
                  <w:shd w:val="clear" w:color="auto" w:fill="auto"/>
                  <w:tcMar>
                    <w:top w:w="0" w:type="dxa"/>
                    <w:left w:w="57" w:type="dxa"/>
                    <w:bottom w:w="0" w:type="dxa"/>
                    <w:right w:w="57" w:type="dxa"/>
                  </w:tcMar>
                  <w:vAlign w:val="center"/>
                </w:tcPr>
                <w:p w14:paraId="2E5843DC">
                  <w:pPr>
                    <w:pStyle w:val="20"/>
                    <w:bidi w:val="0"/>
                    <w:rPr>
                      <w:rFonts w:hint="eastAsia"/>
                      <w:color w:val="auto"/>
                      <w:highlight w:val="none"/>
                      <w:lang w:val="en-US" w:eastAsia="zh-CN"/>
                    </w:rPr>
                  </w:pPr>
                  <w:r>
                    <w:rPr>
                      <w:rFonts w:hint="default"/>
                      <w:color w:val="auto"/>
                      <w:highlight w:val="none"/>
                      <w:lang w:val="en-US" w:eastAsia="zh-CN"/>
                    </w:rPr>
                    <w:t>0.0000</w:t>
                  </w:r>
                </w:p>
              </w:tc>
              <w:tc>
                <w:tcPr>
                  <w:tcW w:w="482" w:type="pct"/>
                  <w:tcMar>
                    <w:top w:w="0" w:type="dxa"/>
                    <w:left w:w="57" w:type="dxa"/>
                    <w:bottom w:w="0" w:type="dxa"/>
                    <w:right w:w="57" w:type="dxa"/>
                  </w:tcMar>
                  <w:vAlign w:val="center"/>
                </w:tcPr>
                <w:p w14:paraId="04466593">
                  <w:pPr>
                    <w:pStyle w:val="20"/>
                    <w:bidi w:val="0"/>
                    <w:rPr>
                      <w:rFonts w:hint="default"/>
                      <w:color w:val="auto"/>
                      <w:highlight w:val="none"/>
                      <w:lang w:val="en-US" w:eastAsia="zh-CN"/>
                    </w:rPr>
                  </w:pPr>
                  <w:r>
                    <w:rPr>
                      <w:rFonts w:hint="default"/>
                      <w:color w:val="auto"/>
                      <w:highlight w:val="none"/>
                      <w:lang w:val="en-US" w:eastAsia="zh-CN"/>
                    </w:rPr>
                    <w:t>0.0001</w:t>
                  </w:r>
                </w:p>
              </w:tc>
              <w:tc>
                <w:tcPr>
                  <w:tcW w:w="338" w:type="pct"/>
                  <w:vMerge w:val="continue"/>
                  <w:tcMar>
                    <w:top w:w="0" w:type="dxa"/>
                    <w:left w:w="57" w:type="dxa"/>
                    <w:bottom w:w="0" w:type="dxa"/>
                    <w:right w:w="57" w:type="dxa"/>
                  </w:tcMar>
                  <w:vAlign w:val="center"/>
                </w:tcPr>
                <w:p w14:paraId="66C41214">
                  <w:pPr>
                    <w:pStyle w:val="20"/>
                    <w:bidi w:val="0"/>
                    <w:rPr>
                      <w:rFonts w:hint="eastAsia"/>
                      <w:color w:val="auto"/>
                      <w:highlight w:val="none"/>
                    </w:rPr>
                  </w:pPr>
                </w:p>
              </w:tc>
              <w:tc>
                <w:tcPr>
                  <w:tcW w:w="393" w:type="pct"/>
                  <w:vMerge w:val="continue"/>
                  <w:tcMar>
                    <w:top w:w="0" w:type="dxa"/>
                    <w:left w:w="57" w:type="dxa"/>
                    <w:bottom w:w="0" w:type="dxa"/>
                    <w:right w:w="57" w:type="dxa"/>
                  </w:tcMar>
                  <w:vAlign w:val="center"/>
                </w:tcPr>
                <w:p w14:paraId="4EE4FEAC">
                  <w:pPr>
                    <w:pStyle w:val="20"/>
                    <w:bidi w:val="0"/>
                    <w:rPr>
                      <w:rFonts w:hint="eastAsia"/>
                      <w:color w:val="auto"/>
                      <w:highlight w:val="none"/>
                    </w:rPr>
                  </w:pPr>
                </w:p>
              </w:tc>
              <w:tc>
                <w:tcPr>
                  <w:tcW w:w="479" w:type="pct"/>
                  <w:tcMar>
                    <w:top w:w="0" w:type="dxa"/>
                    <w:left w:w="57" w:type="dxa"/>
                    <w:bottom w:w="0" w:type="dxa"/>
                    <w:right w:w="57" w:type="dxa"/>
                  </w:tcMar>
                  <w:vAlign w:val="center"/>
                </w:tcPr>
                <w:p w14:paraId="5A74CFCB">
                  <w:pPr>
                    <w:pStyle w:val="20"/>
                    <w:bidi w:val="0"/>
                    <w:rPr>
                      <w:rFonts w:hint="default"/>
                      <w:color w:val="auto"/>
                      <w:highlight w:val="none"/>
                      <w:lang w:val="en-US" w:eastAsia="zh-CN"/>
                    </w:rPr>
                  </w:pPr>
                  <w:r>
                    <w:rPr>
                      <w:rFonts w:hint="default"/>
                      <w:color w:val="auto"/>
                      <w:highlight w:val="none"/>
                      <w:lang w:val="en-US" w:eastAsia="zh-CN"/>
                    </w:rPr>
                    <w:t>0.0000</w:t>
                  </w:r>
                </w:p>
              </w:tc>
              <w:tc>
                <w:tcPr>
                  <w:tcW w:w="479" w:type="pct"/>
                  <w:tcMar>
                    <w:top w:w="0" w:type="dxa"/>
                    <w:left w:w="57" w:type="dxa"/>
                    <w:bottom w:w="0" w:type="dxa"/>
                    <w:right w:w="57" w:type="dxa"/>
                  </w:tcMar>
                  <w:vAlign w:val="center"/>
                </w:tcPr>
                <w:p w14:paraId="07E754D6">
                  <w:pPr>
                    <w:pStyle w:val="20"/>
                    <w:bidi w:val="0"/>
                    <w:rPr>
                      <w:rFonts w:hint="default"/>
                      <w:color w:val="auto"/>
                      <w:highlight w:val="none"/>
                      <w:lang w:val="en-US" w:eastAsia="zh-CN"/>
                    </w:rPr>
                  </w:pPr>
                  <w:r>
                    <w:rPr>
                      <w:rFonts w:hint="eastAsia"/>
                      <w:color w:val="auto"/>
                      <w:highlight w:val="none"/>
                      <w:lang w:val="en-US" w:eastAsia="zh-CN"/>
                    </w:rPr>
                    <w:t>0.0000</w:t>
                  </w:r>
                </w:p>
              </w:tc>
            </w:tr>
            <w:tr w14:paraId="7F365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25" w:hRule="atLeast"/>
              </w:trPr>
              <w:tc>
                <w:tcPr>
                  <w:tcW w:w="464" w:type="pct"/>
                  <w:vMerge w:val="continue"/>
                  <w:tcMar>
                    <w:top w:w="0" w:type="dxa"/>
                    <w:left w:w="57" w:type="dxa"/>
                    <w:bottom w:w="0" w:type="dxa"/>
                    <w:right w:w="57" w:type="dxa"/>
                  </w:tcMar>
                  <w:vAlign w:val="center"/>
                </w:tcPr>
                <w:p w14:paraId="01B1CFD5">
                  <w:pPr>
                    <w:pStyle w:val="20"/>
                    <w:bidi w:val="0"/>
                    <w:rPr>
                      <w:rFonts w:hint="eastAsia"/>
                      <w:color w:val="auto"/>
                      <w:highlight w:val="none"/>
                      <w:lang w:val="en-US" w:eastAsia="zh-CN"/>
                    </w:rPr>
                  </w:pPr>
                </w:p>
              </w:tc>
              <w:tc>
                <w:tcPr>
                  <w:tcW w:w="972" w:type="pct"/>
                  <w:tcMar>
                    <w:top w:w="0" w:type="dxa"/>
                    <w:left w:w="57" w:type="dxa"/>
                    <w:bottom w:w="0" w:type="dxa"/>
                    <w:right w:w="57" w:type="dxa"/>
                  </w:tcMar>
                  <w:vAlign w:val="center"/>
                </w:tcPr>
                <w:p w14:paraId="0BDA9A34">
                  <w:pPr>
                    <w:pStyle w:val="20"/>
                    <w:bidi w:val="0"/>
                    <w:rPr>
                      <w:rFonts w:hint="eastAsia"/>
                      <w:color w:val="auto"/>
                      <w:highlight w:val="none"/>
                    </w:rPr>
                  </w:pPr>
                  <w:r>
                    <w:rPr>
                      <w:rFonts w:hint="eastAsia"/>
                      <w:color w:val="auto"/>
                      <w:highlight w:val="none"/>
                      <w:lang w:val="en-US" w:eastAsia="zh-CN"/>
                    </w:rPr>
                    <w:t>苯乙烯</w:t>
                  </w:r>
                </w:p>
              </w:tc>
              <w:tc>
                <w:tcPr>
                  <w:tcW w:w="526" w:type="pct"/>
                  <w:shd w:val="clear" w:color="auto" w:fill="auto"/>
                  <w:tcMar>
                    <w:top w:w="0" w:type="dxa"/>
                    <w:left w:w="57" w:type="dxa"/>
                    <w:bottom w:w="0" w:type="dxa"/>
                    <w:right w:w="57" w:type="dxa"/>
                  </w:tcMar>
                  <w:vAlign w:val="center"/>
                </w:tcPr>
                <w:p w14:paraId="42F225C1">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0.0463</w:t>
                  </w:r>
                </w:p>
              </w:tc>
              <w:tc>
                <w:tcPr>
                  <w:tcW w:w="382" w:type="pct"/>
                  <w:vMerge w:val="continue"/>
                  <w:tcMar>
                    <w:top w:w="0" w:type="dxa"/>
                    <w:left w:w="57" w:type="dxa"/>
                    <w:bottom w:w="0" w:type="dxa"/>
                    <w:right w:w="57" w:type="dxa"/>
                  </w:tcMar>
                  <w:vAlign w:val="center"/>
                </w:tcPr>
                <w:p w14:paraId="76C67C9F">
                  <w:pPr>
                    <w:pStyle w:val="20"/>
                    <w:bidi w:val="0"/>
                    <w:rPr>
                      <w:rFonts w:hint="eastAsia"/>
                      <w:color w:val="auto"/>
                      <w:highlight w:val="none"/>
                      <w:lang w:val="en-US" w:eastAsia="zh-CN"/>
                    </w:rPr>
                  </w:pPr>
                </w:p>
              </w:tc>
              <w:tc>
                <w:tcPr>
                  <w:tcW w:w="479" w:type="pct"/>
                  <w:tcMar>
                    <w:top w:w="0" w:type="dxa"/>
                    <w:left w:w="57" w:type="dxa"/>
                    <w:bottom w:w="0" w:type="dxa"/>
                    <w:right w:w="57" w:type="dxa"/>
                  </w:tcMar>
                  <w:vAlign w:val="center"/>
                </w:tcPr>
                <w:p w14:paraId="5C703C1C">
                  <w:pPr>
                    <w:pStyle w:val="20"/>
                    <w:bidi w:val="0"/>
                    <w:rPr>
                      <w:rFonts w:hint="eastAsia"/>
                      <w:color w:val="auto"/>
                      <w:highlight w:val="none"/>
                      <w:lang w:val="en-US" w:eastAsia="zh-CN"/>
                    </w:rPr>
                  </w:pPr>
                  <w:r>
                    <w:rPr>
                      <w:rFonts w:hint="default"/>
                      <w:color w:val="auto"/>
                      <w:highlight w:val="none"/>
                      <w:lang w:val="en-US" w:eastAsia="zh-CN"/>
                    </w:rPr>
                    <w:t>0.0093</w:t>
                  </w:r>
                </w:p>
              </w:tc>
              <w:tc>
                <w:tcPr>
                  <w:tcW w:w="482" w:type="pct"/>
                  <w:tcMar>
                    <w:top w:w="0" w:type="dxa"/>
                    <w:left w:w="57" w:type="dxa"/>
                    <w:bottom w:w="0" w:type="dxa"/>
                    <w:right w:w="57" w:type="dxa"/>
                  </w:tcMar>
                  <w:vAlign w:val="center"/>
                </w:tcPr>
                <w:p w14:paraId="666A5BDE">
                  <w:pPr>
                    <w:pStyle w:val="20"/>
                    <w:bidi w:val="0"/>
                    <w:rPr>
                      <w:rFonts w:hint="default"/>
                      <w:color w:val="auto"/>
                      <w:highlight w:val="none"/>
                      <w:lang w:val="en-US" w:eastAsia="zh-CN"/>
                    </w:rPr>
                  </w:pPr>
                  <w:r>
                    <w:rPr>
                      <w:rFonts w:hint="default"/>
                      <w:color w:val="auto"/>
                      <w:highlight w:val="none"/>
                      <w:lang w:val="en-US" w:eastAsia="zh-CN"/>
                    </w:rPr>
                    <w:t>0.0370</w:t>
                  </w:r>
                </w:p>
              </w:tc>
              <w:tc>
                <w:tcPr>
                  <w:tcW w:w="338" w:type="pct"/>
                  <w:vMerge w:val="continue"/>
                  <w:tcMar>
                    <w:top w:w="0" w:type="dxa"/>
                    <w:left w:w="57" w:type="dxa"/>
                    <w:bottom w:w="0" w:type="dxa"/>
                    <w:right w:w="57" w:type="dxa"/>
                  </w:tcMar>
                  <w:vAlign w:val="center"/>
                </w:tcPr>
                <w:p w14:paraId="7F0A74EB">
                  <w:pPr>
                    <w:pStyle w:val="20"/>
                    <w:bidi w:val="0"/>
                    <w:rPr>
                      <w:rFonts w:hint="eastAsia"/>
                      <w:color w:val="auto"/>
                      <w:highlight w:val="none"/>
                    </w:rPr>
                  </w:pPr>
                </w:p>
              </w:tc>
              <w:tc>
                <w:tcPr>
                  <w:tcW w:w="393" w:type="pct"/>
                  <w:vMerge w:val="continue"/>
                  <w:tcMar>
                    <w:top w:w="0" w:type="dxa"/>
                    <w:left w:w="57" w:type="dxa"/>
                    <w:bottom w:w="0" w:type="dxa"/>
                    <w:right w:w="57" w:type="dxa"/>
                  </w:tcMar>
                  <w:vAlign w:val="center"/>
                </w:tcPr>
                <w:p w14:paraId="765808E6">
                  <w:pPr>
                    <w:pStyle w:val="20"/>
                    <w:bidi w:val="0"/>
                    <w:rPr>
                      <w:rFonts w:hint="eastAsia"/>
                      <w:color w:val="auto"/>
                      <w:highlight w:val="none"/>
                    </w:rPr>
                  </w:pPr>
                </w:p>
              </w:tc>
              <w:tc>
                <w:tcPr>
                  <w:tcW w:w="479" w:type="pct"/>
                  <w:tcMar>
                    <w:top w:w="0" w:type="dxa"/>
                    <w:left w:w="57" w:type="dxa"/>
                    <w:bottom w:w="0" w:type="dxa"/>
                    <w:right w:w="57" w:type="dxa"/>
                  </w:tcMar>
                  <w:vAlign w:val="center"/>
                </w:tcPr>
                <w:p w14:paraId="4B3A0100">
                  <w:pPr>
                    <w:pStyle w:val="20"/>
                    <w:bidi w:val="0"/>
                    <w:rPr>
                      <w:rFonts w:hint="default"/>
                      <w:color w:val="auto"/>
                      <w:highlight w:val="none"/>
                      <w:lang w:val="en-US" w:eastAsia="zh-CN"/>
                    </w:rPr>
                  </w:pPr>
                  <w:r>
                    <w:rPr>
                      <w:rFonts w:hint="default"/>
                      <w:color w:val="auto"/>
                      <w:highlight w:val="none"/>
                      <w:lang w:val="en-US" w:eastAsia="zh-CN"/>
                    </w:rPr>
                    <w:t>0.0148</w:t>
                  </w:r>
                </w:p>
              </w:tc>
              <w:tc>
                <w:tcPr>
                  <w:tcW w:w="479" w:type="pct"/>
                  <w:tcMar>
                    <w:top w:w="0" w:type="dxa"/>
                    <w:left w:w="57" w:type="dxa"/>
                    <w:bottom w:w="0" w:type="dxa"/>
                    <w:right w:w="57" w:type="dxa"/>
                  </w:tcMar>
                  <w:vAlign w:val="center"/>
                </w:tcPr>
                <w:p w14:paraId="43749FE8">
                  <w:pPr>
                    <w:pStyle w:val="20"/>
                    <w:bidi w:val="0"/>
                    <w:rPr>
                      <w:rFonts w:hint="default"/>
                      <w:color w:val="auto"/>
                      <w:highlight w:val="none"/>
                      <w:lang w:val="en-US" w:eastAsia="zh-CN"/>
                    </w:rPr>
                  </w:pPr>
                  <w:r>
                    <w:rPr>
                      <w:rFonts w:hint="eastAsia"/>
                      <w:color w:val="auto"/>
                      <w:highlight w:val="none"/>
                      <w:lang w:val="en-US" w:eastAsia="zh-CN"/>
                    </w:rPr>
                    <w:t>0.0222</w:t>
                  </w:r>
                </w:p>
              </w:tc>
            </w:tr>
            <w:tr w14:paraId="34633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25" w:hRule="atLeast"/>
              </w:trPr>
              <w:tc>
                <w:tcPr>
                  <w:tcW w:w="464" w:type="pct"/>
                  <w:vMerge w:val="continue"/>
                  <w:tcMar>
                    <w:top w:w="0" w:type="dxa"/>
                    <w:left w:w="57" w:type="dxa"/>
                    <w:bottom w:w="0" w:type="dxa"/>
                    <w:right w:w="57" w:type="dxa"/>
                  </w:tcMar>
                  <w:vAlign w:val="center"/>
                </w:tcPr>
                <w:p w14:paraId="7FC76041">
                  <w:pPr>
                    <w:pStyle w:val="20"/>
                    <w:bidi w:val="0"/>
                    <w:rPr>
                      <w:rFonts w:hint="eastAsia"/>
                      <w:color w:val="auto"/>
                      <w:highlight w:val="none"/>
                      <w:lang w:val="en-US" w:eastAsia="zh-CN"/>
                    </w:rPr>
                  </w:pPr>
                </w:p>
              </w:tc>
              <w:tc>
                <w:tcPr>
                  <w:tcW w:w="972" w:type="pct"/>
                  <w:tcMar>
                    <w:top w:w="0" w:type="dxa"/>
                    <w:left w:w="57" w:type="dxa"/>
                    <w:bottom w:w="0" w:type="dxa"/>
                    <w:right w:w="57" w:type="dxa"/>
                  </w:tcMar>
                  <w:vAlign w:val="center"/>
                </w:tcPr>
                <w:p w14:paraId="65F24CA0">
                  <w:pPr>
                    <w:pStyle w:val="20"/>
                    <w:bidi w:val="0"/>
                    <w:rPr>
                      <w:rFonts w:hint="eastAsia"/>
                      <w:color w:val="auto"/>
                      <w:highlight w:val="none"/>
                    </w:rPr>
                  </w:pPr>
                  <w:r>
                    <w:rPr>
                      <w:rFonts w:hint="eastAsia"/>
                      <w:color w:val="auto"/>
                      <w:highlight w:val="none"/>
                      <w:lang w:val="en-US" w:eastAsia="zh-CN"/>
                    </w:rPr>
                    <w:t>甲苯</w:t>
                  </w:r>
                </w:p>
              </w:tc>
              <w:tc>
                <w:tcPr>
                  <w:tcW w:w="526" w:type="pct"/>
                  <w:shd w:val="clear" w:color="auto" w:fill="auto"/>
                  <w:tcMar>
                    <w:top w:w="0" w:type="dxa"/>
                    <w:left w:w="57" w:type="dxa"/>
                    <w:bottom w:w="0" w:type="dxa"/>
                    <w:right w:w="57" w:type="dxa"/>
                  </w:tcMar>
                  <w:vAlign w:val="center"/>
                </w:tcPr>
                <w:p w14:paraId="1591A28F">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0.0013</w:t>
                  </w:r>
                </w:p>
              </w:tc>
              <w:tc>
                <w:tcPr>
                  <w:tcW w:w="382" w:type="pct"/>
                  <w:vMerge w:val="continue"/>
                  <w:tcMar>
                    <w:top w:w="0" w:type="dxa"/>
                    <w:left w:w="57" w:type="dxa"/>
                    <w:bottom w:w="0" w:type="dxa"/>
                    <w:right w:w="57" w:type="dxa"/>
                  </w:tcMar>
                  <w:vAlign w:val="center"/>
                </w:tcPr>
                <w:p w14:paraId="6CEF72A2">
                  <w:pPr>
                    <w:pStyle w:val="20"/>
                    <w:bidi w:val="0"/>
                    <w:rPr>
                      <w:rFonts w:hint="eastAsia"/>
                      <w:color w:val="auto"/>
                      <w:highlight w:val="none"/>
                      <w:lang w:val="en-US" w:eastAsia="zh-CN"/>
                    </w:rPr>
                  </w:pPr>
                </w:p>
              </w:tc>
              <w:tc>
                <w:tcPr>
                  <w:tcW w:w="479" w:type="pct"/>
                  <w:tcMar>
                    <w:top w:w="0" w:type="dxa"/>
                    <w:left w:w="57" w:type="dxa"/>
                    <w:bottom w:w="0" w:type="dxa"/>
                    <w:right w:w="57" w:type="dxa"/>
                  </w:tcMar>
                  <w:vAlign w:val="center"/>
                </w:tcPr>
                <w:p w14:paraId="57604354">
                  <w:pPr>
                    <w:pStyle w:val="20"/>
                    <w:bidi w:val="0"/>
                    <w:rPr>
                      <w:rFonts w:hint="eastAsia"/>
                      <w:color w:val="auto"/>
                      <w:highlight w:val="none"/>
                      <w:lang w:val="en-US" w:eastAsia="zh-CN"/>
                    </w:rPr>
                  </w:pPr>
                  <w:r>
                    <w:rPr>
                      <w:rFonts w:hint="default"/>
                      <w:color w:val="auto"/>
                      <w:highlight w:val="none"/>
                      <w:lang w:val="en-US" w:eastAsia="zh-CN"/>
                    </w:rPr>
                    <w:t>0.0003</w:t>
                  </w:r>
                </w:p>
              </w:tc>
              <w:tc>
                <w:tcPr>
                  <w:tcW w:w="482" w:type="pct"/>
                  <w:tcMar>
                    <w:top w:w="0" w:type="dxa"/>
                    <w:left w:w="57" w:type="dxa"/>
                    <w:bottom w:w="0" w:type="dxa"/>
                    <w:right w:w="57" w:type="dxa"/>
                  </w:tcMar>
                  <w:vAlign w:val="center"/>
                </w:tcPr>
                <w:p w14:paraId="4DF4B5B2">
                  <w:pPr>
                    <w:pStyle w:val="20"/>
                    <w:bidi w:val="0"/>
                    <w:rPr>
                      <w:rFonts w:hint="default"/>
                      <w:color w:val="auto"/>
                      <w:highlight w:val="none"/>
                      <w:lang w:val="en-US" w:eastAsia="zh-CN"/>
                    </w:rPr>
                  </w:pPr>
                  <w:r>
                    <w:rPr>
                      <w:rFonts w:hint="default"/>
                      <w:color w:val="auto"/>
                      <w:highlight w:val="none"/>
                      <w:lang w:val="en-US" w:eastAsia="zh-CN"/>
                    </w:rPr>
                    <w:t>0.0010</w:t>
                  </w:r>
                </w:p>
              </w:tc>
              <w:tc>
                <w:tcPr>
                  <w:tcW w:w="338" w:type="pct"/>
                  <w:vMerge w:val="continue"/>
                  <w:tcMar>
                    <w:top w:w="0" w:type="dxa"/>
                    <w:left w:w="57" w:type="dxa"/>
                    <w:bottom w:w="0" w:type="dxa"/>
                    <w:right w:w="57" w:type="dxa"/>
                  </w:tcMar>
                  <w:vAlign w:val="center"/>
                </w:tcPr>
                <w:p w14:paraId="58DEC278">
                  <w:pPr>
                    <w:pStyle w:val="20"/>
                    <w:bidi w:val="0"/>
                    <w:rPr>
                      <w:rFonts w:hint="eastAsia"/>
                      <w:color w:val="auto"/>
                      <w:highlight w:val="none"/>
                    </w:rPr>
                  </w:pPr>
                </w:p>
              </w:tc>
              <w:tc>
                <w:tcPr>
                  <w:tcW w:w="393" w:type="pct"/>
                  <w:vMerge w:val="continue"/>
                  <w:tcMar>
                    <w:top w:w="0" w:type="dxa"/>
                    <w:left w:w="57" w:type="dxa"/>
                    <w:bottom w:w="0" w:type="dxa"/>
                    <w:right w:w="57" w:type="dxa"/>
                  </w:tcMar>
                  <w:vAlign w:val="center"/>
                </w:tcPr>
                <w:p w14:paraId="08A021CC">
                  <w:pPr>
                    <w:pStyle w:val="20"/>
                    <w:bidi w:val="0"/>
                    <w:rPr>
                      <w:rFonts w:hint="eastAsia"/>
                      <w:color w:val="auto"/>
                      <w:highlight w:val="none"/>
                    </w:rPr>
                  </w:pPr>
                </w:p>
              </w:tc>
              <w:tc>
                <w:tcPr>
                  <w:tcW w:w="479" w:type="pct"/>
                  <w:tcMar>
                    <w:top w:w="0" w:type="dxa"/>
                    <w:left w:w="57" w:type="dxa"/>
                    <w:bottom w:w="0" w:type="dxa"/>
                    <w:right w:w="57" w:type="dxa"/>
                  </w:tcMar>
                  <w:vAlign w:val="center"/>
                </w:tcPr>
                <w:p w14:paraId="74CEFC38">
                  <w:pPr>
                    <w:pStyle w:val="20"/>
                    <w:bidi w:val="0"/>
                    <w:rPr>
                      <w:rFonts w:hint="default"/>
                      <w:color w:val="auto"/>
                      <w:highlight w:val="none"/>
                      <w:lang w:val="en-US" w:eastAsia="zh-CN"/>
                    </w:rPr>
                  </w:pPr>
                  <w:r>
                    <w:rPr>
                      <w:rFonts w:hint="default"/>
                      <w:color w:val="auto"/>
                      <w:highlight w:val="none"/>
                      <w:lang w:val="en-US" w:eastAsia="zh-CN"/>
                    </w:rPr>
                    <w:t>0.0004</w:t>
                  </w:r>
                </w:p>
              </w:tc>
              <w:tc>
                <w:tcPr>
                  <w:tcW w:w="479" w:type="pct"/>
                  <w:tcMar>
                    <w:top w:w="0" w:type="dxa"/>
                    <w:left w:w="57" w:type="dxa"/>
                    <w:bottom w:w="0" w:type="dxa"/>
                    <w:right w:w="57" w:type="dxa"/>
                  </w:tcMar>
                  <w:vAlign w:val="center"/>
                </w:tcPr>
                <w:p w14:paraId="714B3DD7">
                  <w:pPr>
                    <w:pStyle w:val="20"/>
                    <w:bidi w:val="0"/>
                    <w:rPr>
                      <w:rFonts w:hint="default"/>
                      <w:color w:val="auto"/>
                      <w:highlight w:val="none"/>
                      <w:lang w:val="en-US" w:eastAsia="zh-CN"/>
                    </w:rPr>
                  </w:pPr>
                  <w:r>
                    <w:rPr>
                      <w:rFonts w:hint="eastAsia"/>
                      <w:color w:val="auto"/>
                      <w:highlight w:val="none"/>
                      <w:lang w:val="en-US" w:eastAsia="zh-CN"/>
                    </w:rPr>
                    <w:t>0.0006</w:t>
                  </w:r>
                </w:p>
              </w:tc>
            </w:tr>
            <w:tr w14:paraId="0F665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25" w:hRule="atLeast"/>
              </w:trPr>
              <w:tc>
                <w:tcPr>
                  <w:tcW w:w="464" w:type="pct"/>
                  <w:vMerge w:val="continue"/>
                  <w:tcMar>
                    <w:top w:w="0" w:type="dxa"/>
                    <w:left w:w="57" w:type="dxa"/>
                    <w:bottom w:w="0" w:type="dxa"/>
                    <w:right w:w="57" w:type="dxa"/>
                  </w:tcMar>
                  <w:vAlign w:val="center"/>
                </w:tcPr>
                <w:p w14:paraId="09B46F1E">
                  <w:pPr>
                    <w:pStyle w:val="20"/>
                    <w:bidi w:val="0"/>
                    <w:rPr>
                      <w:rFonts w:hint="eastAsia"/>
                      <w:color w:val="auto"/>
                      <w:highlight w:val="none"/>
                      <w:lang w:val="en-US" w:eastAsia="zh-CN"/>
                    </w:rPr>
                  </w:pPr>
                </w:p>
              </w:tc>
              <w:tc>
                <w:tcPr>
                  <w:tcW w:w="972" w:type="pct"/>
                  <w:tcMar>
                    <w:top w:w="0" w:type="dxa"/>
                    <w:left w:w="57" w:type="dxa"/>
                    <w:bottom w:w="0" w:type="dxa"/>
                    <w:right w:w="57" w:type="dxa"/>
                  </w:tcMar>
                  <w:vAlign w:val="center"/>
                </w:tcPr>
                <w:p w14:paraId="5D53A696">
                  <w:pPr>
                    <w:pStyle w:val="20"/>
                    <w:bidi w:val="0"/>
                    <w:rPr>
                      <w:rFonts w:hint="eastAsia"/>
                      <w:color w:val="auto"/>
                      <w:highlight w:val="none"/>
                    </w:rPr>
                  </w:pPr>
                  <w:r>
                    <w:rPr>
                      <w:rFonts w:hint="eastAsia"/>
                      <w:color w:val="auto"/>
                      <w:highlight w:val="none"/>
                      <w:lang w:val="en-US" w:eastAsia="zh-CN"/>
                    </w:rPr>
                    <w:t>乙苯</w:t>
                  </w:r>
                </w:p>
              </w:tc>
              <w:tc>
                <w:tcPr>
                  <w:tcW w:w="526" w:type="pct"/>
                  <w:shd w:val="clear" w:color="auto" w:fill="auto"/>
                  <w:tcMar>
                    <w:top w:w="0" w:type="dxa"/>
                    <w:left w:w="57" w:type="dxa"/>
                    <w:bottom w:w="0" w:type="dxa"/>
                    <w:right w:w="57" w:type="dxa"/>
                  </w:tcMar>
                  <w:vAlign w:val="center"/>
                </w:tcPr>
                <w:p w14:paraId="48A67214">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0.0055</w:t>
                  </w:r>
                </w:p>
              </w:tc>
              <w:tc>
                <w:tcPr>
                  <w:tcW w:w="382" w:type="pct"/>
                  <w:vMerge w:val="continue"/>
                  <w:tcMar>
                    <w:top w:w="0" w:type="dxa"/>
                    <w:left w:w="57" w:type="dxa"/>
                    <w:bottom w:w="0" w:type="dxa"/>
                    <w:right w:w="57" w:type="dxa"/>
                  </w:tcMar>
                  <w:vAlign w:val="center"/>
                </w:tcPr>
                <w:p w14:paraId="2DF977DE">
                  <w:pPr>
                    <w:pStyle w:val="20"/>
                    <w:bidi w:val="0"/>
                    <w:rPr>
                      <w:rFonts w:hint="eastAsia"/>
                      <w:color w:val="auto"/>
                      <w:highlight w:val="none"/>
                      <w:lang w:val="en-US" w:eastAsia="zh-CN"/>
                    </w:rPr>
                  </w:pPr>
                </w:p>
              </w:tc>
              <w:tc>
                <w:tcPr>
                  <w:tcW w:w="479" w:type="pct"/>
                  <w:tcMar>
                    <w:top w:w="0" w:type="dxa"/>
                    <w:left w:w="57" w:type="dxa"/>
                    <w:bottom w:w="0" w:type="dxa"/>
                    <w:right w:w="57" w:type="dxa"/>
                  </w:tcMar>
                  <w:vAlign w:val="center"/>
                </w:tcPr>
                <w:p w14:paraId="5378410F">
                  <w:pPr>
                    <w:pStyle w:val="20"/>
                    <w:bidi w:val="0"/>
                    <w:rPr>
                      <w:rFonts w:hint="eastAsia"/>
                      <w:color w:val="auto"/>
                      <w:highlight w:val="none"/>
                      <w:lang w:val="en-US" w:eastAsia="zh-CN"/>
                    </w:rPr>
                  </w:pPr>
                  <w:r>
                    <w:rPr>
                      <w:rFonts w:hint="default"/>
                      <w:color w:val="auto"/>
                      <w:highlight w:val="none"/>
                      <w:lang w:val="en-US" w:eastAsia="zh-CN"/>
                    </w:rPr>
                    <w:t>0.0011</w:t>
                  </w:r>
                </w:p>
              </w:tc>
              <w:tc>
                <w:tcPr>
                  <w:tcW w:w="482" w:type="pct"/>
                  <w:tcMar>
                    <w:top w:w="0" w:type="dxa"/>
                    <w:left w:w="57" w:type="dxa"/>
                    <w:bottom w:w="0" w:type="dxa"/>
                    <w:right w:w="57" w:type="dxa"/>
                  </w:tcMar>
                  <w:vAlign w:val="center"/>
                </w:tcPr>
                <w:p w14:paraId="172386A5">
                  <w:pPr>
                    <w:pStyle w:val="20"/>
                    <w:bidi w:val="0"/>
                    <w:rPr>
                      <w:rFonts w:hint="default"/>
                      <w:color w:val="auto"/>
                      <w:highlight w:val="none"/>
                      <w:lang w:val="en-US" w:eastAsia="zh-CN"/>
                    </w:rPr>
                  </w:pPr>
                  <w:r>
                    <w:rPr>
                      <w:rFonts w:hint="default"/>
                      <w:color w:val="auto"/>
                      <w:highlight w:val="none"/>
                      <w:lang w:val="en-US" w:eastAsia="zh-CN"/>
                    </w:rPr>
                    <w:t>0.0044</w:t>
                  </w:r>
                </w:p>
              </w:tc>
              <w:tc>
                <w:tcPr>
                  <w:tcW w:w="338" w:type="pct"/>
                  <w:vMerge w:val="continue"/>
                  <w:tcMar>
                    <w:top w:w="0" w:type="dxa"/>
                    <w:left w:w="57" w:type="dxa"/>
                    <w:bottom w:w="0" w:type="dxa"/>
                    <w:right w:w="57" w:type="dxa"/>
                  </w:tcMar>
                  <w:vAlign w:val="center"/>
                </w:tcPr>
                <w:p w14:paraId="6947DE21">
                  <w:pPr>
                    <w:pStyle w:val="20"/>
                    <w:bidi w:val="0"/>
                    <w:rPr>
                      <w:rFonts w:hint="eastAsia"/>
                      <w:color w:val="auto"/>
                      <w:highlight w:val="none"/>
                    </w:rPr>
                  </w:pPr>
                </w:p>
              </w:tc>
              <w:tc>
                <w:tcPr>
                  <w:tcW w:w="393" w:type="pct"/>
                  <w:vMerge w:val="continue"/>
                  <w:tcMar>
                    <w:top w:w="0" w:type="dxa"/>
                    <w:left w:w="57" w:type="dxa"/>
                    <w:bottom w:w="0" w:type="dxa"/>
                    <w:right w:w="57" w:type="dxa"/>
                  </w:tcMar>
                  <w:vAlign w:val="center"/>
                </w:tcPr>
                <w:p w14:paraId="548B9FBC">
                  <w:pPr>
                    <w:pStyle w:val="20"/>
                    <w:bidi w:val="0"/>
                    <w:rPr>
                      <w:rFonts w:hint="eastAsia"/>
                      <w:color w:val="auto"/>
                      <w:highlight w:val="none"/>
                    </w:rPr>
                  </w:pPr>
                </w:p>
              </w:tc>
              <w:tc>
                <w:tcPr>
                  <w:tcW w:w="479" w:type="pct"/>
                  <w:tcMar>
                    <w:top w:w="0" w:type="dxa"/>
                    <w:left w:w="57" w:type="dxa"/>
                    <w:bottom w:w="0" w:type="dxa"/>
                    <w:right w:w="57" w:type="dxa"/>
                  </w:tcMar>
                  <w:vAlign w:val="center"/>
                </w:tcPr>
                <w:p w14:paraId="03CF22D2">
                  <w:pPr>
                    <w:pStyle w:val="20"/>
                    <w:bidi w:val="0"/>
                    <w:rPr>
                      <w:rFonts w:hint="default"/>
                      <w:color w:val="auto"/>
                      <w:highlight w:val="none"/>
                      <w:lang w:val="en-US" w:eastAsia="zh-CN"/>
                    </w:rPr>
                  </w:pPr>
                  <w:r>
                    <w:rPr>
                      <w:rFonts w:hint="default"/>
                      <w:color w:val="auto"/>
                      <w:highlight w:val="none"/>
                      <w:lang w:val="en-US" w:eastAsia="zh-CN"/>
                    </w:rPr>
                    <w:t>0.0018</w:t>
                  </w:r>
                </w:p>
              </w:tc>
              <w:tc>
                <w:tcPr>
                  <w:tcW w:w="479" w:type="pct"/>
                  <w:tcMar>
                    <w:top w:w="0" w:type="dxa"/>
                    <w:left w:w="57" w:type="dxa"/>
                    <w:bottom w:w="0" w:type="dxa"/>
                    <w:right w:w="57" w:type="dxa"/>
                  </w:tcMar>
                  <w:vAlign w:val="center"/>
                </w:tcPr>
                <w:p w14:paraId="59C75D50">
                  <w:pPr>
                    <w:pStyle w:val="20"/>
                    <w:bidi w:val="0"/>
                    <w:rPr>
                      <w:rFonts w:hint="default"/>
                      <w:color w:val="auto"/>
                      <w:highlight w:val="none"/>
                      <w:lang w:val="en-US" w:eastAsia="zh-CN"/>
                    </w:rPr>
                  </w:pPr>
                  <w:r>
                    <w:rPr>
                      <w:rFonts w:hint="eastAsia"/>
                      <w:color w:val="auto"/>
                      <w:highlight w:val="none"/>
                      <w:lang w:val="en-US" w:eastAsia="zh-CN"/>
                    </w:rPr>
                    <w:t>0.0026</w:t>
                  </w:r>
                </w:p>
              </w:tc>
            </w:tr>
            <w:tr w14:paraId="4914C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25" w:hRule="atLeast"/>
              </w:trPr>
              <w:tc>
                <w:tcPr>
                  <w:tcW w:w="464" w:type="pct"/>
                  <w:vMerge w:val="continue"/>
                  <w:tcMar>
                    <w:top w:w="0" w:type="dxa"/>
                    <w:left w:w="57" w:type="dxa"/>
                    <w:bottom w:w="0" w:type="dxa"/>
                    <w:right w:w="57" w:type="dxa"/>
                  </w:tcMar>
                  <w:vAlign w:val="center"/>
                </w:tcPr>
                <w:p w14:paraId="4B9C335C">
                  <w:pPr>
                    <w:pStyle w:val="20"/>
                    <w:bidi w:val="0"/>
                    <w:rPr>
                      <w:rFonts w:hint="eastAsia"/>
                      <w:color w:val="auto"/>
                      <w:highlight w:val="none"/>
                      <w:lang w:val="en-US" w:eastAsia="zh-CN"/>
                    </w:rPr>
                  </w:pPr>
                </w:p>
              </w:tc>
              <w:tc>
                <w:tcPr>
                  <w:tcW w:w="972" w:type="pct"/>
                  <w:tcMar>
                    <w:top w:w="0" w:type="dxa"/>
                    <w:left w:w="57" w:type="dxa"/>
                    <w:bottom w:w="0" w:type="dxa"/>
                    <w:right w:w="57" w:type="dxa"/>
                  </w:tcMar>
                  <w:vAlign w:val="center"/>
                </w:tcPr>
                <w:p w14:paraId="533BE801">
                  <w:pPr>
                    <w:pStyle w:val="20"/>
                    <w:bidi w:val="0"/>
                    <w:rPr>
                      <w:rFonts w:hint="eastAsia"/>
                      <w:color w:val="auto"/>
                      <w:highlight w:val="none"/>
                    </w:rPr>
                  </w:pPr>
                  <w:r>
                    <w:rPr>
                      <w:rFonts w:hint="eastAsia"/>
                      <w:color w:val="auto"/>
                      <w:highlight w:val="none"/>
                      <w:lang w:val="en-US" w:eastAsia="zh-CN"/>
                    </w:rPr>
                    <w:t>甲基丙烯酸甲酯</w:t>
                  </w:r>
                </w:p>
              </w:tc>
              <w:tc>
                <w:tcPr>
                  <w:tcW w:w="526" w:type="pct"/>
                  <w:shd w:val="clear" w:color="auto" w:fill="auto"/>
                  <w:tcMar>
                    <w:top w:w="0" w:type="dxa"/>
                    <w:left w:w="57" w:type="dxa"/>
                    <w:bottom w:w="0" w:type="dxa"/>
                    <w:right w:w="57" w:type="dxa"/>
                  </w:tcMar>
                  <w:vAlign w:val="center"/>
                </w:tcPr>
                <w:p w14:paraId="6327F1E5">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0.0226</w:t>
                  </w:r>
                </w:p>
              </w:tc>
              <w:tc>
                <w:tcPr>
                  <w:tcW w:w="382" w:type="pct"/>
                  <w:vMerge w:val="continue"/>
                  <w:tcMar>
                    <w:top w:w="0" w:type="dxa"/>
                    <w:left w:w="57" w:type="dxa"/>
                    <w:bottom w:w="0" w:type="dxa"/>
                    <w:right w:w="57" w:type="dxa"/>
                  </w:tcMar>
                  <w:vAlign w:val="center"/>
                </w:tcPr>
                <w:p w14:paraId="482941F7">
                  <w:pPr>
                    <w:pStyle w:val="20"/>
                    <w:bidi w:val="0"/>
                    <w:rPr>
                      <w:rFonts w:hint="eastAsia"/>
                      <w:color w:val="auto"/>
                      <w:highlight w:val="none"/>
                      <w:lang w:val="en-US" w:eastAsia="zh-CN"/>
                    </w:rPr>
                  </w:pPr>
                </w:p>
              </w:tc>
              <w:tc>
                <w:tcPr>
                  <w:tcW w:w="479" w:type="pct"/>
                  <w:tcMar>
                    <w:top w:w="0" w:type="dxa"/>
                    <w:left w:w="57" w:type="dxa"/>
                    <w:bottom w:w="0" w:type="dxa"/>
                    <w:right w:w="57" w:type="dxa"/>
                  </w:tcMar>
                  <w:vAlign w:val="center"/>
                </w:tcPr>
                <w:p w14:paraId="607592F9">
                  <w:pPr>
                    <w:pStyle w:val="20"/>
                    <w:bidi w:val="0"/>
                    <w:rPr>
                      <w:rFonts w:hint="eastAsia"/>
                      <w:color w:val="auto"/>
                      <w:highlight w:val="none"/>
                      <w:lang w:val="en-US" w:eastAsia="zh-CN"/>
                    </w:rPr>
                  </w:pPr>
                  <w:r>
                    <w:rPr>
                      <w:rFonts w:hint="default"/>
                      <w:color w:val="auto"/>
                      <w:highlight w:val="none"/>
                      <w:lang w:val="en-US" w:eastAsia="zh-CN"/>
                    </w:rPr>
                    <w:t>0.0045</w:t>
                  </w:r>
                </w:p>
              </w:tc>
              <w:tc>
                <w:tcPr>
                  <w:tcW w:w="482" w:type="pct"/>
                  <w:tcMar>
                    <w:top w:w="0" w:type="dxa"/>
                    <w:left w:w="57" w:type="dxa"/>
                    <w:bottom w:w="0" w:type="dxa"/>
                    <w:right w:w="57" w:type="dxa"/>
                  </w:tcMar>
                  <w:vAlign w:val="center"/>
                </w:tcPr>
                <w:p w14:paraId="5162EB4B">
                  <w:pPr>
                    <w:pStyle w:val="20"/>
                    <w:bidi w:val="0"/>
                    <w:rPr>
                      <w:rFonts w:hint="default"/>
                      <w:color w:val="auto"/>
                      <w:highlight w:val="none"/>
                      <w:lang w:val="en-US" w:eastAsia="zh-CN"/>
                    </w:rPr>
                  </w:pPr>
                  <w:r>
                    <w:rPr>
                      <w:rFonts w:hint="default"/>
                      <w:color w:val="auto"/>
                      <w:highlight w:val="none"/>
                      <w:lang w:val="en-US" w:eastAsia="zh-CN"/>
                    </w:rPr>
                    <w:t>0.0181</w:t>
                  </w:r>
                </w:p>
              </w:tc>
              <w:tc>
                <w:tcPr>
                  <w:tcW w:w="338" w:type="pct"/>
                  <w:vMerge w:val="continue"/>
                  <w:tcMar>
                    <w:top w:w="0" w:type="dxa"/>
                    <w:left w:w="57" w:type="dxa"/>
                    <w:bottom w:w="0" w:type="dxa"/>
                    <w:right w:w="57" w:type="dxa"/>
                  </w:tcMar>
                  <w:vAlign w:val="center"/>
                </w:tcPr>
                <w:p w14:paraId="0889CAE7">
                  <w:pPr>
                    <w:pStyle w:val="20"/>
                    <w:bidi w:val="0"/>
                    <w:rPr>
                      <w:rFonts w:hint="eastAsia"/>
                      <w:color w:val="auto"/>
                      <w:highlight w:val="none"/>
                    </w:rPr>
                  </w:pPr>
                </w:p>
              </w:tc>
              <w:tc>
                <w:tcPr>
                  <w:tcW w:w="393" w:type="pct"/>
                  <w:vMerge w:val="continue"/>
                  <w:tcMar>
                    <w:top w:w="0" w:type="dxa"/>
                    <w:left w:w="57" w:type="dxa"/>
                    <w:bottom w:w="0" w:type="dxa"/>
                    <w:right w:w="57" w:type="dxa"/>
                  </w:tcMar>
                  <w:vAlign w:val="center"/>
                </w:tcPr>
                <w:p w14:paraId="3BDF8E7E">
                  <w:pPr>
                    <w:pStyle w:val="20"/>
                    <w:bidi w:val="0"/>
                    <w:rPr>
                      <w:rFonts w:hint="eastAsia"/>
                      <w:color w:val="auto"/>
                      <w:highlight w:val="none"/>
                    </w:rPr>
                  </w:pPr>
                </w:p>
              </w:tc>
              <w:tc>
                <w:tcPr>
                  <w:tcW w:w="479" w:type="pct"/>
                  <w:tcMar>
                    <w:top w:w="0" w:type="dxa"/>
                    <w:left w:w="57" w:type="dxa"/>
                    <w:bottom w:w="0" w:type="dxa"/>
                    <w:right w:w="57" w:type="dxa"/>
                  </w:tcMar>
                  <w:vAlign w:val="center"/>
                </w:tcPr>
                <w:p w14:paraId="3EC128CE">
                  <w:pPr>
                    <w:pStyle w:val="20"/>
                    <w:bidi w:val="0"/>
                    <w:rPr>
                      <w:rFonts w:hint="default"/>
                      <w:color w:val="auto"/>
                      <w:highlight w:val="none"/>
                      <w:lang w:val="en-US" w:eastAsia="zh-CN"/>
                    </w:rPr>
                  </w:pPr>
                  <w:r>
                    <w:rPr>
                      <w:rFonts w:hint="default"/>
                      <w:color w:val="auto"/>
                      <w:highlight w:val="none"/>
                      <w:lang w:val="en-US" w:eastAsia="zh-CN"/>
                    </w:rPr>
                    <w:t>0.0072</w:t>
                  </w:r>
                </w:p>
              </w:tc>
              <w:tc>
                <w:tcPr>
                  <w:tcW w:w="479" w:type="pct"/>
                  <w:tcMar>
                    <w:top w:w="0" w:type="dxa"/>
                    <w:left w:w="57" w:type="dxa"/>
                    <w:bottom w:w="0" w:type="dxa"/>
                    <w:right w:w="57" w:type="dxa"/>
                  </w:tcMar>
                  <w:vAlign w:val="center"/>
                </w:tcPr>
                <w:p w14:paraId="066CAEAA">
                  <w:pPr>
                    <w:pStyle w:val="20"/>
                    <w:bidi w:val="0"/>
                    <w:rPr>
                      <w:rFonts w:hint="default"/>
                      <w:color w:val="auto"/>
                      <w:highlight w:val="none"/>
                      <w:lang w:val="en-US" w:eastAsia="zh-CN"/>
                    </w:rPr>
                  </w:pPr>
                  <w:r>
                    <w:rPr>
                      <w:rFonts w:hint="eastAsia"/>
                      <w:color w:val="auto"/>
                      <w:highlight w:val="none"/>
                      <w:lang w:val="en-US" w:eastAsia="zh-CN"/>
                    </w:rPr>
                    <w:t>0.0108</w:t>
                  </w:r>
                </w:p>
              </w:tc>
            </w:tr>
            <w:tr w14:paraId="1B449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25" w:hRule="atLeast"/>
              </w:trPr>
              <w:tc>
                <w:tcPr>
                  <w:tcW w:w="464" w:type="pct"/>
                  <w:vMerge w:val="continue"/>
                  <w:tcMar>
                    <w:top w:w="0" w:type="dxa"/>
                    <w:left w:w="57" w:type="dxa"/>
                    <w:bottom w:w="0" w:type="dxa"/>
                    <w:right w:w="57" w:type="dxa"/>
                  </w:tcMar>
                  <w:vAlign w:val="center"/>
                </w:tcPr>
                <w:p w14:paraId="3AA87FB6">
                  <w:pPr>
                    <w:pStyle w:val="20"/>
                    <w:bidi w:val="0"/>
                    <w:rPr>
                      <w:rFonts w:hint="eastAsia"/>
                      <w:color w:val="auto"/>
                      <w:highlight w:val="none"/>
                      <w:lang w:val="en-US" w:eastAsia="zh-CN"/>
                    </w:rPr>
                  </w:pPr>
                </w:p>
              </w:tc>
              <w:tc>
                <w:tcPr>
                  <w:tcW w:w="972" w:type="pct"/>
                  <w:tcMar>
                    <w:top w:w="0" w:type="dxa"/>
                    <w:left w:w="57" w:type="dxa"/>
                    <w:bottom w:w="0" w:type="dxa"/>
                    <w:right w:w="57" w:type="dxa"/>
                  </w:tcMar>
                  <w:vAlign w:val="center"/>
                </w:tcPr>
                <w:p w14:paraId="470BC735">
                  <w:pPr>
                    <w:pStyle w:val="20"/>
                    <w:bidi w:val="0"/>
                    <w:rPr>
                      <w:rFonts w:hint="eastAsia"/>
                      <w:color w:val="auto"/>
                      <w:highlight w:val="none"/>
                    </w:rPr>
                  </w:pPr>
                  <w:r>
                    <w:rPr>
                      <w:rFonts w:hint="eastAsia"/>
                      <w:color w:val="auto"/>
                      <w:highlight w:val="none"/>
                      <w:lang w:val="en-US" w:eastAsia="zh-CN"/>
                    </w:rPr>
                    <w:t>丙烯酸甲酯</w:t>
                  </w:r>
                </w:p>
              </w:tc>
              <w:tc>
                <w:tcPr>
                  <w:tcW w:w="526" w:type="pct"/>
                  <w:shd w:val="clear" w:color="auto" w:fill="auto"/>
                  <w:tcMar>
                    <w:top w:w="0" w:type="dxa"/>
                    <w:left w:w="57" w:type="dxa"/>
                    <w:bottom w:w="0" w:type="dxa"/>
                    <w:right w:w="57" w:type="dxa"/>
                  </w:tcMar>
                  <w:vAlign w:val="center"/>
                </w:tcPr>
                <w:p w14:paraId="5B96B378">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0.0006</w:t>
                  </w:r>
                </w:p>
              </w:tc>
              <w:tc>
                <w:tcPr>
                  <w:tcW w:w="382" w:type="pct"/>
                  <w:vMerge w:val="continue"/>
                  <w:tcMar>
                    <w:top w:w="0" w:type="dxa"/>
                    <w:left w:w="57" w:type="dxa"/>
                    <w:bottom w:w="0" w:type="dxa"/>
                    <w:right w:w="57" w:type="dxa"/>
                  </w:tcMar>
                  <w:vAlign w:val="center"/>
                </w:tcPr>
                <w:p w14:paraId="5524CA33">
                  <w:pPr>
                    <w:pStyle w:val="20"/>
                    <w:bidi w:val="0"/>
                    <w:rPr>
                      <w:rFonts w:hint="eastAsia"/>
                      <w:color w:val="auto"/>
                      <w:highlight w:val="none"/>
                      <w:lang w:val="en-US" w:eastAsia="zh-CN"/>
                    </w:rPr>
                  </w:pPr>
                </w:p>
              </w:tc>
              <w:tc>
                <w:tcPr>
                  <w:tcW w:w="479" w:type="pct"/>
                  <w:tcMar>
                    <w:top w:w="0" w:type="dxa"/>
                    <w:left w:w="57" w:type="dxa"/>
                    <w:bottom w:w="0" w:type="dxa"/>
                    <w:right w:w="57" w:type="dxa"/>
                  </w:tcMar>
                  <w:vAlign w:val="center"/>
                </w:tcPr>
                <w:p w14:paraId="5EF7C8AC">
                  <w:pPr>
                    <w:pStyle w:val="20"/>
                    <w:bidi w:val="0"/>
                    <w:rPr>
                      <w:rFonts w:hint="eastAsia"/>
                      <w:color w:val="auto"/>
                      <w:highlight w:val="none"/>
                      <w:lang w:val="en-US" w:eastAsia="zh-CN"/>
                    </w:rPr>
                  </w:pPr>
                  <w:r>
                    <w:rPr>
                      <w:rFonts w:hint="default"/>
                      <w:color w:val="auto"/>
                      <w:highlight w:val="none"/>
                      <w:lang w:val="en-US" w:eastAsia="zh-CN"/>
                    </w:rPr>
                    <w:t>0.0001</w:t>
                  </w:r>
                </w:p>
              </w:tc>
              <w:tc>
                <w:tcPr>
                  <w:tcW w:w="482" w:type="pct"/>
                  <w:tcMar>
                    <w:top w:w="0" w:type="dxa"/>
                    <w:left w:w="57" w:type="dxa"/>
                    <w:bottom w:w="0" w:type="dxa"/>
                    <w:right w:w="57" w:type="dxa"/>
                  </w:tcMar>
                  <w:vAlign w:val="center"/>
                </w:tcPr>
                <w:p w14:paraId="07CC9984">
                  <w:pPr>
                    <w:pStyle w:val="20"/>
                    <w:bidi w:val="0"/>
                    <w:rPr>
                      <w:rFonts w:hint="default"/>
                      <w:color w:val="auto"/>
                      <w:highlight w:val="none"/>
                      <w:lang w:val="en-US" w:eastAsia="zh-CN"/>
                    </w:rPr>
                  </w:pPr>
                  <w:r>
                    <w:rPr>
                      <w:rFonts w:hint="default"/>
                      <w:color w:val="auto"/>
                      <w:highlight w:val="none"/>
                      <w:lang w:val="en-US" w:eastAsia="zh-CN"/>
                    </w:rPr>
                    <w:t>0.0005</w:t>
                  </w:r>
                </w:p>
              </w:tc>
              <w:tc>
                <w:tcPr>
                  <w:tcW w:w="338" w:type="pct"/>
                  <w:vMerge w:val="continue"/>
                  <w:tcMar>
                    <w:top w:w="0" w:type="dxa"/>
                    <w:left w:w="57" w:type="dxa"/>
                    <w:bottom w:w="0" w:type="dxa"/>
                    <w:right w:w="57" w:type="dxa"/>
                  </w:tcMar>
                  <w:vAlign w:val="center"/>
                </w:tcPr>
                <w:p w14:paraId="19B3A62B">
                  <w:pPr>
                    <w:pStyle w:val="20"/>
                    <w:bidi w:val="0"/>
                    <w:rPr>
                      <w:rFonts w:hint="eastAsia"/>
                      <w:color w:val="auto"/>
                      <w:highlight w:val="none"/>
                    </w:rPr>
                  </w:pPr>
                </w:p>
              </w:tc>
              <w:tc>
                <w:tcPr>
                  <w:tcW w:w="393" w:type="pct"/>
                  <w:vMerge w:val="continue"/>
                  <w:tcMar>
                    <w:top w:w="0" w:type="dxa"/>
                    <w:left w:w="57" w:type="dxa"/>
                    <w:bottom w:w="0" w:type="dxa"/>
                    <w:right w:w="57" w:type="dxa"/>
                  </w:tcMar>
                  <w:vAlign w:val="center"/>
                </w:tcPr>
                <w:p w14:paraId="56A33A78">
                  <w:pPr>
                    <w:pStyle w:val="20"/>
                    <w:bidi w:val="0"/>
                    <w:rPr>
                      <w:rFonts w:hint="eastAsia"/>
                      <w:color w:val="auto"/>
                      <w:highlight w:val="none"/>
                    </w:rPr>
                  </w:pPr>
                </w:p>
              </w:tc>
              <w:tc>
                <w:tcPr>
                  <w:tcW w:w="479" w:type="pct"/>
                  <w:tcMar>
                    <w:top w:w="0" w:type="dxa"/>
                    <w:left w:w="57" w:type="dxa"/>
                    <w:bottom w:w="0" w:type="dxa"/>
                    <w:right w:w="57" w:type="dxa"/>
                  </w:tcMar>
                  <w:vAlign w:val="center"/>
                </w:tcPr>
                <w:p w14:paraId="5A1F011E">
                  <w:pPr>
                    <w:pStyle w:val="20"/>
                    <w:bidi w:val="0"/>
                    <w:rPr>
                      <w:rFonts w:hint="default"/>
                      <w:color w:val="auto"/>
                      <w:highlight w:val="none"/>
                      <w:lang w:val="en-US" w:eastAsia="zh-CN"/>
                    </w:rPr>
                  </w:pPr>
                  <w:r>
                    <w:rPr>
                      <w:rFonts w:hint="default"/>
                      <w:color w:val="auto"/>
                      <w:highlight w:val="none"/>
                      <w:lang w:val="en-US" w:eastAsia="zh-CN"/>
                    </w:rPr>
                    <w:t>0.0002</w:t>
                  </w:r>
                </w:p>
              </w:tc>
              <w:tc>
                <w:tcPr>
                  <w:tcW w:w="479" w:type="pct"/>
                  <w:tcMar>
                    <w:top w:w="0" w:type="dxa"/>
                    <w:left w:w="57" w:type="dxa"/>
                    <w:bottom w:w="0" w:type="dxa"/>
                    <w:right w:w="57" w:type="dxa"/>
                  </w:tcMar>
                  <w:vAlign w:val="center"/>
                </w:tcPr>
                <w:p w14:paraId="512EC1AD">
                  <w:pPr>
                    <w:pStyle w:val="20"/>
                    <w:bidi w:val="0"/>
                    <w:rPr>
                      <w:rFonts w:hint="default"/>
                      <w:color w:val="auto"/>
                      <w:highlight w:val="none"/>
                      <w:lang w:val="en-US" w:eastAsia="zh-CN"/>
                    </w:rPr>
                  </w:pPr>
                  <w:r>
                    <w:rPr>
                      <w:rFonts w:hint="eastAsia"/>
                      <w:color w:val="auto"/>
                      <w:highlight w:val="none"/>
                      <w:lang w:val="en-US" w:eastAsia="zh-CN"/>
                    </w:rPr>
                    <w:t>0.0003</w:t>
                  </w:r>
                </w:p>
              </w:tc>
            </w:tr>
            <w:tr w14:paraId="1895F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25" w:hRule="atLeast"/>
              </w:trPr>
              <w:tc>
                <w:tcPr>
                  <w:tcW w:w="464" w:type="pct"/>
                  <w:vMerge w:val="continue"/>
                  <w:tcMar>
                    <w:top w:w="0" w:type="dxa"/>
                    <w:left w:w="57" w:type="dxa"/>
                    <w:bottom w:w="0" w:type="dxa"/>
                    <w:right w:w="57" w:type="dxa"/>
                  </w:tcMar>
                  <w:vAlign w:val="center"/>
                </w:tcPr>
                <w:p w14:paraId="6BEF4804">
                  <w:pPr>
                    <w:pStyle w:val="20"/>
                    <w:bidi w:val="0"/>
                    <w:rPr>
                      <w:rFonts w:hint="eastAsia"/>
                      <w:color w:val="auto"/>
                      <w:highlight w:val="none"/>
                      <w:lang w:val="en-US" w:eastAsia="zh-CN"/>
                    </w:rPr>
                  </w:pPr>
                </w:p>
              </w:tc>
              <w:tc>
                <w:tcPr>
                  <w:tcW w:w="972" w:type="pct"/>
                  <w:tcMar>
                    <w:top w:w="0" w:type="dxa"/>
                    <w:left w:w="57" w:type="dxa"/>
                    <w:bottom w:w="0" w:type="dxa"/>
                    <w:right w:w="57" w:type="dxa"/>
                  </w:tcMar>
                  <w:vAlign w:val="center"/>
                </w:tcPr>
                <w:p w14:paraId="302B99EF">
                  <w:pPr>
                    <w:pStyle w:val="20"/>
                    <w:bidi w:val="0"/>
                    <w:rPr>
                      <w:rFonts w:hint="eastAsia"/>
                      <w:color w:val="auto"/>
                      <w:highlight w:val="none"/>
                    </w:rPr>
                  </w:pPr>
                  <w:r>
                    <w:rPr>
                      <w:rFonts w:hint="eastAsia"/>
                      <w:color w:val="auto"/>
                      <w:highlight w:val="none"/>
                      <w:lang w:val="en-US" w:eastAsia="zh-CN"/>
                    </w:rPr>
                    <w:t>丙烯酸</w:t>
                  </w:r>
                </w:p>
              </w:tc>
              <w:tc>
                <w:tcPr>
                  <w:tcW w:w="526" w:type="pct"/>
                  <w:shd w:val="clear" w:color="auto" w:fill="auto"/>
                  <w:tcMar>
                    <w:top w:w="0" w:type="dxa"/>
                    <w:left w:w="57" w:type="dxa"/>
                    <w:bottom w:w="0" w:type="dxa"/>
                    <w:right w:w="57" w:type="dxa"/>
                  </w:tcMar>
                  <w:vAlign w:val="center"/>
                </w:tcPr>
                <w:p w14:paraId="72E4B1FE">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0.0083</w:t>
                  </w:r>
                </w:p>
              </w:tc>
              <w:tc>
                <w:tcPr>
                  <w:tcW w:w="382" w:type="pct"/>
                  <w:vMerge w:val="continue"/>
                  <w:tcMar>
                    <w:top w:w="0" w:type="dxa"/>
                    <w:left w:w="57" w:type="dxa"/>
                    <w:bottom w:w="0" w:type="dxa"/>
                    <w:right w:w="57" w:type="dxa"/>
                  </w:tcMar>
                  <w:vAlign w:val="center"/>
                </w:tcPr>
                <w:p w14:paraId="18DD75BD">
                  <w:pPr>
                    <w:pStyle w:val="20"/>
                    <w:bidi w:val="0"/>
                    <w:rPr>
                      <w:rFonts w:hint="eastAsia"/>
                      <w:color w:val="auto"/>
                      <w:highlight w:val="none"/>
                      <w:lang w:val="en-US" w:eastAsia="zh-CN"/>
                    </w:rPr>
                  </w:pPr>
                </w:p>
              </w:tc>
              <w:tc>
                <w:tcPr>
                  <w:tcW w:w="479" w:type="pct"/>
                  <w:tcMar>
                    <w:top w:w="0" w:type="dxa"/>
                    <w:left w:w="57" w:type="dxa"/>
                    <w:bottom w:w="0" w:type="dxa"/>
                    <w:right w:w="57" w:type="dxa"/>
                  </w:tcMar>
                  <w:vAlign w:val="center"/>
                </w:tcPr>
                <w:p w14:paraId="0E1053EC">
                  <w:pPr>
                    <w:pStyle w:val="20"/>
                    <w:bidi w:val="0"/>
                    <w:rPr>
                      <w:rFonts w:hint="eastAsia"/>
                      <w:color w:val="auto"/>
                      <w:highlight w:val="none"/>
                      <w:lang w:val="en-US" w:eastAsia="zh-CN"/>
                    </w:rPr>
                  </w:pPr>
                  <w:r>
                    <w:rPr>
                      <w:rFonts w:hint="default"/>
                      <w:color w:val="auto"/>
                      <w:highlight w:val="none"/>
                      <w:lang w:val="en-US" w:eastAsia="zh-CN"/>
                    </w:rPr>
                    <w:t>0.0017</w:t>
                  </w:r>
                </w:p>
              </w:tc>
              <w:tc>
                <w:tcPr>
                  <w:tcW w:w="482" w:type="pct"/>
                  <w:tcMar>
                    <w:top w:w="0" w:type="dxa"/>
                    <w:left w:w="57" w:type="dxa"/>
                    <w:bottom w:w="0" w:type="dxa"/>
                    <w:right w:w="57" w:type="dxa"/>
                  </w:tcMar>
                  <w:vAlign w:val="center"/>
                </w:tcPr>
                <w:p w14:paraId="167E9D6F">
                  <w:pPr>
                    <w:pStyle w:val="20"/>
                    <w:bidi w:val="0"/>
                    <w:rPr>
                      <w:rFonts w:hint="default"/>
                      <w:color w:val="auto"/>
                      <w:highlight w:val="none"/>
                      <w:lang w:val="en-US" w:eastAsia="zh-CN"/>
                    </w:rPr>
                  </w:pPr>
                  <w:r>
                    <w:rPr>
                      <w:rFonts w:hint="default"/>
                      <w:color w:val="auto"/>
                      <w:highlight w:val="none"/>
                      <w:lang w:val="en-US" w:eastAsia="zh-CN"/>
                    </w:rPr>
                    <w:t>0.0066</w:t>
                  </w:r>
                </w:p>
              </w:tc>
              <w:tc>
                <w:tcPr>
                  <w:tcW w:w="338" w:type="pct"/>
                  <w:vMerge w:val="continue"/>
                  <w:tcMar>
                    <w:top w:w="0" w:type="dxa"/>
                    <w:left w:w="57" w:type="dxa"/>
                    <w:bottom w:w="0" w:type="dxa"/>
                    <w:right w:w="57" w:type="dxa"/>
                  </w:tcMar>
                  <w:vAlign w:val="center"/>
                </w:tcPr>
                <w:p w14:paraId="5ADB897A">
                  <w:pPr>
                    <w:pStyle w:val="20"/>
                    <w:bidi w:val="0"/>
                    <w:rPr>
                      <w:rFonts w:hint="eastAsia"/>
                      <w:color w:val="auto"/>
                      <w:highlight w:val="none"/>
                    </w:rPr>
                  </w:pPr>
                </w:p>
              </w:tc>
              <w:tc>
                <w:tcPr>
                  <w:tcW w:w="393" w:type="pct"/>
                  <w:vMerge w:val="continue"/>
                  <w:tcMar>
                    <w:top w:w="0" w:type="dxa"/>
                    <w:left w:w="57" w:type="dxa"/>
                    <w:bottom w:w="0" w:type="dxa"/>
                    <w:right w:w="57" w:type="dxa"/>
                  </w:tcMar>
                  <w:vAlign w:val="center"/>
                </w:tcPr>
                <w:p w14:paraId="32B1DFD9">
                  <w:pPr>
                    <w:pStyle w:val="20"/>
                    <w:bidi w:val="0"/>
                    <w:rPr>
                      <w:rFonts w:hint="eastAsia"/>
                      <w:color w:val="auto"/>
                      <w:highlight w:val="none"/>
                    </w:rPr>
                  </w:pPr>
                </w:p>
              </w:tc>
              <w:tc>
                <w:tcPr>
                  <w:tcW w:w="479" w:type="pct"/>
                  <w:tcMar>
                    <w:top w:w="0" w:type="dxa"/>
                    <w:left w:w="57" w:type="dxa"/>
                    <w:bottom w:w="0" w:type="dxa"/>
                    <w:right w:w="57" w:type="dxa"/>
                  </w:tcMar>
                  <w:vAlign w:val="center"/>
                </w:tcPr>
                <w:p w14:paraId="26D2ED41">
                  <w:pPr>
                    <w:pStyle w:val="20"/>
                    <w:bidi w:val="0"/>
                    <w:rPr>
                      <w:rFonts w:hint="default"/>
                      <w:color w:val="auto"/>
                      <w:highlight w:val="none"/>
                      <w:lang w:val="en-US" w:eastAsia="zh-CN"/>
                    </w:rPr>
                  </w:pPr>
                  <w:r>
                    <w:rPr>
                      <w:rFonts w:hint="default"/>
                      <w:color w:val="auto"/>
                      <w:highlight w:val="none"/>
                      <w:lang w:val="en-US" w:eastAsia="zh-CN"/>
                    </w:rPr>
                    <w:t>0.0027</w:t>
                  </w:r>
                </w:p>
              </w:tc>
              <w:tc>
                <w:tcPr>
                  <w:tcW w:w="479" w:type="pct"/>
                  <w:tcMar>
                    <w:top w:w="0" w:type="dxa"/>
                    <w:left w:w="57" w:type="dxa"/>
                    <w:bottom w:w="0" w:type="dxa"/>
                    <w:right w:w="57" w:type="dxa"/>
                  </w:tcMar>
                  <w:vAlign w:val="center"/>
                </w:tcPr>
                <w:p w14:paraId="54771C9F">
                  <w:pPr>
                    <w:pStyle w:val="20"/>
                    <w:bidi w:val="0"/>
                    <w:rPr>
                      <w:rFonts w:hint="default"/>
                      <w:color w:val="auto"/>
                      <w:highlight w:val="none"/>
                      <w:lang w:val="en-US" w:eastAsia="zh-CN"/>
                    </w:rPr>
                  </w:pPr>
                  <w:r>
                    <w:rPr>
                      <w:rFonts w:hint="eastAsia"/>
                      <w:color w:val="auto"/>
                      <w:highlight w:val="none"/>
                      <w:lang w:val="en-US" w:eastAsia="zh-CN"/>
                    </w:rPr>
                    <w:t>0.0040</w:t>
                  </w:r>
                </w:p>
              </w:tc>
            </w:tr>
            <w:tr w14:paraId="3DBD1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25" w:hRule="atLeast"/>
              </w:trPr>
              <w:tc>
                <w:tcPr>
                  <w:tcW w:w="464" w:type="pct"/>
                  <w:vMerge w:val="continue"/>
                  <w:tcMar>
                    <w:top w:w="0" w:type="dxa"/>
                    <w:left w:w="57" w:type="dxa"/>
                    <w:bottom w:w="0" w:type="dxa"/>
                    <w:right w:w="57" w:type="dxa"/>
                  </w:tcMar>
                  <w:vAlign w:val="center"/>
                </w:tcPr>
                <w:p w14:paraId="48F7DC37">
                  <w:pPr>
                    <w:pStyle w:val="20"/>
                    <w:bidi w:val="0"/>
                    <w:rPr>
                      <w:rFonts w:hint="eastAsia"/>
                      <w:color w:val="auto"/>
                      <w:highlight w:val="none"/>
                      <w:lang w:val="en-US" w:eastAsia="zh-CN"/>
                    </w:rPr>
                  </w:pPr>
                </w:p>
              </w:tc>
              <w:tc>
                <w:tcPr>
                  <w:tcW w:w="972" w:type="pct"/>
                  <w:tcMar>
                    <w:top w:w="0" w:type="dxa"/>
                    <w:left w:w="57" w:type="dxa"/>
                    <w:bottom w:w="0" w:type="dxa"/>
                    <w:right w:w="57" w:type="dxa"/>
                  </w:tcMar>
                  <w:vAlign w:val="center"/>
                </w:tcPr>
                <w:p w14:paraId="418CE245">
                  <w:pPr>
                    <w:pStyle w:val="20"/>
                    <w:bidi w:val="0"/>
                    <w:rPr>
                      <w:rFonts w:hint="eastAsia"/>
                      <w:color w:val="auto"/>
                      <w:highlight w:val="none"/>
                    </w:rPr>
                  </w:pPr>
                  <w:r>
                    <w:rPr>
                      <w:rFonts w:hint="eastAsia"/>
                      <w:color w:val="auto"/>
                      <w:highlight w:val="none"/>
                      <w:lang w:val="en-US" w:eastAsia="zh-CN"/>
                    </w:rPr>
                    <w:t>丙烯酸丁酯</w:t>
                  </w:r>
                </w:p>
              </w:tc>
              <w:tc>
                <w:tcPr>
                  <w:tcW w:w="526" w:type="pct"/>
                  <w:shd w:val="clear" w:color="auto" w:fill="auto"/>
                  <w:tcMar>
                    <w:top w:w="0" w:type="dxa"/>
                    <w:left w:w="57" w:type="dxa"/>
                    <w:bottom w:w="0" w:type="dxa"/>
                    <w:right w:w="57" w:type="dxa"/>
                  </w:tcMar>
                  <w:vAlign w:val="center"/>
                </w:tcPr>
                <w:p w14:paraId="7BA78BCF">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0.0416</w:t>
                  </w:r>
                </w:p>
              </w:tc>
              <w:tc>
                <w:tcPr>
                  <w:tcW w:w="382" w:type="pct"/>
                  <w:vMerge w:val="continue"/>
                  <w:tcMar>
                    <w:top w:w="0" w:type="dxa"/>
                    <w:left w:w="57" w:type="dxa"/>
                    <w:bottom w:w="0" w:type="dxa"/>
                    <w:right w:w="57" w:type="dxa"/>
                  </w:tcMar>
                  <w:vAlign w:val="center"/>
                </w:tcPr>
                <w:p w14:paraId="009A1941">
                  <w:pPr>
                    <w:pStyle w:val="20"/>
                    <w:bidi w:val="0"/>
                    <w:rPr>
                      <w:rFonts w:hint="eastAsia"/>
                      <w:color w:val="auto"/>
                      <w:highlight w:val="none"/>
                      <w:lang w:val="en-US" w:eastAsia="zh-CN"/>
                    </w:rPr>
                  </w:pPr>
                </w:p>
              </w:tc>
              <w:tc>
                <w:tcPr>
                  <w:tcW w:w="479" w:type="pct"/>
                  <w:tcMar>
                    <w:top w:w="0" w:type="dxa"/>
                    <w:left w:w="57" w:type="dxa"/>
                    <w:bottom w:w="0" w:type="dxa"/>
                    <w:right w:w="57" w:type="dxa"/>
                  </w:tcMar>
                  <w:vAlign w:val="center"/>
                </w:tcPr>
                <w:p w14:paraId="19C14654">
                  <w:pPr>
                    <w:pStyle w:val="20"/>
                    <w:bidi w:val="0"/>
                    <w:rPr>
                      <w:rFonts w:hint="default"/>
                      <w:color w:val="auto"/>
                      <w:highlight w:val="none"/>
                      <w:lang w:val="en-US" w:eastAsia="zh-CN"/>
                    </w:rPr>
                  </w:pPr>
                  <w:r>
                    <w:rPr>
                      <w:rFonts w:hint="default"/>
                      <w:color w:val="auto"/>
                      <w:highlight w:val="none"/>
                      <w:lang w:val="en-US" w:eastAsia="zh-CN"/>
                    </w:rPr>
                    <w:t>0.0083</w:t>
                  </w:r>
                </w:p>
              </w:tc>
              <w:tc>
                <w:tcPr>
                  <w:tcW w:w="482" w:type="pct"/>
                  <w:tcMar>
                    <w:top w:w="0" w:type="dxa"/>
                    <w:left w:w="57" w:type="dxa"/>
                    <w:bottom w:w="0" w:type="dxa"/>
                    <w:right w:w="57" w:type="dxa"/>
                  </w:tcMar>
                  <w:vAlign w:val="center"/>
                </w:tcPr>
                <w:p w14:paraId="5A827096">
                  <w:pPr>
                    <w:pStyle w:val="20"/>
                    <w:bidi w:val="0"/>
                    <w:rPr>
                      <w:rFonts w:hint="default"/>
                      <w:color w:val="auto"/>
                      <w:highlight w:val="none"/>
                      <w:lang w:val="en-US" w:eastAsia="zh-CN"/>
                    </w:rPr>
                  </w:pPr>
                  <w:r>
                    <w:rPr>
                      <w:rFonts w:hint="default"/>
                      <w:color w:val="auto"/>
                      <w:highlight w:val="none"/>
                      <w:lang w:val="en-US" w:eastAsia="zh-CN"/>
                    </w:rPr>
                    <w:t>0.0333</w:t>
                  </w:r>
                </w:p>
              </w:tc>
              <w:tc>
                <w:tcPr>
                  <w:tcW w:w="338" w:type="pct"/>
                  <w:vMerge w:val="continue"/>
                  <w:tcMar>
                    <w:top w:w="0" w:type="dxa"/>
                    <w:left w:w="57" w:type="dxa"/>
                    <w:bottom w:w="0" w:type="dxa"/>
                    <w:right w:w="57" w:type="dxa"/>
                  </w:tcMar>
                  <w:vAlign w:val="center"/>
                </w:tcPr>
                <w:p w14:paraId="124955F3">
                  <w:pPr>
                    <w:pStyle w:val="20"/>
                    <w:bidi w:val="0"/>
                    <w:rPr>
                      <w:rFonts w:hint="eastAsia"/>
                      <w:color w:val="auto"/>
                      <w:highlight w:val="none"/>
                    </w:rPr>
                  </w:pPr>
                </w:p>
              </w:tc>
              <w:tc>
                <w:tcPr>
                  <w:tcW w:w="393" w:type="pct"/>
                  <w:vMerge w:val="continue"/>
                  <w:tcMar>
                    <w:top w:w="0" w:type="dxa"/>
                    <w:left w:w="57" w:type="dxa"/>
                    <w:bottom w:w="0" w:type="dxa"/>
                    <w:right w:w="57" w:type="dxa"/>
                  </w:tcMar>
                  <w:vAlign w:val="center"/>
                </w:tcPr>
                <w:p w14:paraId="7B3678B1">
                  <w:pPr>
                    <w:pStyle w:val="20"/>
                    <w:bidi w:val="0"/>
                    <w:rPr>
                      <w:rFonts w:hint="eastAsia"/>
                      <w:color w:val="auto"/>
                      <w:highlight w:val="none"/>
                    </w:rPr>
                  </w:pPr>
                </w:p>
              </w:tc>
              <w:tc>
                <w:tcPr>
                  <w:tcW w:w="479" w:type="pct"/>
                  <w:tcMar>
                    <w:top w:w="0" w:type="dxa"/>
                    <w:left w:w="57" w:type="dxa"/>
                    <w:bottom w:w="0" w:type="dxa"/>
                    <w:right w:w="57" w:type="dxa"/>
                  </w:tcMar>
                  <w:vAlign w:val="center"/>
                </w:tcPr>
                <w:p w14:paraId="0C54A940">
                  <w:pPr>
                    <w:pStyle w:val="20"/>
                    <w:bidi w:val="0"/>
                    <w:rPr>
                      <w:rFonts w:hint="default"/>
                      <w:color w:val="auto"/>
                      <w:highlight w:val="none"/>
                      <w:lang w:val="en-US" w:eastAsia="zh-CN"/>
                    </w:rPr>
                  </w:pPr>
                  <w:r>
                    <w:rPr>
                      <w:rFonts w:hint="default"/>
                      <w:color w:val="auto"/>
                      <w:highlight w:val="none"/>
                      <w:lang w:val="en-US" w:eastAsia="zh-CN"/>
                    </w:rPr>
                    <w:t>0.0133</w:t>
                  </w:r>
                </w:p>
              </w:tc>
              <w:tc>
                <w:tcPr>
                  <w:tcW w:w="479" w:type="pct"/>
                  <w:tcMar>
                    <w:top w:w="0" w:type="dxa"/>
                    <w:left w:w="57" w:type="dxa"/>
                    <w:bottom w:w="0" w:type="dxa"/>
                    <w:right w:w="57" w:type="dxa"/>
                  </w:tcMar>
                  <w:vAlign w:val="center"/>
                </w:tcPr>
                <w:p w14:paraId="1C8D9633">
                  <w:pPr>
                    <w:pStyle w:val="20"/>
                    <w:bidi w:val="0"/>
                    <w:rPr>
                      <w:rFonts w:hint="default"/>
                      <w:color w:val="auto"/>
                      <w:highlight w:val="none"/>
                      <w:lang w:val="en-US" w:eastAsia="zh-CN"/>
                    </w:rPr>
                  </w:pPr>
                  <w:r>
                    <w:rPr>
                      <w:rFonts w:hint="eastAsia"/>
                      <w:color w:val="auto"/>
                      <w:highlight w:val="none"/>
                      <w:lang w:val="en-US" w:eastAsia="zh-CN"/>
                    </w:rPr>
                    <w:t>0.0200</w:t>
                  </w:r>
                </w:p>
              </w:tc>
            </w:tr>
            <w:tr w14:paraId="262D5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25" w:hRule="atLeast"/>
              </w:trPr>
              <w:tc>
                <w:tcPr>
                  <w:tcW w:w="464" w:type="pct"/>
                  <w:tcMar>
                    <w:top w:w="0" w:type="dxa"/>
                    <w:left w:w="57" w:type="dxa"/>
                    <w:bottom w:w="0" w:type="dxa"/>
                    <w:right w:w="57" w:type="dxa"/>
                  </w:tcMar>
                  <w:vAlign w:val="center"/>
                </w:tcPr>
                <w:p w14:paraId="1A496D58">
                  <w:pPr>
                    <w:pStyle w:val="20"/>
                    <w:bidi w:val="0"/>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破碎粉尘</w:t>
                  </w:r>
                </w:p>
              </w:tc>
              <w:tc>
                <w:tcPr>
                  <w:tcW w:w="972" w:type="pct"/>
                  <w:tcMar>
                    <w:top w:w="0" w:type="dxa"/>
                    <w:left w:w="57" w:type="dxa"/>
                    <w:bottom w:w="0" w:type="dxa"/>
                    <w:right w:w="57" w:type="dxa"/>
                  </w:tcMar>
                  <w:vAlign w:val="center"/>
                </w:tcPr>
                <w:p w14:paraId="03E34473">
                  <w:pPr>
                    <w:pStyle w:val="20"/>
                    <w:bidi w:val="0"/>
                    <w:rPr>
                      <w:rFonts w:hint="default"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颗粒物</w:t>
                  </w:r>
                </w:p>
              </w:tc>
              <w:tc>
                <w:tcPr>
                  <w:tcW w:w="526" w:type="pct"/>
                  <w:shd w:val="clear" w:color="auto" w:fill="auto"/>
                  <w:tcMar>
                    <w:top w:w="0" w:type="dxa"/>
                    <w:left w:w="57" w:type="dxa"/>
                    <w:bottom w:w="0" w:type="dxa"/>
                    <w:right w:w="57" w:type="dxa"/>
                  </w:tcMar>
                  <w:vAlign w:val="center"/>
                </w:tcPr>
                <w:p w14:paraId="44F7318C">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0.0026</w:t>
                  </w:r>
                </w:p>
              </w:tc>
              <w:tc>
                <w:tcPr>
                  <w:tcW w:w="382" w:type="pct"/>
                  <w:tcMar>
                    <w:top w:w="0" w:type="dxa"/>
                    <w:left w:w="57" w:type="dxa"/>
                    <w:bottom w:w="0" w:type="dxa"/>
                    <w:right w:w="57" w:type="dxa"/>
                  </w:tcMar>
                  <w:vAlign w:val="center"/>
                </w:tcPr>
                <w:p w14:paraId="7C0E7CD9">
                  <w:pPr>
                    <w:pStyle w:val="20"/>
                    <w:bidi w:val="0"/>
                    <w:rPr>
                      <w:rFonts w:hint="default"/>
                      <w:color w:val="auto"/>
                      <w:highlight w:val="none"/>
                      <w:lang w:val="en-US" w:eastAsia="zh-CN"/>
                    </w:rPr>
                  </w:pPr>
                  <w:r>
                    <w:rPr>
                      <w:rFonts w:hint="eastAsia"/>
                      <w:color w:val="auto"/>
                      <w:highlight w:val="none"/>
                      <w:lang w:val="en-US" w:eastAsia="zh-CN"/>
                    </w:rPr>
                    <w:t>/</w:t>
                  </w:r>
                </w:p>
              </w:tc>
              <w:tc>
                <w:tcPr>
                  <w:tcW w:w="479" w:type="pct"/>
                  <w:tcMar>
                    <w:top w:w="0" w:type="dxa"/>
                    <w:left w:w="57" w:type="dxa"/>
                    <w:bottom w:w="0" w:type="dxa"/>
                    <w:right w:w="57" w:type="dxa"/>
                  </w:tcMar>
                  <w:vAlign w:val="center"/>
                </w:tcPr>
                <w:p w14:paraId="7FBFBA4F">
                  <w:pPr>
                    <w:pStyle w:val="20"/>
                    <w:bidi w:val="0"/>
                    <w:rPr>
                      <w:rFonts w:hint="default"/>
                      <w:color w:val="auto"/>
                      <w:highlight w:val="none"/>
                      <w:lang w:val="en-US" w:eastAsia="zh-CN"/>
                    </w:rPr>
                  </w:pPr>
                  <w:r>
                    <w:rPr>
                      <w:rFonts w:hint="eastAsia"/>
                      <w:color w:val="auto"/>
                      <w:highlight w:val="none"/>
                      <w:lang w:val="en-US" w:eastAsia="zh-CN"/>
                    </w:rPr>
                    <w:t>0.0026</w:t>
                  </w:r>
                </w:p>
              </w:tc>
              <w:tc>
                <w:tcPr>
                  <w:tcW w:w="482" w:type="pct"/>
                  <w:tcMar>
                    <w:top w:w="0" w:type="dxa"/>
                    <w:left w:w="57" w:type="dxa"/>
                    <w:bottom w:w="0" w:type="dxa"/>
                    <w:right w:w="57" w:type="dxa"/>
                  </w:tcMar>
                  <w:vAlign w:val="center"/>
                </w:tcPr>
                <w:p w14:paraId="52A2C67D">
                  <w:pPr>
                    <w:pStyle w:val="20"/>
                    <w:bidi w:val="0"/>
                    <w:rPr>
                      <w:rFonts w:hint="default"/>
                      <w:color w:val="auto"/>
                      <w:highlight w:val="none"/>
                      <w:lang w:val="en-US" w:eastAsia="zh-CN"/>
                    </w:rPr>
                  </w:pPr>
                  <w:r>
                    <w:rPr>
                      <w:rFonts w:hint="eastAsia"/>
                      <w:color w:val="auto"/>
                      <w:highlight w:val="none"/>
                      <w:lang w:val="en-US" w:eastAsia="zh-CN"/>
                    </w:rPr>
                    <w:t>/</w:t>
                  </w:r>
                </w:p>
              </w:tc>
              <w:tc>
                <w:tcPr>
                  <w:tcW w:w="338" w:type="pct"/>
                  <w:tcMar>
                    <w:top w:w="0" w:type="dxa"/>
                    <w:left w:w="57" w:type="dxa"/>
                    <w:bottom w:w="0" w:type="dxa"/>
                    <w:right w:w="57" w:type="dxa"/>
                  </w:tcMar>
                  <w:vAlign w:val="center"/>
                </w:tcPr>
                <w:p w14:paraId="3574B8C1">
                  <w:pPr>
                    <w:pStyle w:val="20"/>
                    <w:bidi w:val="0"/>
                    <w:rPr>
                      <w:rFonts w:hint="default"/>
                      <w:color w:val="auto"/>
                      <w:highlight w:val="none"/>
                      <w:lang w:val="en-US" w:eastAsia="zh-CN"/>
                    </w:rPr>
                  </w:pPr>
                  <w:r>
                    <w:rPr>
                      <w:rFonts w:hint="eastAsia"/>
                      <w:color w:val="auto"/>
                      <w:highlight w:val="none"/>
                      <w:lang w:val="en-US" w:eastAsia="zh-CN"/>
                    </w:rPr>
                    <w:t>密闭厂房</w:t>
                  </w:r>
                </w:p>
              </w:tc>
              <w:tc>
                <w:tcPr>
                  <w:tcW w:w="393" w:type="pct"/>
                  <w:tcMar>
                    <w:top w:w="0" w:type="dxa"/>
                    <w:left w:w="57" w:type="dxa"/>
                    <w:bottom w:w="0" w:type="dxa"/>
                    <w:right w:w="57" w:type="dxa"/>
                  </w:tcMar>
                  <w:vAlign w:val="center"/>
                </w:tcPr>
                <w:p w14:paraId="6DE99D6F">
                  <w:pPr>
                    <w:pStyle w:val="20"/>
                    <w:bidi w:val="0"/>
                    <w:rPr>
                      <w:rFonts w:hint="default"/>
                      <w:color w:val="auto"/>
                      <w:highlight w:val="none"/>
                      <w:lang w:val="en-US" w:eastAsia="zh-CN"/>
                    </w:rPr>
                  </w:pPr>
                  <w:r>
                    <w:rPr>
                      <w:rFonts w:hint="eastAsia"/>
                      <w:color w:val="auto"/>
                      <w:highlight w:val="none"/>
                      <w:lang w:val="en-US" w:eastAsia="zh-CN"/>
                    </w:rPr>
                    <w:t>/</w:t>
                  </w:r>
                </w:p>
              </w:tc>
              <w:tc>
                <w:tcPr>
                  <w:tcW w:w="479" w:type="pct"/>
                  <w:tcMar>
                    <w:top w:w="0" w:type="dxa"/>
                    <w:left w:w="57" w:type="dxa"/>
                    <w:bottom w:w="0" w:type="dxa"/>
                    <w:right w:w="57" w:type="dxa"/>
                  </w:tcMar>
                  <w:vAlign w:val="center"/>
                </w:tcPr>
                <w:p w14:paraId="294D20A9">
                  <w:pPr>
                    <w:pStyle w:val="20"/>
                    <w:bidi w:val="0"/>
                    <w:rPr>
                      <w:rFonts w:hint="default"/>
                      <w:color w:val="auto"/>
                      <w:highlight w:val="none"/>
                      <w:lang w:val="en-US" w:eastAsia="zh-CN"/>
                    </w:rPr>
                  </w:pPr>
                  <w:r>
                    <w:rPr>
                      <w:rFonts w:hint="eastAsia"/>
                      <w:color w:val="auto"/>
                      <w:highlight w:val="none"/>
                      <w:lang w:val="en-US" w:eastAsia="zh-CN"/>
                    </w:rPr>
                    <w:t>/</w:t>
                  </w:r>
                </w:p>
              </w:tc>
              <w:tc>
                <w:tcPr>
                  <w:tcW w:w="479" w:type="pct"/>
                  <w:tcMar>
                    <w:top w:w="0" w:type="dxa"/>
                    <w:left w:w="57" w:type="dxa"/>
                    <w:bottom w:w="0" w:type="dxa"/>
                    <w:right w:w="57" w:type="dxa"/>
                  </w:tcMar>
                  <w:vAlign w:val="center"/>
                </w:tcPr>
                <w:p w14:paraId="11694E9A">
                  <w:pPr>
                    <w:pStyle w:val="20"/>
                    <w:bidi w:val="0"/>
                    <w:rPr>
                      <w:rFonts w:hint="default"/>
                      <w:color w:val="auto"/>
                      <w:highlight w:val="none"/>
                      <w:lang w:val="en-US" w:eastAsia="zh-CN"/>
                    </w:rPr>
                  </w:pPr>
                  <w:r>
                    <w:rPr>
                      <w:rFonts w:hint="eastAsia"/>
                      <w:color w:val="auto"/>
                      <w:highlight w:val="none"/>
                      <w:lang w:val="en-US" w:eastAsia="zh-CN"/>
                    </w:rPr>
                    <w:t>/</w:t>
                  </w:r>
                </w:p>
              </w:tc>
            </w:tr>
          </w:tbl>
          <w:p w14:paraId="31A825DE">
            <w:pPr>
              <w:pStyle w:val="18"/>
              <w:rPr>
                <w:rFonts w:hint="eastAsia" w:eastAsia="宋体"/>
                <w:b/>
                <w:bCs/>
                <w:color w:val="auto"/>
                <w:highlight w:val="none"/>
                <w:lang w:eastAsia="zh-CN"/>
              </w:rPr>
            </w:pPr>
            <w:r>
              <w:rPr>
                <w:rFonts w:hint="eastAsia"/>
                <w:b/>
                <w:bCs/>
                <w:color w:val="auto"/>
                <w:highlight w:val="none"/>
                <w:lang w:val="en-US" w:eastAsia="zh-CN"/>
              </w:rPr>
              <w:t>2</w:t>
            </w:r>
            <w:r>
              <w:rPr>
                <w:rFonts w:hint="eastAsia"/>
                <w:b/>
                <w:bCs/>
                <w:color w:val="auto"/>
                <w:highlight w:val="none"/>
              </w:rPr>
              <w:t>）废</w:t>
            </w:r>
            <w:r>
              <w:rPr>
                <w:rFonts w:hint="eastAsia"/>
                <w:b/>
                <w:bCs/>
                <w:color w:val="auto"/>
                <w:highlight w:val="none"/>
                <w:lang w:val="en-US" w:eastAsia="zh-CN"/>
              </w:rPr>
              <w:t>水</w:t>
            </w:r>
          </w:p>
          <w:p w14:paraId="2617BD3E">
            <w:pPr>
              <w:pStyle w:val="18"/>
              <w:bidi w:val="0"/>
              <w:rPr>
                <w:rFonts w:hint="default"/>
                <w:color w:val="auto"/>
                <w:highlight w:val="none"/>
                <w:lang w:val="en-US" w:eastAsia="zh-CN"/>
              </w:rPr>
            </w:pPr>
            <w:r>
              <w:rPr>
                <w:rFonts w:hint="eastAsia"/>
                <w:color w:val="auto"/>
                <w:highlight w:val="none"/>
                <w:lang w:val="en-US" w:eastAsia="zh-CN"/>
              </w:rPr>
              <w:t>根据前文水平衡核算系数，现有项目废水排放情况如下：</w:t>
            </w:r>
          </w:p>
          <w:p w14:paraId="24D49DAC">
            <w:pPr>
              <w:pStyle w:val="18"/>
              <w:bidi w:val="0"/>
              <w:rPr>
                <w:rFonts w:hint="default"/>
                <w:color w:val="auto"/>
                <w:highlight w:val="none"/>
                <w:lang w:val="en-US" w:eastAsia="zh-CN"/>
              </w:rPr>
            </w:pPr>
            <w:r>
              <w:rPr>
                <w:rFonts w:hint="default"/>
                <w:color w:val="auto"/>
                <w:highlight w:val="none"/>
                <w:lang w:val="en-US" w:eastAsia="zh-CN"/>
              </w:rPr>
              <w:t>①</w:t>
            </w:r>
            <w:r>
              <w:rPr>
                <w:rFonts w:hint="eastAsia"/>
                <w:color w:val="auto"/>
                <w:highlight w:val="none"/>
                <w:lang w:val="en-US" w:eastAsia="zh-CN"/>
              </w:rPr>
              <w:t>生活污水</w:t>
            </w:r>
          </w:p>
          <w:p w14:paraId="722CB08C">
            <w:pPr>
              <w:pStyle w:val="18"/>
              <w:bidi w:val="0"/>
              <w:rPr>
                <w:rFonts w:hint="default" w:eastAsia="宋体"/>
                <w:color w:val="auto"/>
                <w:highlight w:val="none"/>
                <w:lang w:val="en-US" w:eastAsia="zh-CN"/>
              </w:rPr>
            </w:pPr>
            <w:r>
              <w:rPr>
                <w:rFonts w:hint="eastAsia"/>
                <w:color w:val="auto"/>
                <w:highlight w:val="none"/>
                <w:lang w:val="en-US" w:eastAsia="zh-CN"/>
              </w:rPr>
              <w:t>现有项目</w:t>
            </w:r>
            <w:r>
              <w:rPr>
                <w:rFonts w:hint="eastAsia"/>
                <w:color w:val="auto"/>
                <w:highlight w:val="none"/>
              </w:rPr>
              <w:t>劳动定员</w:t>
            </w:r>
            <w:r>
              <w:rPr>
                <w:rFonts w:hint="eastAsia"/>
                <w:color w:val="auto"/>
                <w:highlight w:val="none"/>
                <w:lang w:val="en-US" w:eastAsia="zh-CN"/>
              </w:rPr>
              <w:t>15</w:t>
            </w:r>
            <w:r>
              <w:rPr>
                <w:rFonts w:hint="eastAsia"/>
                <w:color w:val="auto"/>
                <w:highlight w:val="none"/>
              </w:rPr>
              <w:t>人，</w:t>
            </w:r>
            <w:r>
              <w:rPr>
                <w:rFonts w:hint="eastAsia"/>
                <w:color w:val="auto"/>
                <w:highlight w:val="none"/>
                <w:lang w:val="en-US" w:eastAsia="zh-CN"/>
              </w:rPr>
              <w:t>不设置食堂和住宿</w:t>
            </w:r>
            <w:r>
              <w:rPr>
                <w:rFonts w:hint="eastAsia"/>
                <w:color w:val="auto"/>
                <w:highlight w:val="none"/>
                <w:lang w:eastAsia="zh-CN"/>
              </w:rPr>
              <w:t>，</w:t>
            </w:r>
            <w:r>
              <w:rPr>
                <w:rFonts w:hint="eastAsia"/>
                <w:color w:val="auto"/>
                <w:highlight w:val="none"/>
              </w:rPr>
              <w:t>年工作时间300天</w:t>
            </w:r>
            <w:r>
              <w:rPr>
                <w:rFonts w:hint="eastAsia"/>
                <w:color w:val="auto"/>
                <w:highlight w:val="none"/>
                <w:lang w:eastAsia="zh-CN"/>
              </w:rPr>
              <w:t>，</w:t>
            </w:r>
            <w:r>
              <w:rPr>
                <w:rFonts w:hint="eastAsia"/>
                <w:color w:val="auto"/>
                <w:highlight w:val="none"/>
                <w:lang w:val="en-US" w:eastAsia="zh-CN"/>
              </w:rPr>
              <w:t>废水排放量为202.5m</w:t>
            </w:r>
            <w:r>
              <w:rPr>
                <w:rFonts w:hint="eastAsia"/>
                <w:color w:val="auto"/>
                <w:highlight w:val="none"/>
                <w:vertAlign w:val="superscript"/>
                <w:lang w:val="en-US" w:eastAsia="zh-CN"/>
              </w:rPr>
              <w:t>3</w:t>
            </w:r>
            <w:r>
              <w:rPr>
                <w:rFonts w:hint="eastAsia"/>
                <w:color w:val="auto"/>
                <w:highlight w:val="none"/>
                <w:lang w:val="en-US" w:eastAsia="zh-CN"/>
              </w:rPr>
              <w:t>/a。</w:t>
            </w:r>
          </w:p>
          <w:p w14:paraId="72AE3523">
            <w:pPr>
              <w:pStyle w:val="18"/>
              <w:bidi w:val="0"/>
              <w:rPr>
                <w:rFonts w:hint="default"/>
                <w:color w:val="auto"/>
                <w:highlight w:val="none"/>
                <w:lang w:val="en-US" w:eastAsia="zh-CN"/>
              </w:rPr>
            </w:pPr>
            <w:r>
              <w:rPr>
                <w:rFonts w:hint="default"/>
                <w:color w:val="auto"/>
                <w:highlight w:val="none"/>
              </w:rPr>
              <w:t>②</w:t>
            </w:r>
            <w:r>
              <w:rPr>
                <w:rFonts w:hint="eastAsia"/>
                <w:color w:val="auto"/>
                <w:highlight w:val="none"/>
                <w:lang w:val="en-US" w:eastAsia="zh-CN"/>
              </w:rPr>
              <w:t>循环冷却水</w:t>
            </w:r>
          </w:p>
          <w:p w14:paraId="7A09BB6C">
            <w:pPr>
              <w:pStyle w:val="18"/>
              <w:bidi w:val="0"/>
              <w:rPr>
                <w:rFonts w:hint="default"/>
                <w:color w:val="auto"/>
                <w:highlight w:val="none"/>
                <w:lang w:val="en-US" w:eastAsia="zh-CN"/>
              </w:rPr>
            </w:pPr>
            <w:r>
              <w:rPr>
                <w:rFonts w:hint="eastAsia"/>
                <w:color w:val="auto"/>
                <w:highlight w:val="none"/>
                <w:lang w:val="en-US" w:eastAsia="zh-CN"/>
              </w:rPr>
              <w:t>现有项目设置1套循环水量为65m</w:t>
            </w:r>
            <w:r>
              <w:rPr>
                <w:rFonts w:hint="eastAsia"/>
                <w:color w:val="auto"/>
                <w:highlight w:val="none"/>
                <w:vertAlign w:val="superscript"/>
                <w:lang w:val="en-US" w:eastAsia="zh-CN"/>
              </w:rPr>
              <w:t>3</w:t>
            </w:r>
            <w:r>
              <w:rPr>
                <w:rFonts w:hint="eastAsia"/>
                <w:color w:val="auto"/>
                <w:highlight w:val="none"/>
                <w:lang w:val="en-US" w:eastAsia="zh-CN"/>
              </w:rPr>
              <w:t>/h的冷却塔，冷却水池20m</w:t>
            </w:r>
            <w:r>
              <w:rPr>
                <w:rFonts w:hint="eastAsia"/>
                <w:color w:val="auto"/>
                <w:highlight w:val="none"/>
                <w:vertAlign w:val="superscript"/>
                <w:lang w:val="en-US" w:eastAsia="zh-CN"/>
              </w:rPr>
              <w:t>3</w:t>
            </w:r>
            <w:r>
              <w:rPr>
                <w:rFonts w:hint="eastAsia"/>
                <w:color w:val="auto"/>
                <w:highlight w:val="none"/>
                <w:lang w:val="en-US" w:eastAsia="zh-CN"/>
              </w:rPr>
              <w:t>，冷却水每年更换一次，废水排放量为20m</w:t>
            </w:r>
            <w:r>
              <w:rPr>
                <w:rFonts w:hint="eastAsia"/>
                <w:color w:val="auto"/>
                <w:highlight w:val="none"/>
                <w:vertAlign w:val="superscript"/>
                <w:lang w:val="en-US" w:eastAsia="zh-CN"/>
              </w:rPr>
              <w:t>3</w:t>
            </w:r>
            <w:r>
              <w:rPr>
                <w:rFonts w:hint="eastAsia"/>
                <w:color w:val="auto"/>
                <w:highlight w:val="none"/>
                <w:lang w:val="en-US" w:eastAsia="zh-CN"/>
              </w:rPr>
              <w:t>/a。每台注塑机平均每小时所需循环水量约为3m</w:t>
            </w:r>
            <w:r>
              <w:rPr>
                <w:rFonts w:hint="eastAsia"/>
                <w:color w:val="auto"/>
                <w:highlight w:val="none"/>
                <w:vertAlign w:val="superscript"/>
                <w:lang w:val="en-US" w:eastAsia="zh-CN"/>
              </w:rPr>
              <w:t>3</w:t>
            </w:r>
            <w:r>
              <w:rPr>
                <w:rFonts w:hint="eastAsia"/>
                <w:color w:val="auto"/>
                <w:highlight w:val="none"/>
                <w:lang w:val="en-US" w:eastAsia="zh-CN"/>
              </w:rPr>
              <w:t>/h，现有项目设置6台注塑机，循环水量为18m</w:t>
            </w:r>
            <w:r>
              <w:rPr>
                <w:rFonts w:hint="eastAsia"/>
                <w:color w:val="auto"/>
                <w:highlight w:val="none"/>
                <w:vertAlign w:val="superscript"/>
                <w:lang w:val="en-US" w:eastAsia="zh-CN"/>
              </w:rPr>
              <w:t>3</w:t>
            </w:r>
            <w:r>
              <w:rPr>
                <w:rFonts w:hint="eastAsia"/>
                <w:color w:val="auto"/>
                <w:highlight w:val="none"/>
                <w:lang w:val="en-US" w:eastAsia="zh-CN"/>
              </w:rPr>
              <w:t>/h。则冷却塔蒸发损失水量为0.131m</w:t>
            </w:r>
            <w:r>
              <w:rPr>
                <w:rFonts w:hint="eastAsia"/>
                <w:color w:val="auto"/>
                <w:highlight w:val="none"/>
                <w:vertAlign w:val="superscript"/>
                <w:lang w:val="en-US" w:eastAsia="zh-CN"/>
              </w:rPr>
              <w:t>3</w:t>
            </w:r>
            <w:r>
              <w:rPr>
                <w:rFonts w:hint="eastAsia"/>
                <w:color w:val="auto"/>
                <w:highlight w:val="none"/>
                <w:lang w:val="en-US" w:eastAsia="zh-CN"/>
              </w:rPr>
              <w:t>/h，风吹损失水量为0.018m</w:t>
            </w:r>
            <w:r>
              <w:rPr>
                <w:rFonts w:hint="eastAsia"/>
                <w:color w:val="auto"/>
                <w:highlight w:val="none"/>
                <w:vertAlign w:val="superscript"/>
                <w:lang w:val="en-US" w:eastAsia="zh-CN"/>
              </w:rPr>
              <w:t>3</w:t>
            </w:r>
            <w:r>
              <w:rPr>
                <w:rFonts w:hint="eastAsia"/>
                <w:color w:val="auto"/>
                <w:highlight w:val="none"/>
                <w:lang w:val="en-US" w:eastAsia="zh-CN"/>
              </w:rPr>
              <w:t>/h，排水损失水量为0.026m</w:t>
            </w:r>
            <w:r>
              <w:rPr>
                <w:rFonts w:hint="eastAsia"/>
                <w:color w:val="auto"/>
                <w:highlight w:val="none"/>
                <w:vertAlign w:val="superscript"/>
                <w:lang w:val="en-US" w:eastAsia="zh-CN"/>
              </w:rPr>
              <w:t>3</w:t>
            </w:r>
            <w:r>
              <w:rPr>
                <w:rFonts w:hint="eastAsia"/>
                <w:color w:val="auto"/>
                <w:highlight w:val="none"/>
                <w:lang w:val="en-US" w:eastAsia="zh-CN"/>
              </w:rPr>
              <w:t>/h。现有项目日运行8h/d，每日循环水排放量为0.208t，年排放299d/a（更换日不计入），62.192m</w:t>
            </w:r>
            <w:r>
              <w:rPr>
                <w:rFonts w:hint="eastAsia"/>
                <w:color w:val="auto"/>
                <w:highlight w:val="none"/>
                <w:vertAlign w:val="superscript"/>
                <w:lang w:val="en-US" w:eastAsia="zh-CN"/>
              </w:rPr>
              <w:t>3</w:t>
            </w:r>
            <w:r>
              <w:rPr>
                <w:rFonts w:hint="eastAsia"/>
                <w:color w:val="auto"/>
                <w:highlight w:val="none"/>
                <w:lang w:val="en-US" w:eastAsia="zh-CN"/>
              </w:rPr>
              <w:t>/a。则总计循环冷却水排放量为82.192m</w:t>
            </w:r>
            <w:r>
              <w:rPr>
                <w:rFonts w:hint="eastAsia"/>
                <w:color w:val="auto"/>
                <w:highlight w:val="none"/>
                <w:vertAlign w:val="superscript"/>
                <w:lang w:val="en-US" w:eastAsia="zh-CN"/>
              </w:rPr>
              <w:t>3</w:t>
            </w:r>
            <w:r>
              <w:rPr>
                <w:rFonts w:hint="eastAsia"/>
                <w:color w:val="auto"/>
                <w:highlight w:val="none"/>
                <w:lang w:val="en-US" w:eastAsia="zh-CN"/>
              </w:rPr>
              <w:t>/a。</w:t>
            </w:r>
          </w:p>
          <w:p w14:paraId="7C9C7E4B">
            <w:pPr>
              <w:pStyle w:val="18"/>
              <w:bidi w:val="0"/>
              <w:rPr>
                <w:rFonts w:hint="eastAsia"/>
                <w:color w:val="auto"/>
                <w:highlight w:val="none"/>
                <w:lang w:eastAsia="zh-CN"/>
              </w:rPr>
            </w:pPr>
            <w:r>
              <w:rPr>
                <w:rFonts w:hint="default"/>
                <w:color w:val="auto"/>
                <w:highlight w:val="none"/>
              </w:rPr>
              <w:t>③</w:t>
            </w:r>
            <w:r>
              <w:rPr>
                <w:rFonts w:hint="eastAsia"/>
                <w:color w:val="auto"/>
                <w:highlight w:val="none"/>
                <w:lang w:eastAsia="zh-CN"/>
              </w:rPr>
              <w:t>地面清洁废水</w:t>
            </w:r>
          </w:p>
          <w:p w14:paraId="569769F2">
            <w:pPr>
              <w:pStyle w:val="18"/>
              <w:rPr>
                <w:rFonts w:hint="eastAsia"/>
                <w:color w:val="auto"/>
                <w:highlight w:val="none"/>
                <w:lang w:val="en-US" w:eastAsia="zh-CN"/>
              </w:rPr>
            </w:pPr>
            <w:r>
              <w:rPr>
                <w:rFonts w:hint="eastAsia"/>
                <w:color w:val="auto"/>
                <w:highlight w:val="none"/>
                <w:lang w:eastAsia="zh-CN"/>
              </w:rPr>
              <w:t>项目地面清洁采用拖把清洁，每</w:t>
            </w:r>
            <w:r>
              <w:rPr>
                <w:rFonts w:hint="eastAsia"/>
                <w:color w:val="auto"/>
                <w:highlight w:val="none"/>
                <w:lang w:val="en-US" w:eastAsia="zh-CN"/>
              </w:rPr>
              <w:t>日</w:t>
            </w:r>
            <w:r>
              <w:rPr>
                <w:rFonts w:hint="eastAsia"/>
                <w:color w:val="auto"/>
                <w:highlight w:val="none"/>
                <w:lang w:eastAsia="zh-CN"/>
              </w:rPr>
              <w:t>清洁一次，用水按0.5L/m</w:t>
            </w:r>
            <w:r>
              <w:rPr>
                <w:rFonts w:hint="eastAsia"/>
                <w:color w:val="auto"/>
                <w:highlight w:val="none"/>
                <w:vertAlign w:val="superscript"/>
                <w:lang w:eastAsia="zh-CN"/>
              </w:rPr>
              <w:t>2</w:t>
            </w:r>
            <w:r>
              <w:rPr>
                <w:rFonts w:hint="eastAsia"/>
                <w:color w:val="auto"/>
                <w:highlight w:val="none"/>
                <w:lang w:eastAsia="zh-CN"/>
              </w:rPr>
              <w:t>·</w:t>
            </w:r>
            <w:r>
              <w:rPr>
                <w:rFonts w:hint="eastAsia"/>
                <w:color w:val="auto"/>
                <w:highlight w:val="none"/>
                <w:lang w:val="en-US" w:eastAsia="zh-CN"/>
              </w:rPr>
              <w:t>d</w:t>
            </w:r>
            <w:r>
              <w:rPr>
                <w:rFonts w:hint="eastAsia"/>
                <w:color w:val="auto"/>
                <w:highlight w:val="none"/>
                <w:lang w:eastAsia="zh-CN"/>
              </w:rPr>
              <w:t>计。</w:t>
            </w:r>
            <w:r>
              <w:rPr>
                <w:rFonts w:hint="eastAsia"/>
                <w:color w:val="auto"/>
                <w:highlight w:val="none"/>
                <w:lang w:val="en-US" w:eastAsia="zh-CN"/>
              </w:rPr>
              <w:t>现有</w:t>
            </w:r>
            <w:r>
              <w:rPr>
                <w:rFonts w:hint="eastAsia"/>
                <w:color w:val="auto"/>
                <w:highlight w:val="none"/>
                <w:lang w:eastAsia="zh-CN"/>
              </w:rPr>
              <w:t>项目</w:t>
            </w:r>
            <w:r>
              <w:rPr>
                <w:rFonts w:hint="eastAsia"/>
                <w:color w:val="auto"/>
                <w:highlight w:val="none"/>
                <w:lang w:val="en-US" w:eastAsia="zh-CN"/>
              </w:rPr>
              <w:t>有效</w:t>
            </w:r>
            <w:r>
              <w:rPr>
                <w:rFonts w:hint="eastAsia"/>
                <w:color w:val="auto"/>
                <w:highlight w:val="none"/>
                <w:lang w:eastAsia="zh-CN"/>
              </w:rPr>
              <w:t>清洁区域约</w:t>
            </w:r>
            <w:r>
              <w:rPr>
                <w:rFonts w:hint="eastAsia"/>
                <w:color w:val="auto"/>
                <w:highlight w:val="none"/>
                <w:lang w:val="en-US" w:eastAsia="zh-CN"/>
              </w:rPr>
              <w:t>1000</w:t>
            </w:r>
            <w:r>
              <w:rPr>
                <w:rFonts w:hint="eastAsia"/>
                <w:color w:val="auto"/>
                <w:highlight w:val="none"/>
                <w:lang w:eastAsia="zh-CN"/>
              </w:rPr>
              <w:t>m</w:t>
            </w:r>
            <w:r>
              <w:rPr>
                <w:rFonts w:hint="eastAsia"/>
                <w:color w:val="auto"/>
                <w:highlight w:val="none"/>
                <w:vertAlign w:val="superscript"/>
                <w:lang w:eastAsia="zh-CN"/>
              </w:rPr>
              <w:t>2</w:t>
            </w:r>
            <w:r>
              <w:rPr>
                <w:rFonts w:hint="eastAsia"/>
                <w:color w:val="auto"/>
                <w:highlight w:val="none"/>
                <w:lang w:eastAsia="zh-CN"/>
              </w:rPr>
              <w:t>，则地面清洁用水量约为</w:t>
            </w:r>
            <w:r>
              <w:rPr>
                <w:rFonts w:hint="eastAsia"/>
                <w:color w:val="auto"/>
                <w:highlight w:val="none"/>
                <w:lang w:val="en-US" w:eastAsia="zh-CN"/>
              </w:rPr>
              <w:t>0.5</w:t>
            </w:r>
            <w:r>
              <w:rPr>
                <w:rFonts w:hint="eastAsia"/>
                <w:color w:val="auto"/>
                <w:highlight w:val="none"/>
                <w:lang w:eastAsia="zh-CN"/>
              </w:rPr>
              <w:t>m</w:t>
            </w:r>
            <w:r>
              <w:rPr>
                <w:rFonts w:hint="eastAsia"/>
                <w:color w:val="auto"/>
                <w:highlight w:val="none"/>
                <w:vertAlign w:val="superscript"/>
                <w:lang w:val="en-US" w:eastAsia="zh-CN"/>
              </w:rPr>
              <w:t>3</w:t>
            </w:r>
            <w:r>
              <w:rPr>
                <w:rFonts w:hint="eastAsia"/>
                <w:color w:val="auto"/>
                <w:highlight w:val="none"/>
                <w:lang w:eastAsia="zh-CN"/>
              </w:rPr>
              <w:t>/d（</w:t>
            </w:r>
            <w:r>
              <w:rPr>
                <w:rFonts w:hint="eastAsia"/>
                <w:color w:val="auto"/>
                <w:highlight w:val="none"/>
                <w:lang w:val="en-US" w:eastAsia="zh-CN"/>
              </w:rPr>
              <w:t>150</w:t>
            </w:r>
            <w:r>
              <w:rPr>
                <w:rFonts w:hint="eastAsia"/>
                <w:color w:val="auto"/>
                <w:highlight w:val="none"/>
                <w:lang w:eastAsia="zh-CN"/>
              </w:rPr>
              <w:t>m</w:t>
            </w:r>
            <w:r>
              <w:rPr>
                <w:rFonts w:hint="eastAsia"/>
                <w:color w:val="auto"/>
                <w:highlight w:val="none"/>
                <w:vertAlign w:val="superscript"/>
                <w:lang w:val="en-US" w:eastAsia="zh-CN"/>
              </w:rPr>
              <w:t>3</w:t>
            </w:r>
            <w:r>
              <w:rPr>
                <w:rFonts w:hint="eastAsia"/>
                <w:color w:val="auto"/>
                <w:highlight w:val="none"/>
                <w:lang w:eastAsia="zh-CN"/>
              </w:rPr>
              <w:t>/a），地面清洁废水</w:t>
            </w:r>
            <w:r>
              <w:rPr>
                <w:rFonts w:hint="eastAsia"/>
                <w:color w:val="auto"/>
                <w:highlight w:val="none"/>
                <w:lang w:val="en-US" w:eastAsia="zh-CN"/>
              </w:rPr>
              <w:t>排放</w:t>
            </w:r>
            <w:r>
              <w:rPr>
                <w:rFonts w:hint="eastAsia"/>
                <w:color w:val="auto"/>
                <w:highlight w:val="none"/>
                <w:lang w:eastAsia="zh-CN"/>
              </w:rPr>
              <w:t>量</w:t>
            </w:r>
            <w:r>
              <w:rPr>
                <w:rFonts w:hint="eastAsia"/>
                <w:color w:val="auto"/>
                <w:highlight w:val="none"/>
                <w:lang w:val="en-US" w:eastAsia="zh-CN"/>
              </w:rPr>
              <w:t>135</w:t>
            </w:r>
            <w:r>
              <w:rPr>
                <w:rFonts w:hint="eastAsia"/>
                <w:color w:val="auto"/>
                <w:highlight w:val="none"/>
                <w:lang w:eastAsia="zh-CN"/>
              </w:rPr>
              <w:t>m</w:t>
            </w:r>
            <w:r>
              <w:rPr>
                <w:rFonts w:hint="eastAsia"/>
                <w:color w:val="auto"/>
                <w:highlight w:val="none"/>
                <w:vertAlign w:val="superscript"/>
                <w:lang w:val="en-US" w:eastAsia="zh-CN"/>
              </w:rPr>
              <w:t>3</w:t>
            </w:r>
            <w:r>
              <w:rPr>
                <w:rFonts w:hint="eastAsia"/>
                <w:color w:val="auto"/>
                <w:highlight w:val="none"/>
                <w:lang w:eastAsia="zh-CN"/>
              </w:rPr>
              <w:t>/a。</w:t>
            </w:r>
          </w:p>
          <w:p w14:paraId="4ED72E76">
            <w:pPr>
              <w:pStyle w:val="18"/>
              <w:rPr>
                <w:rFonts w:hint="eastAsia"/>
                <w:color w:val="auto"/>
                <w:highlight w:val="none"/>
                <w:lang w:val="en-US" w:eastAsia="zh-CN"/>
              </w:rPr>
            </w:pPr>
            <w:r>
              <w:rPr>
                <w:rFonts w:hint="eastAsia"/>
                <w:color w:val="auto"/>
                <w:highlight w:val="none"/>
                <w:lang w:val="en-US" w:eastAsia="zh-CN"/>
              </w:rPr>
              <w:t>项目生活污水、地面清洁废水经生化</w:t>
            </w:r>
            <w:r>
              <w:rPr>
                <w:rFonts w:hint="eastAsia"/>
                <w:color w:val="auto"/>
                <w:highlight w:val="none"/>
              </w:rPr>
              <w:t>池处理</w:t>
            </w:r>
            <w:r>
              <w:rPr>
                <w:rFonts w:hint="eastAsia"/>
                <w:color w:val="auto"/>
                <w:highlight w:val="none"/>
                <w:lang w:val="en-US" w:eastAsia="zh-CN"/>
              </w:rPr>
              <w:t>达</w:t>
            </w:r>
            <w:r>
              <w:rPr>
                <w:rFonts w:hint="eastAsia"/>
                <w:color w:val="auto"/>
                <w:highlight w:val="none"/>
              </w:rPr>
              <w:t>《污水综合排放标准》（GB8978-1996）三级标准后</w:t>
            </w:r>
            <w:r>
              <w:rPr>
                <w:rFonts w:hint="eastAsia"/>
                <w:color w:val="auto"/>
                <w:highlight w:val="none"/>
                <w:lang w:val="en-US" w:eastAsia="zh-CN"/>
              </w:rPr>
              <w:t>同循环冷却水经厂区废水排放口进入市政污水管网，</w:t>
            </w:r>
            <w:r>
              <w:rPr>
                <w:rFonts w:hint="eastAsia"/>
                <w:color w:val="auto"/>
                <w:highlight w:val="none"/>
              </w:rPr>
              <w:t>经管网进入西彭工业园区污水处理厂达《污水综合排放标准》（GB8978-1996）一级标准后排入桥头河，最终汇入</w:t>
            </w:r>
            <w:r>
              <w:rPr>
                <w:color w:val="auto"/>
                <w:highlight w:val="none"/>
              </w:rPr>
              <w:t>长江</w:t>
            </w:r>
            <w:r>
              <w:rPr>
                <w:rFonts w:hint="eastAsia"/>
                <w:color w:val="auto"/>
                <w:highlight w:val="none"/>
              </w:rPr>
              <w:t>。</w:t>
            </w:r>
          </w:p>
          <w:p w14:paraId="5EB53976">
            <w:pPr>
              <w:pStyle w:val="18"/>
              <w:rPr>
                <w:rFonts w:hint="default"/>
                <w:color w:val="auto"/>
                <w:highlight w:val="none"/>
                <w:lang w:val="en-US" w:eastAsia="zh-CN"/>
              </w:rPr>
            </w:pPr>
            <w:r>
              <w:rPr>
                <w:rFonts w:hint="eastAsia"/>
                <w:color w:val="auto"/>
                <w:highlight w:val="none"/>
                <w:lang w:val="en-US" w:eastAsia="zh-CN"/>
              </w:rPr>
              <w:t>综上，现有项目废水总量为废水污染物排放量核算如下：</w:t>
            </w:r>
          </w:p>
          <w:p w14:paraId="14A539CA">
            <w:pPr>
              <w:pStyle w:val="19"/>
              <w:bidi w:val="0"/>
              <w:rPr>
                <w:rFonts w:hint="default"/>
                <w:color w:val="auto"/>
                <w:highlight w:val="none"/>
                <w:lang w:val="en-US" w:eastAsia="zh-CN"/>
              </w:rPr>
            </w:pPr>
            <w:r>
              <w:rPr>
                <w:rFonts w:hint="default" w:ascii="Times New Roman" w:hAnsi="Times New Roman" w:cs="Times New Roman"/>
                <w:color w:val="auto"/>
                <w:highlight w:val="none"/>
              </w:rPr>
              <w:t>表2-</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SEQ 表2- \* ARABIC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14</w:t>
            </w:r>
            <w:r>
              <w:rPr>
                <w:rFonts w:hint="default" w:ascii="Times New Roman" w:hAnsi="Times New Roman" w:cs="Times New Roman"/>
                <w:color w:val="auto"/>
                <w:highlight w:val="none"/>
              </w:rPr>
              <w:fldChar w:fldCharType="end"/>
            </w:r>
            <w:r>
              <w:rPr>
                <w:rFonts w:hint="eastAsia" w:ascii="Times New Roman" w:hAnsi="Times New Roman" w:cs="Times New Roman"/>
                <w:color w:val="auto"/>
                <w:highlight w:val="none"/>
                <w:lang w:val="en-US" w:eastAsia="zh-CN"/>
              </w:rPr>
              <w:t xml:space="preserve">  </w:t>
            </w:r>
            <w:r>
              <w:rPr>
                <w:rFonts w:hint="eastAsia"/>
                <w:color w:val="auto"/>
                <w:highlight w:val="none"/>
                <w:lang w:val="en-US" w:eastAsia="zh-CN"/>
              </w:rPr>
              <w:t>现有项目废水污染物排放量</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006"/>
              <w:gridCol w:w="1464"/>
              <w:gridCol w:w="1973"/>
              <w:gridCol w:w="1973"/>
              <w:gridCol w:w="1906"/>
            </w:tblGrid>
            <w:tr w14:paraId="2BEE0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604" w:type="pct"/>
                  <w:tcMar>
                    <w:top w:w="0" w:type="dxa"/>
                    <w:left w:w="57" w:type="dxa"/>
                    <w:bottom w:w="0" w:type="dxa"/>
                    <w:right w:w="57" w:type="dxa"/>
                  </w:tcMar>
                  <w:vAlign w:val="center"/>
                </w:tcPr>
                <w:p w14:paraId="49A9440C">
                  <w:pPr>
                    <w:pStyle w:val="20"/>
                    <w:bidi w:val="0"/>
                    <w:rPr>
                      <w:b/>
                      <w:bCs/>
                      <w:color w:val="auto"/>
                      <w:highlight w:val="none"/>
                    </w:rPr>
                  </w:pPr>
                  <w:r>
                    <w:rPr>
                      <w:rFonts w:hint="eastAsia"/>
                      <w:b/>
                      <w:bCs/>
                      <w:color w:val="auto"/>
                      <w:highlight w:val="none"/>
                    </w:rPr>
                    <w:t>类别</w:t>
                  </w:r>
                </w:p>
              </w:tc>
              <w:tc>
                <w:tcPr>
                  <w:tcW w:w="879" w:type="pct"/>
                  <w:tcMar>
                    <w:top w:w="0" w:type="dxa"/>
                    <w:left w:w="57" w:type="dxa"/>
                    <w:bottom w:w="0" w:type="dxa"/>
                    <w:right w:w="57" w:type="dxa"/>
                  </w:tcMar>
                  <w:vAlign w:val="center"/>
                </w:tcPr>
                <w:p w14:paraId="7E5AB24D">
                  <w:pPr>
                    <w:pStyle w:val="20"/>
                    <w:bidi w:val="0"/>
                    <w:rPr>
                      <w:rFonts w:hint="default"/>
                      <w:b/>
                      <w:bCs/>
                      <w:color w:val="auto"/>
                      <w:highlight w:val="none"/>
                      <w:lang w:val="en-US" w:eastAsia="zh-CN"/>
                    </w:rPr>
                  </w:pPr>
                  <w:r>
                    <w:rPr>
                      <w:rFonts w:hint="eastAsia"/>
                      <w:b/>
                      <w:bCs/>
                      <w:color w:val="auto"/>
                      <w:highlight w:val="none"/>
                    </w:rPr>
                    <w:t>废水量</w:t>
                  </w:r>
                  <w:r>
                    <w:rPr>
                      <w:rFonts w:hint="eastAsia"/>
                      <w:b/>
                      <w:bCs/>
                      <w:color w:val="auto"/>
                      <w:highlight w:val="none"/>
                      <w:lang w:val="en-US" w:eastAsia="zh-CN"/>
                    </w:rPr>
                    <w:t>t/a</w:t>
                  </w:r>
                </w:p>
              </w:tc>
              <w:tc>
                <w:tcPr>
                  <w:tcW w:w="1185" w:type="pct"/>
                  <w:tcMar>
                    <w:top w:w="0" w:type="dxa"/>
                    <w:left w:w="57" w:type="dxa"/>
                    <w:bottom w:w="0" w:type="dxa"/>
                    <w:right w:w="57" w:type="dxa"/>
                  </w:tcMar>
                  <w:vAlign w:val="center"/>
                </w:tcPr>
                <w:p w14:paraId="145BE391">
                  <w:pPr>
                    <w:pStyle w:val="20"/>
                    <w:bidi w:val="0"/>
                    <w:rPr>
                      <w:rFonts w:hint="eastAsia" w:eastAsia="宋体"/>
                      <w:b/>
                      <w:bCs/>
                      <w:color w:val="auto"/>
                      <w:highlight w:val="none"/>
                      <w:lang w:val="en-US" w:eastAsia="zh-CN"/>
                    </w:rPr>
                  </w:pPr>
                  <w:r>
                    <w:rPr>
                      <w:rFonts w:hint="eastAsia"/>
                      <w:b/>
                      <w:bCs/>
                      <w:color w:val="auto"/>
                      <w:highlight w:val="none"/>
                      <w:lang w:val="en-US" w:eastAsia="zh-CN"/>
                    </w:rPr>
                    <w:t>污染物</w:t>
                  </w:r>
                </w:p>
              </w:tc>
              <w:tc>
                <w:tcPr>
                  <w:tcW w:w="1185" w:type="pct"/>
                  <w:tcMar>
                    <w:top w:w="0" w:type="dxa"/>
                    <w:left w:w="57" w:type="dxa"/>
                    <w:bottom w:w="0" w:type="dxa"/>
                    <w:right w:w="57" w:type="dxa"/>
                  </w:tcMar>
                  <w:vAlign w:val="center"/>
                </w:tcPr>
                <w:p w14:paraId="038D5861">
                  <w:pPr>
                    <w:pStyle w:val="20"/>
                    <w:bidi w:val="0"/>
                    <w:rPr>
                      <w:rFonts w:hint="eastAsia"/>
                      <w:b/>
                      <w:bCs/>
                      <w:color w:val="auto"/>
                      <w:highlight w:val="none"/>
                      <w:lang w:val="en-US" w:eastAsia="zh-CN"/>
                    </w:rPr>
                  </w:pPr>
                  <w:r>
                    <w:rPr>
                      <w:rFonts w:hint="eastAsia"/>
                      <w:b/>
                      <w:bCs/>
                      <w:color w:val="auto"/>
                      <w:highlight w:val="none"/>
                    </w:rPr>
                    <w:t>污水处理厂</w:t>
                  </w:r>
                  <w:r>
                    <w:rPr>
                      <w:rFonts w:hint="eastAsia"/>
                      <w:b/>
                      <w:bCs/>
                      <w:color w:val="auto"/>
                      <w:highlight w:val="none"/>
                      <w:lang w:val="en-US" w:eastAsia="zh-CN"/>
                    </w:rPr>
                    <w:t>现行</w:t>
                  </w:r>
                  <w:r>
                    <w:rPr>
                      <w:rFonts w:hint="eastAsia"/>
                      <w:b/>
                      <w:bCs/>
                      <w:color w:val="auto"/>
                      <w:highlight w:val="none"/>
                    </w:rPr>
                    <w:t>排放浓度mg/</w:t>
                  </w:r>
                  <w:r>
                    <w:rPr>
                      <w:b/>
                      <w:bCs/>
                      <w:color w:val="auto"/>
                      <w:highlight w:val="none"/>
                    </w:rPr>
                    <w:t>L</w:t>
                  </w:r>
                </w:p>
              </w:tc>
              <w:tc>
                <w:tcPr>
                  <w:tcW w:w="1145" w:type="pct"/>
                  <w:tcMar>
                    <w:top w:w="0" w:type="dxa"/>
                    <w:left w:w="57" w:type="dxa"/>
                    <w:bottom w:w="0" w:type="dxa"/>
                    <w:right w:w="57" w:type="dxa"/>
                  </w:tcMar>
                  <w:vAlign w:val="center"/>
                </w:tcPr>
                <w:p w14:paraId="1D974C71">
                  <w:pPr>
                    <w:pStyle w:val="20"/>
                    <w:bidi w:val="0"/>
                    <w:rPr>
                      <w:b/>
                      <w:bCs/>
                      <w:color w:val="auto"/>
                      <w:highlight w:val="none"/>
                    </w:rPr>
                  </w:pPr>
                  <w:r>
                    <w:rPr>
                      <w:rFonts w:hint="eastAsia"/>
                      <w:b/>
                      <w:bCs/>
                      <w:color w:val="auto"/>
                      <w:highlight w:val="none"/>
                      <w:lang w:val="en-US" w:eastAsia="zh-CN"/>
                    </w:rPr>
                    <w:t>污染物</w:t>
                  </w:r>
                  <w:r>
                    <w:rPr>
                      <w:rFonts w:hint="eastAsia"/>
                      <w:b/>
                      <w:bCs/>
                      <w:color w:val="auto"/>
                      <w:highlight w:val="none"/>
                    </w:rPr>
                    <w:t>排放量t/a</w:t>
                  </w:r>
                </w:p>
              </w:tc>
            </w:tr>
            <w:tr w14:paraId="7AB67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04" w:type="pct"/>
                  <w:vMerge w:val="restart"/>
                  <w:vAlign w:val="center"/>
                </w:tcPr>
                <w:p w14:paraId="56B9EDE7">
                  <w:pPr>
                    <w:pStyle w:val="20"/>
                    <w:bidi w:val="0"/>
                    <w:rPr>
                      <w:rFonts w:hint="default"/>
                      <w:color w:val="auto"/>
                      <w:highlight w:val="none"/>
                      <w:lang w:val="en-US" w:eastAsia="zh-CN"/>
                    </w:rPr>
                  </w:pPr>
                  <w:r>
                    <w:rPr>
                      <w:rFonts w:hint="eastAsia"/>
                      <w:color w:val="auto"/>
                      <w:highlight w:val="none"/>
                      <w:lang w:val="en-US" w:eastAsia="zh-CN"/>
                    </w:rPr>
                    <w:t>现有项目全厂合计</w:t>
                  </w:r>
                </w:p>
              </w:tc>
              <w:tc>
                <w:tcPr>
                  <w:tcW w:w="879" w:type="pct"/>
                  <w:vMerge w:val="restart"/>
                  <w:vAlign w:val="center"/>
                </w:tcPr>
                <w:p w14:paraId="603CEAA3">
                  <w:pPr>
                    <w:pStyle w:val="20"/>
                    <w:bidi w:val="0"/>
                    <w:rPr>
                      <w:rFonts w:hint="default"/>
                      <w:color w:val="auto"/>
                      <w:highlight w:val="none"/>
                      <w:lang w:val="en-US" w:eastAsia="zh-CN"/>
                    </w:rPr>
                  </w:pPr>
                  <w:r>
                    <w:rPr>
                      <w:rFonts w:hint="eastAsia"/>
                      <w:color w:val="auto"/>
                      <w:highlight w:val="none"/>
                      <w:lang w:val="en-US" w:eastAsia="zh-CN"/>
                    </w:rPr>
                    <w:t>419.692</w:t>
                  </w:r>
                </w:p>
              </w:tc>
              <w:tc>
                <w:tcPr>
                  <w:tcW w:w="1185" w:type="pct"/>
                  <w:shd w:val="clear" w:color="auto" w:fill="auto"/>
                  <w:vAlign w:val="center"/>
                </w:tcPr>
                <w:p w14:paraId="2805A7EC">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pH</w:t>
                  </w:r>
                  <w:r>
                    <w:rPr>
                      <w:rFonts w:hint="eastAsia"/>
                      <w:color w:val="auto"/>
                      <w:highlight w:val="none"/>
                      <w:lang w:eastAsia="zh-CN"/>
                    </w:rPr>
                    <w:t>（</w:t>
                  </w:r>
                  <w:r>
                    <w:rPr>
                      <w:rFonts w:hint="eastAsia"/>
                      <w:color w:val="auto"/>
                      <w:highlight w:val="none"/>
                      <w:lang w:val="en-US" w:eastAsia="zh-CN"/>
                    </w:rPr>
                    <w:t>无量纲）</w:t>
                  </w:r>
                </w:p>
              </w:tc>
              <w:tc>
                <w:tcPr>
                  <w:tcW w:w="1185" w:type="pct"/>
                  <w:vAlign w:val="center"/>
                </w:tcPr>
                <w:p w14:paraId="2DD51131">
                  <w:pPr>
                    <w:pStyle w:val="20"/>
                    <w:bidi w:val="0"/>
                    <w:rPr>
                      <w:rFonts w:hint="eastAsia"/>
                      <w:color w:val="auto"/>
                      <w:highlight w:val="none"/>
                      <w:lang w:val="en-US" w:eastAsia="zh-CN"/>
                    </w:rPr>
                  </w:pPr>
                  <w:r>
                    <w:rPr>
                      <w:rFonts w:hint="default"/>
                      <w:color w:val="auto"/>
                      <w:highlight w:val="none"/>
                      <w:lang w:val="en-US" w:eastAsia="zh-CN"/>
                    </w:rPr>
                    <w:t>6~9</w:t>
                  </w:r>
                </w:p>
              </w:tc>
              <w:tc>
                <w:tcPr>
                  <w:tcW w:w="1145" w:type="pct"/>
                  <w:vAlign w:val="center"/>
                </w:tcPr>
                <w:p w14:paraId="4BA59B89">
                  <w:pPr>
                    <w:pStyle w:val="20"/>
                    <w:bidi w:val="0"/>
                    <w:rPr>
                      <w:rFonts w:hint="default"/>
                      <w:color w:val="auto"/>
                      <w:highlight w:val="none"/>
                      <w:lang w:val="en-US" w:eastAsia="zh-CN"/>
                    </w:rPr>
                  </w:pPr>
                  <w:r>
                    <w:rPr>
                      <w:rFonts w:hint="eastAsia"/>
                      <w:color w:val="auto"/>
                      <w:highlight w:val="none"/>
                      <w:lang w:val="en-US" w:eastAsia="zh-CN"/>
                    </w:rPr>
                    <w:t>/</w:t>
                  </w:r>
                </w:p>
              </w:tc>
            </w:tr>
            <w:tr w14:paraId="4E563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04" w:type="pct"/>
                  <w:vMerge w:val="continue"/>
                  <w:vAlign w:val="center"/>
                </w:tcPr>
                <w:p w14:paraId="095E6786">
                  <w:pPr>
                    <w:pStyle w:val="20"/>
                    <w:bidi w:val="0"/>
                    <w:rPr>
                      <w:color w:val="auto"/>
                      <w:highlight w:val="none"/>
                    </w:rPr>
                  </w:pPr>
                </w:p>
              </w:tc>
              <w:tc>
                <w:tcPr>
                  <w:tcW w:w="879" w:type="pct"/>
                  <w:vMerge w:val="continue"/>
                  <w:vAlign w:val="center"/>
                </w:tcPr>
                <w:p w14:paraId="639D6019">
                  <w:pPr>
                    <w:pStyle w:val="20"/>
                    <w:bidi w:val="0"/>
                    <w:rPr>
                      <w:color w:val="auto"/>
                      <w:highlight w:val="none"/>
                    </w:rPr>
                  </w:pPr>
                </w:p>
              </w:tc>
              <w:tc>
                <w:tcPr>
                  <w:tcW w:w="1185" w:type="pct"/>
                  <w:shd w:val="clear" w:color="auto" w:fill="auto"/>
                  <w:vAlign w:val="center"/>
                </w:tcPr>
                <w:p w14:paraId="6FEC510B">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COD</w:t>
                  </w:r>
                </w:p>
              </w:tc>
              <w:tc>
                <w:tcPr>
                  <w:tcW w:w="1185" w:type="pct"/>
                  <w:vAlign w:val="center"/>
                </w:tcPr>
                <w:p w14:paraId="1DCE52E0">
                  <w:pPr>
                    <w:pStyle w:val="20"/>
                    <w:bidi w:val="0"/>
                    <w:rPr>
                      <w:rFonts w:hint="eastAsia"/>
                      <w:color w:val="auto"/>
                      <w:highlight w:val="none"/>
                      <w:lang w:val="en-US" w:eastAsia="zh-CN"/>
                    </w:rPr>
                  </w:pPr>
                  <w:r>
                    <w:rPr>
                      <w:rFonts w:hint="default"/>
                      <w:color w:val="auto"/>
                      <w:highlight w:val="none"/>
                      <w:lang w:val="en-US" w:eastAsia="zh-CN"/>
                    </w:rPr>
                    <w:t>100</w:t>
                  </w:r>
                </w:p>
              </w:tc>
              <w:tc>
                <w:tcPr>
                  <w:tcW w:w="1906" w:type="dxa"/>
                  <w:vAlign w:val="center"/>
                </w:tcPr>
                <w:p w14:paraId="492FD873">
                  <w:pPr>
                    <w:pStyle w:val="20"/>
                    <w:bidi w:val="0"/>
                    <w:rPr>
                      <w:rFonts w:hint="default"/>
                      <w:color w:val="auto"/>
                      <w:highlight w:val="none"/>
                      <w:lang w:val="en-US" w:eastAsia="zh-CN"/>
                    </w:rPr>
                  </w:pPr>
                  <w:r>
                    <w:rPr>
                      <w:rFonts w:hint="default"/>
                      <w:color w:val="auto"/>
                      <w:highlight w:val="none"/>
                      <w:lang w:val="en-US" w:eastAsia="zh-CN"/>
                    </w:rPr>
                    <w:t>0.0420</w:t>
                  </w:r>
                </w:p>
              </w:tc>
            </w:tr>
            <w:tr w14:paraId="75A93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04" w:type="pct"/>
                  <w:vMerge w:val="continue"/>
                  <w:vAlign w:val="center"/>
                </w:tcPr>
                <w:p w14:paraId="12A3FC3F">
                  <w:pPr>
                    <w:pStyle w:val="20"/>
                    <w:bidi w:val="0"/>
                    <w:rPr>
                      <w:color w:val="auto"/>
                      <w:highlight w:val="none"/>
                    </w:rPr>
                  </w:pPr>
                </w:p>
              </w:tc>
              <w:tc>
                <w:tcPr>
                  <w:tcW w:w="879" w:type="pct"/>
                  <w:vMerge w:val="continue"/>
                  <w:vAlign w:val="center"/>
                </w:tcPr>
                <w:p w14:paraId="25580AF3">
                  <w:pPr>
                    <w:pStyle w:val="20"/>
                    <w:bidi w:val="0"/>
                    <w:rPr>
                      <w:color w:val="auto"/>
                      <w:highlight w:val="none"/>
                    </w:rPr>
                  </w:pPr>
                </w:p>
              </w:tc>
              <w:tc>
                <w:tcPr>
                  <w:tcW w:w="1185" w:type="pct"/>
                  <w:shd w:val="clear" w:color="auto" w:fill="auto"/>
                  <w:vAlign w:val="center"/>
                </w:tcPr>
                <w:p w14:paraId="02352339">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BOD5</w:t>
                  </w:r>
                </w:p>
              </w:tc>
              <w:tc>
                <w:tcPr>
                  <w:tcW w:w="1185" w:type="pct"/>
                  <w:vAlign w:val="center"/>
                </w:tcPr>
                <w:p w14:paraId="22633C21">
                  <w:pPr>
                    <w:pStyle w:val="20"/>
                    <w:bidi w:val="0"/>
                    <w:rPr>
                      <w:rFonts w:hint="eastAsia"/>
                      <w:color w:val="auto"/>
                      <w:highlight w:val="none"/>
                      <w:lang w:val="en-US" w:eastAsia="zh-CN"/>
                    </w:rPr>
                  </w:pPr>
                  <w:r>
                    <w:rPr>
                      <w:rFonts w:hint="default"/>
                      <w:color w:val="auto"/>
                      <w:highlight w:val="none"/>
                      <w:lang w:val="en-US" w:eastAsia="zh-CN"/>
                    </w:rPr>
                    <w:t>20</w:t>
                  </w:r>
                </w:p>
              </w:tc>
              <w:tc>
                <w:tcPr>
                  <w:tcW w:w="1906" w:type="dxa"/>
                  <w:vAlign w:val="center"/>
                </w:tcPr>
                <w:p w14:paraId="183CCEF3">
                  <w:pPr>
                    <w:pStyle w:val="20"/>
                    <w:bidi w:val="0"/>
                    <w:rPr>
                      <w:rFonts w:hint="default"/>
                      <w:color w:val="auto"/>
                      <w:highlight w:val="none"/>
                      <w:lang w:val="en-US" w:eastAsia="zh-CN"/>
                    </w:rPr>
                  </w:pPr>
                  <w:r>
                    <w:rPr>
                      <w:rFonts w:hint="default"/>
                      <w:color w:val="auto"/>
                      <w:highlight w:val="none"/>
                      <w:lang w:val="en-US" w:eastAsia="zh-CN"/>
                    </w:rPr>
                    <w:t>0.0084</w:t>
                  </w:r>
                </w:p>
              </w:tc>
            </w:tr>
            <w:tr w14:paraId="6DFEB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04" w:type="pct"/>
                  <w:vMerge w:val="continue"/>
                  <w:vAlign w:val="center"/>
                </w:tcPr>
                <w:p w14:paraId="761A2583">
                  <w:pPr>
                    <w:pStyle w:val="20"/>
                    <w:bidi w:val="0"/>
                    <w:rPr>
                      <w:color w:val="auto"/>
                      <w:highlight w:val="none"/>
                    </w:rPr>
                  </w:pPr>
                </w:p>
              </w:tc>
              <w:tc>
                <w:tcPr>
                  <w:tcW w:w="879" w:type="pct"/>
                  <w:vMerge w:val="continue"/>
                  <w:vAlign w:val="center"/>
                </w:tcPr>
                <w:p w14:paraId="07ECD05B">
                  <w:pPr>
                    <w:pStyle w:val="20"/>
                    <w:bidi w:val="0"/>
                    <w:rPr>
                      <w:color w:val="auto"/>
                      <w:highlight w:val="none"/>
                    </w:rPr>
                  </w:pPr>
                </w:p>
              </w:tc>
              <w:tc>
                <w:tcPr>
                  <w:tcW w:w="1185" w:type="pct"/>
                  <w:shd w:val="clear" w:color="auto" w:fill="auto"/>
                  <w:vAlign w:val="center"/>
                </w:tcPr>
                <w:p w14:paraId="6F2F1DE5">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SS</w:t>
                  </w:r>
                </w:p>
              </w:tc>
              <w:tc>
                <w:tcPr>
                  <w:tcW w:w="1185" w:type="pct"/>
                  <w:vAlign w:val="center"/>
                </w:tcPr>
                <w:p w14:paraId="62E1EF6E">
                  <w:pPr>
                    <w:pStyle w:val="20"/>
                    <w:bidi w:val="0"/>
                    <w:rPr>
                      <w:rFonts w:hint="eastAsia"/>
                      <w:color w:val="auto"/>
                      <w:highlight w:val="none"/>
                      <w:lang w:val="en-US" w:eastAsia="zh-CN"/>
                    </w:rPr>
                  </w:pPr>
                  <w:r>
                    <w:rPr>
                      <w:rFonts w:hint="default"/>
                      <w:color w:val="auto"/>
                      <w:highlight w:val="none"/>
                      <w:lang w:val="en-US" w:eastAsia="zh-CN"/>
                    </w:rPr>
                    <w:t>70</w:t>
                  </w:r>
                </w:p>
              </w:tc>
              <w:tc>
                <w:tcPr>
                  <w:tcW w:w="1906" w:type="dxa"/>
                  <w:vAlign w:val="center"/>
                </w:tcPr>
                <w:p w14:paraId="2E819D51">
                  <w:pPr>
                    <w:pStyle w:val="20"/>
                    <w:bidi w:val="0"/>
                    <w:rPr>
                      <w:rFonts w:hint="default"/>
                      <w:color w:val="auto"/>
                      <w:highlight w:val="none"/>
                      <w:lang w:val="en-US" w:eastAsia="zh-CN"/>
                    </w:rPr>
                  </w:pPr>
                  <w:r>
                    <w:rPr>
                      <w:rFonts w:hint="default"/>
                      <w:color w:val="auto"/>
                      <w:highlight w:val="none"/>
                      <w:lang w:val="en-US" w:eastAsia="zh-CN"/>
                    </w:rPr>
                    <w:t>0.0294</w:t>
                  </w:r>
                </w:p>
              </w:tc>
            </w:tr>
            <w:tr w14:paraId="62383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04" w:type="pct"/>
                  <w:vMerge w:val="continue"/>
                  <w:vAlign w:val="center"/>
                </w:tcPr>
                <w:p w14:paraId="2D1D61F9">
                  <w:pPr>
                    <w:pStyle w:val="20"/>
                    <w:bidi w:val="0"/>
                    <w:rPr>
                      <w:color w:val="auto"/>
                      <w:highlight w:val="none"/>
                    </w:rPr>
                  </w:pPr>
                </w:p>
              </w:tc>
              <w:tc>
                <w:tcPr>
                  <w:tcW w:w="879" w:type="pct"/>
                  <w:vMerge w:val="continue"/>
                  <w:vAlign w:val="center"/>
                </w:tcPr>
                <w:p w14:paraId="6A6E3FE0">
                  <w:pPr>
                    <w:pStyle w:val="20"/>
                    <w:bidi w:val="0"/>
                    <w:rPr>
                      <w:color w:val="auto"/>
                      <w:highlight w:val="none"/>
                    </w:rPr>
                  </w:pPr>
                </w:p>
              </w:tc>
              <w:tc>
                <w:tcPr>
                  <w:tcW w:w="1185" w:type="pct"/>
                  <w:shd w:val="clear" w:color="auto" w:fill="auto"/>
                  <w:vAlign w:val="center"/>
                </w:tcPr>
                <w:p w14:paraId="2C29431B">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氨氮</w:t>
                  </w:r>
                </w:p>
              </w:tc>
              <w:tc>
                <w:tcPr>
                  <w:tcW w:w="1185" w:type="pct"/>
                  <w:vAlign w:val="center"/>
                </w:tcPr>
                <w:p w14:paraId="031D2887">
                  <w:pPr>
                    <w:pStyle w:val="20"/>
                    <w:bidi w:val="0"/>
                    <w:rPr>
                      <w:rFonts w:hint="eastAsia"/>
                      <w:color w:val="auto"/>
                      <w:highlight w:val="none"/>
                      <w:lang w:val="en-US" w:eastAsia="zh-CN"/>
                    </w:rPr>
                  </w:pPr>
                  <w:r>
                    <w:rPr>
                      <w:rFonts w:hint="default"/>
                      <w:color w:val="auto"/>
                      <w:highlight w:val="none"/>
                      <w:lang w:val="en-US" w:eastAsia="zh-CN"/>
                    </w:rPr>
                    <w:t>15</w:t>
                  </w:r>
                </w:p>
              </w:tc>
              <w:tc>
                <w:tcPr>
                  <w:tcW w:w="1906" w:type="dxa"/>
                  <w:vAlign w:val="center"/>
                </w:tcPr>
                <w:p w14:paraId="364AC6CB">
                  <w:pPr>
                    <w:pStyle w:val="20"/>
                    <w:bidi w:val="0"/>
                    <w:rPr>
                      <w:rFonts w:hint="default"/>
                      <w:color w:val="auto"/>
                      <w:highlight w:val="none"/>
                      <w:lang w:val="en-US" w:eastAsia="zh-CN"/>
                    </w:rPr>
                  </w:pPr>
                  <w:r>
                    <w:rPr>
                      <w:rFonts w:hint="default"/>
                      <w:color w:val="auto"/>
                      <w:highlight w:val="none"/>
                      <w:lang w:val="en-US" w:eastAsia="zh-CN"/>
                    </w:rPr>
                    <w:t>0.0063</w:t>
                  </w:r>
                </w:p>
              </w:tc>
            </w:tr>
            <w:tr w14:paraId="6E6CC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04" w:type="pct"/>
                  <w:vMerge w:val="continue"/>
                  <w:vAlign w:val="center"/>
                </w:tcPr>
                <w:p w14:paraId="7DFC8A5A">
                  <w:pPr>
                    <w:pStyle w:val="20"/>
                    <w:bidi w:val="0"/>
                    <w:rPr>
                      <w:color w:val="auto"/>
                      <w:highlight w:val="none"/>
                    </w:rPr>
                  </w:pPr>
                </w:p>
              </w:tc>
              <w:tc>
                <w:tcPr>
                  <w:tcW w:w="879" w:type="pct"/>
                  <w:vMerge w:val="continue"/>
                  <w:vAlign w:val="center"/>
                </w:tcPr>
                <w:p w14:paraId="788CDDDB">
                  <w:pPr>
                    <w:pStyle w:val="20"/>
                    <w:bidi w:val="0"/>
                    <w:rPr>
                      <w:color w:val="auto"/>
                      <w:highlight w:val="none"/>
                    </w:rPr>
                  </w:pPr>
                </w:p>
              </w:tc>
              <w:tc>
                <w:tcPr>
                  <w:tcW w:w="1185" w:type="pct"/>
                  <w:shd w:val="clear" w:color="auto" w:fill="auto"/>
                  <w:vAlign w:val="center"/>
                </w:tcPr>
                <w:p w14:paraId="36C0529C">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石油类</w:t>
                  </w:r>
                </w:p>
              </w:tc>
              <w:tc>
                <w:tcPr>
                  <w:tcW w:w="1185" w:type="pct"/>
                  <w:vAlign w:val="center"/>
                </w:tcPr>
                <w:p w14:paraId="16D3197A">
                  <w:pPr>
                    <w:pStyle w:val="20"/>
                    <w:bidi w:val="0"/>
                    <w:rPr>
                      <w:rFonts w:hint="eastAsia"/>
                      <w:color w:val="auto"/>
                      <w:highlight w:val="none"/>
                      <w:lang w:val="en-US" w:eastAsia="zh-CN"/>
                    </w:rPr>
                  </w:pPr>
                  <w:r>
                    <w:rPr>
                      <w:rFonts w:hint="default"/>
                      <w:color w:val="auto"/>
                      <w:highlight w:val="none"/>
                      <w:lang w:val="en-US" w:eastAsia="zh-CN"/>
                    </w:rPr>
                    <w:t>5</w:t>
                  </w:r>
                </w:p>
              </w:tc>
              <w:tc>
                <w:tcPr>
                  <w:tcW w:w="1906" w:type="dxa"/>
                  <w:vAlign w:val="center"/>
                </w:tcPr>
                <w:p w14:paraId="1BCD6A3C">
                  <w:pPr>
                    <w:pStyle w:val="20"/>
                    <w:bidi w:val="0"/>
                    <w:rPr>
                      <w:rFonts w:hint="default"/>
                      <w:color w:val="auto"/>
                      <w:highlight w:val="none"/>
                      <w:lang w:val="en-US" w:eastAsia="zh-CN"/>
                    </w:rPr>
                  </w:pPr>
                  <w:r>
                    <w:rPr>
                      <w:rFonts w:hint="default"/>
                      <w:color w:val="auto"/>
                      <w:highlight w:val="none"/>
                      <w:lang w:val="en-US" w:eastAsia="zh-CN"/>
                    </w:rPr>
                    <w:t>0.0021</w:t>
                  </w:r>
                </w:p>
              </w:tc>
            </w:tr>
            <w:tr w14:paraId="31EBA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04" w:type="pct"/>
                  <w:vMerge w:val="continue"/>
                  <w:vAlign w:val="center"/>
                </w:tcPr>
                <w:p w14:paraId="354DD454">
                  <w:pPr>
                    <w:pStyle w:val="20"/>
                    <w:bidi w:val="0"/>
                    <w:rPr>
                      <w:color w:val="auto"/>
                      <w:highlight w:val="none"/>
                    </w:rPr>
                  </w:pPr>
                </w:p>
              </w:tc>
              <w:tc>
                <w:tcPr>
                  <w:tcW w:w="879" w:type="pct"/>
                  <w:vMerge w:val="continue"/>
                  <w:vAlign w:val="center"/>
                </w:tcPr>
                <w:p w14:paraId="2944F5C2">
                  <w:pPr>
                    <w:pStyle w:val="20"/>
                    <w:bidi w:val="0"/>
                    <w:rPr>
                      <w:color w:val="auto"/>
                      <w:highlight w:val="none"/>
                    </w:rPr>
                  </w:pPr>
                </w:p>
              </w:tc>
              <w:tc>
                <w:tcPr>
                  <w:tcW w:w="1185" w:type="pct"/>
                  <w:shd w:val="clear" w:color="auto" w:fill="auto"/>
                  <w:vAlign w:val="center"/>
                </w:tcPr>
                <w:p w14:paraId="0D403B36">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TP</w:t>
                  </w:r>
                </w:p>
              </w:tc>
              <w:tc>
                <w:tcPr>
                  <w:tcW w:w="1185" w:type="pct"/>
                  <w:vAlign w:val="center"/>
                </w:tcPr>
                <w:p w14:paraId="34E3CF57">
                  <w:pPr>
                    <w:pStyle w:val="20"/>
                    <w:bidi w:val="0"/>
                    <w:rPr>
                      <w:rFonts w:hint="eastAsia"/>
                      <w:color w:val="auto"/>
                      <w:highlight w:val="none"/>
                      <w:lang w:val="en-US" w:eastAsia="zh-CN"/>
                    </w:rPr>
                  </w:pPr>
                  <w:r>
                    <w:rPr>
                      <w:rFonts w:hint="default"/>
                      <w:color w:val="auto"/>
                      <w:highlight w:val="none"/>
                      <w:lang w:val="en-US" w:eastAsia="zh-CN"/>
                    </w:rPr>
                    <w:t>0.5</w:t>
                  </w:r>
                </w:p>
              </w:tc>
              <w:tc>
                <w:tcPr>
                  <w:tcW w:w="1906" w:type="dxa"/>
                  <w:vAlign w:val="center"/>
                </w:tcPr>
                <w:p w14:paraId="0696AA21">
                  <w:pPr>
                    <w:pStyle w:val="20"/>
                    <w:bidi w:val="0"/>
                    <w:rPr>
                      <w:rFonts w:hint="eastAsia"/>
                      <w:color w:val="auto"/>
                      <w:highlight w:val="none"/>
                      <w:lang w:val="en-US" w:eastAsia="zh-CN"/>
                    </w:rPr>
                  </w:pPr>
                  <w:r>
                    <w:rPr>
                      <w:rFonts w:hint="default"/>
                      <w:color w:val="auto"/>
                      <w:highlight w:val="none"/>
                      <w:lang w:val="en-US" w:eastAsia="zh-CN"/>
                    </w:rPr>
                    <w:t>0.0002</w:t>
                  </w:r>
                </w:p>
              </w:tc>
            </w:tr>
            <w:tr w14:paraId="61687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04" w:type="pct"/>
                  <w:vMerge w:val="continue"/>
                  <w:vAlign w:val="center"/>
                </w:tcPr>
                <w:p w14:paraId="033F98AE">
                  <w:pPr>
                    <w:pStyle w:val="20"/>
                    <w:bidi w:val="0"/>
                    <w:rPr>
                      <w:color w:val="auto"/>
                      <w:highlight w:val="none"/>
                    </w:rPr>
                  </w:pPr>
                </w:p>
              </w:tc>
              <w:tc>
                <w:tcPr>
                  <w:tcW w:w="879" w:type="pct"/>
                  <w:vMerge w:val="continue"/>
                  <w:vAlign w:val="center"/>
                </w:tcPr>
                <w:p w14:paraId="46084A2D">
                  <w:pPr>
                    <w:pStyle w:val="20"/>
                    <w:bidi w:val="0"/>
                    <w:rPr>
                      <w:color w:val="auto"/>
                      <w:highlight w:val="none"/>
                    </w:rPr>
                  </w:pPr>
                </w:p>
              </w:tc>
              <w:tc>
                <w:tcPr>
                  <w:tcW w:w="1185" w:type="pct"/>
                  <w:shd w:val="clear" w:color="auto" w:fill="auto"/>
                  <w:vAlign w:val="center"/>
                </w:tcPr>
                <w:p w14:paraId="7AB336AE">
                  <w:pPr>
                    <w:pStyle w:val="20"/>
                    <w:bidi w:val="0"/>
                    <w:rPr>
                      <w:rFonts w:hint="default"/>
                      <w:color w:val="auto"/>
                      <w:highlight w:val="none"/>
                      <w:lang w:val="en-US" w:eastAsia="zh-CN"/>
                    </w:rPr>
                  </w:pPr>
                  <w:r>
                    <w:rPr>
                      <w:rFonts w:hint="eastAsia"/>
                      <w:color w:val="auto"/>
                      <w:highlight w:val="none"/>
                      <w:lang w:val="en-US" w:eastAsia="zh-CN"/>
                    </w:rPr>
                    <w:t>TN</w:t>
                  </w:r>
                </w:p>
              </w:tc>
              <w:tc>
                <w:tcPr>
                  <w:tcW w:w="1185" w:type="pct"/>
                  <w:vAlign w:val="center"/>
                </w:tcPr>
                <w:p w14:paraId="1C26B724">
                  <w:pPr>
                    <w:pStyle w:val="20"/>
                    <w:bidi w:val="0"/>
                    <w:rPr>
                      <w:rFonts w:hint="default"/>
                      <w:color w:val="auto"/>
                      <w:highlight w:val="none"/>
                      <w:lang w:val="en-US" w:eastAsia="zh-CN"/>
                    </w:rPr>
                  </w:pPr>
                  <w:r>
                    <w:rPr>
                      <w:rFonts w:hint="eastAsia"/>
                      <w:color w:val="auto"/>
                      <w:highlight w:val="none"/>
                      <w:lang w:val="en-US" w:eastAsia="zh-CN"/>
                    </w:rPr>
                    <w:t>/</w:t>
                  </w:r>
                </w:p>
              </w:tc>
              <w:tc>
                <w:tcPr>
                  <w:tcW w:w="1145" w:type="pct"/>
                  <w:vAlign w:val="center"/>
                </w:tcPr>
                <w:p w14:paraId="0FB55FE4">
                  <w:pPr>
                    <w:pStyle w:val="20"/>
                    <w:bidi w:val="0"/>
                    <w:rPr>
                      <w:rFonts w:hint="default"/>
                      <w:color w:val="auto"/>
                      <w:highlight w:val="none"/>
                      <w:lang w:val="en-US" w:eastAsia="zh-CN"/>
                    </w:rPr>
                  </w:pPr>
                  <w:r>
                    <w:rPr>
                      <w:rFonts w:hint="eastAsia"/>
                      <w:color w:val="auto"/>
                      <w:highlight w:val="none"/>
                      <w:lang w:val="en-US" w:eastAsia="zh-CN"/>
                    </w:rPr>
                    <w:t>/</w:t>
                  </w:r>
                </w:p>
              </w:tc>
            </w:tr>
          </w:tbl>
          <w:p w14:paraId="0301864A">
            <w:pPr>
              <w:pStyle w:val="18"/>
              <w:rPr>
                <w:rFonts w:hint="eastAsia" w:eastAsia="宋体"/>
                <w:b/>
                <w:bCs/>
                <w:color w:val="auto"/>
                <w:highlight w:val="none"/>
                <w:lang w:eastAsia="zh-CN"/>
              </w:rPr>
            </w:pPr>
            <w:r>
              <w:rPr>
                <w:rFonts w:hint="eastAsia"/>
                <w:b/>
                <w:bCs/>
                <w:color w:val="auto"/>
                <w:highlight w:val="none"/>
                <w:lang w:val="en-US" w:eastAsia="zh-CN"/>
              </w:rPr>
              <w:t>3</w:t>
            </w:r>
            <w:r>
              <w:rPr>
                <w:rFonts w:hint="eastAsia"/>
                <w:b/>
                <w:bCs/>
                <w:color w:val="auto"/>
                <w:highlight w:val="none"/>
              </w:rPr>
              <w:t>）</w:t>
            </w:r>
            <w:r>
              <w:rPr>
                <w:rFonts w:hint="eastAsia"/>
                <w:b/>
                <w:bCs/>
                <w:color w:val="auto"/>
                <w:highlight w:val="none"/>
                <w:lang w:val="en-US" w:eastAsia="zh-CN"/>
              </w:rPr>
              <w:t>固废</w:t>
            </w:r>
          </w:p>
          <w:p w14:paraId="7798AF19">
            <w:pPr>
              <w:pStyle w:val="18"/>
              <w:rPr>
                <w:rFonts w:hint="default" w:eastAsia="宋体"/>
                <w:color w:val="auto"/>
                <w:highlight w:val="none"/>
                <w:lang w:val="en-US" w:eastAsia="zh-CN"/>
              </w:rPr>
            </w:pPr>
            <w:r>
              <w:rPr>
                <w:rFonts w:hint="eastAsia"/>
                <w:color w:val="auto"/>
                <w:highlight w:val="none"/>
                <w:lang w:val="en-US" w:eastAsia="zh-CN"/>
              </w:rPr>
              <w:t>根据业主资料</w:t>
            </w:r>
            <w:r>
              <w:rPr>
                <w:rFonts w:hint="eastAsia"/>
                <w:color w:val="auto"/>
                <w:highlight w:val="none"/>
              </w:rPr>
              <w:t>，</w:t>
            </w:r>
            <w:r>
              <w:rPr>
                <w:rFonts w:hint="eastAsia"/>
                <w:color w:val="auto"/>
                <w:highlight w:val="none"/>
                <w:lang w:val="en-US" w:eastAsia="zh-CN"/>
              </w:rPr>
              <w:t>结合扩建项目固废污染物源强核算情况，现有项目固废污染物产生情况如下：</w:t>
            </w:r>
          </w:p>
          <w:p w14:paraId="67576659">
            <w:pPr>
              <w:pStyle w:val="18"/>
              <w:ind w:firstLine="482"/>
              <w:rPr>
                <w:b/>
                <w:bCs/>
                <w:color w:val="auto"/>
                <w:highlight w:val="none"/>
              </w:rPr>
            </w:pPr>
            <w:r>
              <w:rPr>
                <w:rFonts w:hint="eastAsia"/>
                <w:b/>
                <w:bCs/>
                <w:color w:val="auto"/>
                <w:highlight w:val="none"/>
              </w:rPr>
              <w:t>⑴一般工业固体废物</w:t>
            </w:r>
          </w:p>
          <w:p w14:paraId="665E79F1">
            <w:pPr>
              <w:pStyle w:val="18"/>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rPr>
              <w:t>①</w:t>
            </w:r>
            <w:r>
              <w:rPr>
                <w:rFonts w:hint="eastAsia"/>
                <w:color w:val="auto"/>
                <w:highlight w:val="none"/>
                <w:lang w:val="en-US" w:eastAsia="zh-CN"/>
              </w:rPr>
              <w:t>废原料包装</w:t>
            </w:r>
            <w:r>
              <w:rPr>
                <w:rFonts w:hint="eastAsia"/>
                <w:color w:val="auto"/>
                <w:highlight w:val="none"/>
                <w:lang w:eastAsia="zh-CN"/>
              </w:rPr>
              <w:t>：</w:t>
            </w:r>
            <w:r>
              <w:rPr>
                <w:rFonts w:hint="eastAsia"/>
                <w:color w:val="auto"/>
                <w:highlight w:val="none"/>
                <w:lang w:val="en-US" w:eastAsia="zh-CN"/>
              </w:rPr>
              <w:t>各塑料外包装编织袋，以及</w:t>
            </w:r>
            <w:r>
              <w:rPr>
                <w:rFonts w:hint="eastAsia"/>
                <w:b w:val="0"/>
                <w:bCs w:val="0"/>
                <w:color w:val="auto"/>
                <w:highlight w:val="none"/>
                <w:lang w:val="en-US" w:eastAsia="zh-CN"/>
              </w:rPr>
              <w:t>模具配件等原辅材料包装袋、包装盒等，主要为纸或塑料材质。</w:t>
            </w:r>
            <w:r>
              <w:rPr>
                <w:rFonts w:hint="eastAsia"/>
                <w:color w:val="auto"/>
                <w:highlight w:val="none"/>
                <w:lang w:val="en-US" w:eastAsia="zh-CN"/>
              </w:rPr>
              <w:t>产生量约为0.127t/a，一般固废暂存区暂存，交物资回收单位处置。</w:t>
            </w:r>
          </w:p>
          <w:p w14:paraId="438A05BF">
            <w:pPr>
              <w:pStyle w:val="18"/>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rPr>
              <w:t>②废料</w:t>
            </w:r>
            <w:r>
              <w:rPr>
                <w:rFonts w:hint="eastAsia"/>
                <w:color w:val="auto"/>
                <w:highlight w:val="none"/>
                <w:lang w:eastAsia="zh-CN"/>
              </w:rPr>
              <w:t>：</w:t>
            </w:r>
            <w:r>
              <w:rPr>
                <w:rFonts w:hint="eastAsia"/>
                <w:color w:val="auto"/>
                <w:highlight w:val="none"/>
                <w:lang w:val="en-US" w:eastAsia="zh-CN"/>
              </w:rPr>
              <w:t>更换塑料颗粒后的初料为不同材质混合料，不宜回用，为废料，产生量约为0.027t，一般固废暂存区暂存，交物资回收单位处置。</w:t>
            </w:r>
          </w:p>
          <w:p w14:paraId="25A4B9D0">
            <w:pPr>
              <w:pStyle w:val="18"/>
              <w:bidi w:val="0"/>
              <w:rPr>
                <w:color w:val="auto"/>
                <w:highlight w:val="none"/>
              </w:rPr>
            </w:pPr>
            <w:r>
              <w:rPr>
                <w:rFonts w:hint="eastAsia"/>
                <w:color w:val="auto"/>
                <w:highlight w:val="none"/>
              </w:rPr>
              <w:t>③边角料</w:t>
            </w:r>
            <w:r>
              <w:rPr>
                <w:rFonts w:hint="eastAsia"/>
                <w:color w:val="auto"/>
                <w:highlight w:val="none"/>
                <w:lang w:eastAsia="zh-CN"/>
              </w:rPr>
              <w:t>：</w:t>
            </w:r>
            <w:r>
              <w:rPr>
                <w:rFonts w:hint="eastAsia"/>
                <w:color w:val="auto"/>
                <w:highlight w:val="none"/>
              </w:rPr>
              <w:t>生产过程中产生的边角料</w:t>
            </w:r>
            <w:r>
              <w:rPr>
                <w:rFonts w:hint="eastAsia"/>
                <w:color w:val="auto"/>
                <w:highlight w:val="none"/>
                <w:lang w:eastAsia="zh-CN"/>
              </w:rPr>
              <w:t>，</w:t>
            </w:r>
            <w:r>
              <w:rPr>
                <w:rFonts w:hint="eastAsia"/>
                <w:color w:val="auto"/>
                <w:highlight w:val="none"/>
                <w:lang w:val="en-US" w:eastAsia="zh-CN"/>
              </w:rPr>
              <w:t>约为4.462</w:t>
            </w:r>
            <w:r>
              <w:rPr>
                <w:rFonts w:hint="eastAsia"/>
                <w:color w:val="auto"/>
                <w:highlight w:val="none"/>
              </w:rPr>
              <w:t>t/a，集中收集于</w:t>
            </w:r>
            <w:r>
              <w:rPr>
                <w:rFonts w:hint="eastAsia"/>
                <w:color w:val="auto"/>
                <w:highlight w:val="none"/>
                <w:lang w:val="en-US" w:eastAsia="zh-CN"/>
              </w:rPr>
              <w:t>破碎间</w:t>
            </w:r>
            <w:r>
              <w:rPr>
                <w:rFonts w:hint="eastAsia"/>
                <w:color w:val="auto"/>
                <w:highlight w:val="none"/>
              </w:rPr>
              <w:t>，经破碎后回用于生产。</w:t>
            </w:r>
          </w:p>
          <w:p w14:paraId="4277272C">
            <w:pPr>
              <w:pStyle w:val="18"/>
              <w:bidi w:val="0"/>
              <w:rPr>
                <w:color w:val="auto"/>
                <w:highlight w:val="none"/>
              </w:rPr>
            </w:pPr>
            <w:r>
              <w:rPr>
                <w:rFonts w:hint="eastAsia"/>
                <w:color w:val="auto"/>
                <w:highlight w:val="none"/>
              </w:rPr>
              <w:t>④不合格品</w:t>
            </w:r>
            <w:r>
              <w:rPr>
                <w:rFonts w:hint="eastAsia"/>
                <w:color w:val="auto"/>
                <w:highlight w:val="none"/>
                <w:lang w:eastAsia="zh-CN"/>
              </w:rPr>
              <w:t>：</w:t>
            </w:r>
            <w:r>
              <w:rPr>
                <w:rFonts w:hint="eastAsia"/>
                <w:color w:val="auto"/>
                <w:highlight w:val="none"/>
              </w:rPr>
              <w:t>生产过程中产生的</w:t>
            </w:r>
            <w:r>
              <w:rPr>
                <w:rFonts w:hint="eastAsia"/>
                <w:color w:val="auto"/>
                <w:highlight w:val="none"/>
                <w:lang w:val="en-US" w:eastAsia="zh-CN"/>
              </w:rPr>
              <w:t>不合格品</w:t>
            </w:r>
            <w:r>
              <w:rPr>
                <w:rFonts w:hint="eastAsia"/>
                <w:color w:val="auto"/>
                <w:highlight w:val="none"/>
              </w:rPr>
              <w:t>产生量</w:t>
            </w:r>
            <w:r>
              <w:rPr>
                <w:rFonts w:hint="eastAsia"/>
                <w:color w:val="auto"/>
                <w:highlight w:val="none"/>
                <w:lang w:val="en-US" w:eastAsia="zh-CN"/>
              </w:rPr>
              <w:t>为2.746</w:t>
            </w:r>
            <w:r>
              <w:rPr>
                <w:rFonts w:hint="eastAsia"/>
                <w:color w:val="auto"/>
                <w:highlight w:val="none"/>
              </w:rPr>
              <w:t>t/a，集中收集于</w:t>
            </w:r>
            <w:r>
              <w:rPr>
                <w:rFonts w:hint="eastAsia"/>
                <w:color w:val="auto"/>
                <w:highlight w:val="none"/>
                <w:lang w:val="en-US" w:eastAsia="zh-CN"/>
              </w:rPr>
              <w:t>破碎间</w:t>
            </w:r>
            <w:r>
              <w:rPr>
                <w:rFonts w:hint="eastAsia"/>
                <w:color w:val="auto"/>
                <w:highlight w:val="none"/>
              </w:rPr>
              <w:t>，经破碎后回用于生产。</w:t>
            </w:r>
          </w:p>
          <w:p w14:paraId="6B86512D">
            <w:pPr>
              <w:pStyle w:val="18"/>
              <w:keepNext w:val="0"/>
              <w:keepLines w:val="0"/>
              <w:suppressLineNumbers w:val="0"/>
              <w:spacing w:before="0" w:beforeAutospacing="0" w:after="0" w:afterAutospacing="0"/>
              <w:ind w:left="0" w:right="0"/>
              <w:rPr>
                <w:rFonts w:hint="default"/>
                <w:color w:val="auto"/>
                <w:highlight w:val="none"/>
                <w:lang w:val="en-US" w:eastAsia="zh-CN"/>
              </w:rPr>
            </w:pPr>
            <w:r>
              <w:rPr>
                <w:rFonts w:hint="eastAsia" w:ascii="宋体" w:hAnsi="宋体"/>
                <w:color w:val="auto"/>
                <w:highlight w:val="none"/>
              </w:rPr>
              <w:t>⑤</w:t>
            </w:r>
            <w:r>
              <w:rPr>
                <w:rFonts w:hint="eastAsia"/>
                <w:color w:val="auto"/>
                <w:highlight w:val="none"/>
                <w:lang w:val="en-US" w:eastAsia="zh-CN"/>
              </w:rPr>
              <w:t>废产品包装材料</w:t>
            </w:r>
            <w:r>
              <w:rPr>
                <w:rFonts w:hint="eastAsia"/>
                <w:color w:val="auto"/>
                <w:highlight w:val="none"/>
              </w:rPr>
              <w:t>：</w:t>
            </w:r>
            <w:r>
              <w:rPr>
                <w:rFonts w:hint="eastAsia"/>
                <w:color w:val="auto"/>
                <w:highlight w:val="none"/>
                <w:lang w:val="en-US" w:eastAsia="zh-CN"/>
              </w:rPr>
              <w:t>主要为</w:t>
            </w:r>
            <w:r>
              <w:rPr>
                <w:rFonts w:hint="eastAsia"/>
                <w:b w:val="0"/>
                <w:bCs w:val="0"/>
                <w:color w:val="auto"/>
                <w:highlight w:val="none"/>
                <w:lang w:val="en-US" w:eastAsia="zh-CN"/>
              </w:rPr>
              <w:t>包装过程中裁切的软垫、纸壳、薄膜、打包带等，主要成分为塑料、纸。产生量约0.255t/a。</w:t>
            </w:r>
            <w:r>
              <w:rPr>
                <w:rFonts w:hint="eastAsia"/>
                <w:color w:val="auto"/>
                <w:highlight w:val="none"/>
                <w:lang w:val="en-US" w:eastAsia="zh-CN"/>
              </w:rPr>
              <w:t>于一般固废暂存区暂存，交物资回收单位处置。</w:t>
            </w:r>
          </w:p>
          <w:p w14:paraId="1306675E">
            <w:pPr>
              <w:pStyle w:val="18"/>
              <w:rPr>
                <w:rFonts w:hint="eastAsia" w:eastAsia="宋体"/>
                <w:color w:val="auto"/>
                <w:highlight w:val="none"/>
                <w:lang w:eastAsia="zh-CN"/>
              </w:rPr>
            </w:pPr>
            <w:r>
              <w:rPr>
                <w:rFonts w:hint="eastAsia" w:ascii="宋体" w:hAnsi="宋体"/>
                <w:color w:val="auto"/>
                <w:highlight w:val="none"/>
              </w:rPr>
              <w:t>⑥</w:t>
            </w:r>
            <w:r>
              <w:rPr>
                <w:rFonts w:hint="eastAsia"/>
                <w:color w:val="auto"/>
                <w:highlight w:val="none"/>
              </w:rPr>
              <w:t>废零件</w:t>
            </w:r>
            <w:r>
              <w:rPr>
                <w:rFonts w:hint="eastAsia"/>
                <w:color w:val="auto"/>
                <w:highlight w:val="none"/>
                <w:lang w:eastAsia="zh-CN"/>
              </w:rPr>
              <w:t>（</w:t>
            </w:r>
            <w:r>
              <w:rPr>
                <w:rFonts w:hint="eastAsia"/>
                <w:color w:val="auto"/>
                <w:highlight w:val="none"/>
                <w:lang w:val="en-US" w:eastAsia="zh-CN"/>
              </w:rPr>
              <w:t>未沾染油渍）</w:t>
            </w:r>
            <w:r>
              <w:rPr>
                <w:rFonts w:hint="eastAsia"/>
                <w:color w:val="auto"/>
                <w:highlight w:val="none"/>
                <w:lang w:eastAsia="zh-CN"/>
              </w:rPr>
              <w:t>：</w:t>
            </w:r>
            <w:r>
              <w:rPr>
                <w:rFonts w:hint="eastAsia"/>
                <w:color w:val="auto"/>
                <w:kern w:val="0"/>
                <w:sz w:val="24"/>
                <w:highlight w:val="none"/>
                <w:lang w:bidi="ar"/>
              </w:rPr>
              <w:t>设备及模具维护过程中</w:t>
            </w:r>
            <w:r>
              <w:rPr>
                <w:rFonts w:hint="eastAsia"/>
                <w:color w:val="auto"/>
                <w:kern w:val="0"/>
                <w:sz w:val="24"/>
                <w:highlight w:val="none"/>
                <w:lang w:val="en-US" w:eastAsia="zh-CN" w:bidi="ar"/>
              </w:rPr>
              <w:t>更换</w:t>
            </w:r>
            <w:r>
              <w:rPr>
                <w:rFonts w:hint="eastAsia"/>
                <w:color w:val="auto"/>
                <w:kern w:val="0"/>
                <w:sz w:val="24"/>
                <w:highlight w:val="none"/>
                <w:lang w:bidi="ar"/>
              </w:rPr>
              <w:t>的废零件，产生量约0.</w:t>
            </w:r>
            <w:r>
              <w:rPr>
                <w:rFonts w:hint="eastAsia"/>
                <w:color w:val="auto"/>
                <w:kern w:val="0"/>
                <w:sz w:val="24"/>
                <w:highlight w:val="none"/>
                <w:lang w:val="en-US" w:eastAsia="zh-CN" w:bidi="ar"/>
              </w:rPr>
              <w:t>006</w:t>
            </w:r>
            <w:r>
              <w:rPr>
                <w:rFonts w:hint="eastAsia"/>
                <w:color w:val="auto"/>
                <w:kern w:val="0"/>
                <w:sz w:val="24"/>
                <w:highlight w:val="none"/>
                <w:lang w:bidi="ar"/>
              </w:rPr>
              <w:t>t/a，集中收集后暂存于一般固废暂存区，交物资回收单位回收。</w:t>
            </w:r>
          </w:p>
          <w:p w14:paraId="04BDFDD5">
            <w:pPr>
              <w:pStyle w:val="18"/>
              <w:ind w:firstLine="482"/>
              <w:rPr>
                <w:b/>
                <w:bCs/>
                <w:color w:val="auto"/>
                <w:highlight w:val="none"/>
              </w:rPr>
            </w:pPr>
            <w:r>
              <w:rPr>
                <w:rFonts w:hint="eastAsia"/>
                <w:b/>
                <w:bCs/>
                <w:color w:val="auto"/>
                <w:highlight w:val="none"/>
              </w:rPr>
              <w:t>⑵危险废物</w:t>
            </w:r>
          </w:p>
          <w:p w14:paraId="48253B7C">
            <w:pPr>
              <w:pStyle w:val="18"/>
              <w:rPr>
                <w:color w:val="auto"/>
                <w:highlight w:val="none"/>
              </w:rPr>
            </w:pPr>
            <w:r>
              <w:rPr>
                <w:rFonts w:hint="eastAsia"/>
                <w:color w:val="auto"/>
                <w:highlight w:val="none"/>
              </w:rPr>
              <w:t>①废润滑油：设备维护保养产生的少量废润滑油，产生量约0.</w:t>
            </w:r>
            <w:r>
              <w:rPr>
                <w:rFonts w:hint="eastAsia"/>
                <w:color w:val="auto"/>
                <w:highlight w:val="none"/>
                <w:lang w:val="en-US" w:eastAsia="zh-CN"/>
              </w:rPr>
              <w:t>025</w:t>
            </w:r>
            <w:r>
              <w:rPr>
                <w:rFonts w:hint="eastAsia"/>
                <w:color w:val="auto"/>
                <w:highlight w:val="none"/>
              </w:rPr>
              <w:t>t/a。</w:t>
            </w:r>
          </w:p>
          <w:p w14:paraId="379768EA">
            <w:pPr>
              <w:pStyle w:val="18"/>
              <w:rPr>
                <w:rFonts w:hint="eastAsia"/>
                <w:color w:val="auto"/>
                <w:highlight w:val="none"/>
                <w:lang w:val="en-US" w:eastAsia="zh-CN"/>
              </w:rPr>
            </w:pPr>
            <w:r>
              <w:rPr>
                <w:color w:val="auto"/>
                <w:highlight w:val="none"/>
              </w:rPr>
              <w:t>②</w:t>
            </w:r>
            <w:r>
              <w:rPr>
                <w:rFonts w:hint="eastAsia"/>
                <w:color w:val="auto"/>
                <w:highlight w:val="none"/>
              </w:rPr>
              <w:t>废油桶：设备维护保养</w:t>
            </w:r>
            <w:r>
              <w:rPr>
                <w:rFonts w:hint="eastAsia"/>
                <w:color w:val="auto"/>
                <w:highlight w:val="none"/>
                <w:lang w:val="en-US" w:eastAsia="zh-CN"/>
              </w:rPr>
              <w:t>产生少量废油桶，产生量约为0.013t/a。</w:t>
            </w:r>
          </w:p>
          <w:p w14:paraId="3AF58E64">
            <w:pPr>
              <w:pStyle w:val="18"/>
              <w:rPr>
                <w:color w:val="auto"/>
                <w:highlight w:val="none"/>
              </w:rPr>
            </w:pPr>
            <w:r>
              <w:rPr>
                <w:color w:val="auto"/>
                <w:highlight w:val="none"/>
              </w:rPr>
              <w:t>③</w:t>
            </w:r>
            <w:r>
              <w:rPr>
                <w:rFonts w:hint="eastAsia"/>
                <w:color w:val="auto"/>
                <w:highlight w:val="none"/>
              </w:rPr>
              <w:t>废含油棉纱和手套：设备维护保养产生少量的废含油棉纱和手套，产生量约为0.0</w:t>
            </w:r>
            <w:r>
              <w:rPr>
                <w:rFonts w:hint="eastAsia"/>
                <w:color w:val="auto"/>
                <w:highlight w:val="none"/>
                <w:lang w:val="en-US" w:eastAsia="zh-CN"/>
              </w:rPr>
              <w:t>06</w:t>
            </w:r>
            <w:r>
              <w:rPr>
                <w:rFonts w:hint="eastAsia"/>
                <w:color w:val="auto"/>
                <w:highlight w:val="none"/>
              </w:rPr>
              <w:t>t/a</w:t>
            </w:r>
          </w:p>
          <w:p w14:paraId="47A1D0F4">
            <w:pPr>
              <w:pStyle w:val="18"/>
              <w:rPr>
                <w:rFonts w:hint="eastAsia"/>
                <w:color w:val="auto"/>
                <w:highlight w:val="none"/>
                <w:lang w:val="en-US" w:eastAsia="zh-CN"/>
              </w:rPr>
            </w:pPr>
            <w:r>
              <w:rPr>
                <w:rFonts w:hint="eastAsia"/>
                <w:color w:val="auto"/>
                <w:highlight w:val="none"/>
              </w:rPr>
              <w:t>④</w:t>
            </w:r>
            <w:r>
              <w:rPr>
                <w:rFonts w:hint="eastAsia"/>
                <w:color w:val="auto"/>
                <w:highlight w:val="none"/>
                <w:lang w:val="en-US" w:eastAsia="zh-CN"/>
              </w:rPr>
              <w:t>废液压油：注塑机液压油每三年更换一次，6台注塑机，平均废液压油产生量为0.15t/三年·台，分批定期更换，平均产生量约0.3t/a。</w:t>
            </w:r>
          </w:p>
          <w:p w14:paraId="1F694AD6">
            <w:pPr>
              <w:pStyle w:val="18"/>
              <w:rPr>
                <w:rFonts w:hint="eastAsia" w:eastAsia="宋体"/>
                <w:color w:val="auto"/>
                <w:highlight w:val="none"/>
                <w:lang w:val="en-US" w:eastAsia="zh-CN"/>
              </w:rPr>
            </w:pPr>
            <w:r>
              <w:rPr>
                <w:rFonts w:hint="eastAsia" w:ascii="宋体" w:hAnsi="宋体"/>
                <w:color w:val="auto"/>
                <w:highlight w:val="none"/>
              </w:rPr>
              <w:t>⑤</w:t>
            </w:r>
            <w:r>
              <w:rPr>
                <w:rFonts w:hint="eastAsia"/>
                <w:color w:val="auto"/>
                <w:highlight w:val="none"/>
              </w:rPr>
              <w:t>废零件</w:t>
            </w:r>
            <w:r>
              <w:rPr>
                <w:rFonts w:hint="eastAsia"/>
                <w:color w:val="auto"/>
                <w:highlight w:val="none"/>
                <w:lang w:eastAsia="zh-CN"/>
              </w:rPr>
              <w:t>（</w:t>
            </w:r>
            <w:r>
              <w:rPr>
                <w:rFonts w:hint="eastAsia"/>
                <w:color w:val="auto"/>
                <w:highlight w:val="none"/>
                <w:lang w:val="en-US" w:eastAsia="zh-CN"/>
              </w:rPr>
              <w:t>沾有油渍）</w:t>
            </w:r>
            <w:r>
              <w:rPr>
                <w:rFonts w:hint="eastAsia"/>
                <w:color w:val="auto"/>
                <w:highlight w:val="none"/>
                <w:lang w:eastAsia="zh-CN"/>
              </w:rPr>
              <w:t>：</w:t>
            </w:r>
            <w:r>
              <w:rPr>
                <w:rFonts w:hint="eastAsia"/>
                <w:color w:val="auto"/>
                <w:kern w:val="0"/>
                <w:sz w:val="24"/>
                <w:highlight w:val="none"/>
                <w:lang w:bidi="ar"/>
              </w:rPr>
              <w:t>设备及模具维护过程中产生的</w:t>
            </w:r>
            <w:r>
              <w:rPr>
                <w:rFonts w:hint="eastAsia"/>
                <w:color w:val="auto"/>
                <w:kern w:val="0"/>
                <w:sz w:val="24"/>
                <w:highlight w:val="none"/>
                <w:lang w:val="en-US" w:eastAsia="zh-CN" w:bidi="ar"/>
              </w:rPr>
              <w:t>沾染油渍的</w:t>
            </w:r>
            <w:r>
              <w:rPr>
                <w:rFonts w:hint="eastAsia"/>
                <w:color w:val="auto"/>
                <w:kern w:val="0"/>
                <w:sz w:val="24"/>
                <w:highlight w:val="none"/>
                <w:lang w:bidi="ar"/>
              </w:rPr>
              <w:t>废零件，产生量约0.</w:t>
            </w:r>
            <w:r>
              <w:rPr>
                <w:rFonts w:hint="eastAsia"/>
                <w:color w:val="auto"/>
                <w:kern w:val="0"/>
                <w:sz w:val="24"/>
                <w:highlight w:val="none"/>
                <w:lang w:val="en-US" w:eastAsia="zh-CN" w:bidi="ar"/>
              </w:rPr>
              <w:t>006</w:t>
            </w:r>
            <w:r>
              <w:rPr>
                <w:rFonts w:hint="eastAsia"/>
                <w:color w:val="auto"/>
                <w:kern w:val="0"/>
                <w:sz w:val="24"/>
                <w:highlight w:val="none"/>
                <w:lang w:bidi="ar"/>
              </w:rPr>
              <w:t>t/a</w:t>
            </w:r>
            <w:r>
              <w:rPr>
                <w:rFonts w:hint="eastAsia"/>
                <w:color w:val="auto"/>
                <w:kern w:val="0"/>
                <w:sz w:val="24"/>
                <w:highlight w:val="none"/>
                <w:lang w:eastAsia="zh-CN" w:bidi="ar"/>
              </w:rPr>
              <w:t>。</w:t>
            </w:r>
          </w:p>
          <w:p w14:paraId="6A5BADB0">
            <w:pPr>
              <w:pStyle w:val="18"/>
              <w:rPr>
                <w:rFonts w:hint="default" w:eastAsia="宋体"/>
                <w:color w:val="auto"/>
                <w:highlight w:val="none"/>
                <w:lang w:val="en-US" w:eastAsia="zh-CN"/>
              </w:rPr>
            </w:pPr>
            <w:r>
              <w:rPr>
                <w:rFonts w:hint="eastAsia" w:ascii="宋体" w:hAnsi="宋体"/>
                <w:color w:val="auto"/>
                <w:highlight w:val="none"/>
              </w:rPr>
              <w:t>⑥</w:t>
            </w:r>
            <w:r>
              <w:rPr>
                <w:rFonts w:hint="eastAsia"/>
                <w:color w:val="auto"/>
                <w:highlight w:val="none"/>
              </w:rPr>
              <w:t>废</w:t>
            </w:r>
            <w:r>
              <w:rPr>
                <w:rFonts w:hint="eastAsia"/>
                <w:color w:val="auto"/>
                <w:highlight w:val="none"/>
                <w:lang w:val="en-US" w:eastAsia="zh-CN"/>
              </w:rPr>
              <w:t>脱模</w:t>
            </w:r>
            <w:r>
              <w:rPr>
                <w:rFonts w:hint="eastAsia"/>
                <w:color w:val="auto"/>
                <w:highlight w:val="none"/>
              </w:rPr>
              <w:t>清洗剂瓶</w:t>
            </w:r>
            <w:r>
              <w:rPr>
                <w:rFonts w:hint="eastAsia" w:ascii="宋体" w:hAnsi="宋体"/>
                <w:color w:val="auto"/>
                <w:highlight w:val="none"/>
                <w:lang w:val="en-US" w:eastAsia="zh-CN"/>
              </w:rPr>
              <w:t>：现有项目</w:t>
            </w:r>
            <w:r>
              <w:rPr>
                <w:rFonts w:hint="eastAsia"/>
                <w:color w:val="auto"/>
                <w:highlight w:val="none"/>
                <w:lang w:val="en-US" w:eastAsia="zh-CN"/>
              </w:rPr>
              <w:t>脱模剂、清洗剂空瓶，总计60瓶，约40g/瓶，产生量约为0.0024t。</w:t>
            </w:r>
          </w:p>
          <w:p w14:paraId="52D8C300">
            <w:pPr>
              <w:pStyle w:val="18"/>
              <w:rPr>
                <w:rFonts w:hint="eastAsia"/>
                <w:color w:val="auto"/>
                <w:highlight w:val="none"/>
              </w:rPr>
            </w:pPr>
            <w:r>
              <w:rPr>
                <w:rFonts w:hint="eastAsia" w:ascii="宋体" w:hAnsi="宋体"/>
                <w:color w:val="auto"/>
                <w:highlight w:val="none"/>
              </w:rPr>
              <w:t>⑦</w:t>
            </w:r>
            <w:r>
              <w:rPr>
                <w:rFonts w:hint="eastAsia"/>
                <w:color w:val="auto"/>
                <w:highlight w:val="none"/>
                <w:lang w:val="en-US" w:eastAsia="zh-CN"/>
              </w:rPr>
              <w:t>空压机废油：现有</w:t>
            </w:r>
            <w:r>
              <w:rPr>
                <w:rFonts w:hint="eastAsia"/>
                <w:color w:val="auto"/>
                <w:highlight w:val="none"/>
              </w:rPr>
              <w:t>项目</w:t>
            </w:r>
            <w:r>
              <w:rPr>
                <w:rFonts w:hint="eastAsia"/>
                <w:color w:val="auto"/>
                <w:highlight w:val="none"/>
                <w:lang w:val="en-US" w:eastAsia="zh-CN"/>
              </w:rPr>
              <w:t>1台</w:t>
            </w:r>
            <w:r>
              <w:rPr>
                <w:rFonts w:hint="eastAsia"/>
                <w:color w:val="auto"/>
                <w:highlight w:val="none"/>
              </w:rPr>
              <w:t>空压机</w:t>
            </w:r>
            <w:r>
              <w:rPr>
                <w:rFonts w:hint="eastAsia"/>
                <w:color w:val="auto"/>
                <w:highlight w:val="none"/>
                <w:lang w:eastAsia="zh-CN"/>
              </w:rPr>
              <w:t>，</w:t>
            </w:r>
            <w:r>
              <w:rPr>
                <w:rFonts w:hint="eastAsia"/>
                <w:color w:val="auto"/>
                <w:highlight w:val="none"/>
              </w:rPr>
              <w:t>运行过程中产生少量</w:t>
            </w:r>
            <w:r>
              <w:rPr>
                <w:rFonts w:hint="eastAsia"/>
                <w:color w:val="auto"/>
                <w:highlight w:val="none"/>
                <w:lang w:val="en-US" w:eastAsia="zh-CN"/>
              </w:rPr>
              <w:t>废油</w:t>
            </w:r>
            <w:r>
              <w:rPr>
                <w:rFonts w:hint="eastAsia"/>
                <w:color w:val="auto"/>
                <w:highlight w:val="none"/>
              </w:rPr>
              <w:t>，产生量约为0.0</w:t>
            </w:r>
            <w:r>
              <w:rPr>
                <w:rFonts w:hint="eastAsia"/>
                <w:color w:val="auto"/>
                <w:highlight w:val="none"/>
                <w:lang w:val="en-US" w:eastAsia="zh-CN"/>
              </w:rPr>
              <w:t>1</w:t>
            </w:r>
            <w:r>
              <w:rPr>
                <w:rFonts w:hint="eastAsia"/>
                <w:color w:val="auto"/>
                <w:highlight w:val="none"/>
              </w:rPr>
              <w:t>t/a。</w:t>
            </w:r>
          </w:p>
          <w:p w14:paraId="357E5865">
            <w:pPr>
              <w:pStyle w:val="18"/>
              <w:ind w:firstLine="482"/>
              <w:rPr>
                <w:b/>
                <w:bCs/>
                <w:color w:val="auto"/>
                <w:highlight w:val="none"/>
              </w:rPr>
            </w:pPr>
            <w:r>
              <w:rPr>
                <w:rFonts w:hint="eastAsia"/>
                <w:b/>
                <w:bCs/>
                <w:color w:val="auto"/>
                <w:highlight w:val="none"/>
              </w:rPr>
              <w:t>⑶生活垃圾</w:t>
            </w:r>
          </w:p>
          <w:p w14:paraId="12CD9B28">
            <w:pPr>
              <w:pStyle w:val="18"/>
              <w:rPr>
                <w:color w:val="auto"/>
                <w:highlight w:val="none"/>
              </w:rPr>
            </w:pPr>
            <w:r>
              <w:rPr>
                <w:rFonts w:hint="eastAsia"/>
                <w:color w:val="auto"/>
                <w:highlight w:val="none"/>
              </w:rPr>
              <w:t>员工办公、生活产生一定量垃圾，按人均产生量0.5kg/d计，</w:t>
            </w:r>
            <w:r>
              <w:rPr>
                <w:rFonts w:hint="eastAsia"/>
                <w:color w:val="auto"/>
                <w:highlight w:val="none"/>
                <w:lang w:val="en-US" w:eastAsia="zh-CN"/>
              </w:rPr>
              <w:t>现有</w:t>
            </w:r>
            <w:r>
              <w:rPr>
                <w:rFonts w:hint="eastAsia"/>
                <w:color w:val="auto"/>
                <w:highlight w:val="none"/>
                <w:lang w:eastAsia="zh-CN"/>
              </w:rPr>
              <w:t>项目</w:t>
            </w:r>
            <w:r>
              <w:rPr>
                <w:rFonts w:hint="eastAsia"/>
                <w:color w:val="auto"/>
                <w:highlight w:val="none"/>
              </w:rPr>
              <w:t>劳动定员</w:t>
            </w:r>
            <w:r>
              <w:rPr>
                <w:rFonts w:hint="eastAsia"/>
                <w:color w:val="auto"/>
                <w:highlight w:val="none"/>
                <w:lang w:val="en-US" w:eastAsia="zh-CN"/>
              </w:rPr>
              <w:t>15</w:t>
            </w:r>
            <w:r>
              <w:rPr>
                <w:rFonts w:hint="eastAsia"/>
                <w:color w:val="auto"/>
                <w:highlight w:val="none"/>
              </w:rPr>
              <w:t>人，生活垃圾年产生量</w:t>
            </w:r>
            <w:r>
              <w:rPr>
                <w:rFonts w:hint="eastAsia"/>
                <w:color w:val="auto"/>
                <w:highlight w:val="none"/>
                <w:lang w:val="en-US" w:eastAsia="zh-CN"/>
              </w:rPr>
              <w:t>2.25</w:t>
            </w:r>
            <w:r>
              <w:rPr>
                <w:rFonts w:hint="eastAsia"/>
                <w:color w:val="auto"/>
                <w:highlight w:val="none"/>
              </w:rPr>
              <w:t>t/a，厂区设垃圾收集箱，</w:t>
            </w:r>
            <w:r>
              <w:rPr>
                <w:rFonts w:hint="eastAsia"/>
                <w:color w:val="auto"/>
                <w:highlight w:val="none"/>
                <w:lang w:val="en-US" w:eastAsia="zh-CN"/>
              </w:rPr>
              <w:t>由</w:t>
            </w:r>
            <w:r>
              <w:rPr>
                <w:rFonts w:hint="eastAsia"/>
                <w:color w:val="auto"/>
                <w:highlight w:val="none"/>
              </w:rPr>
              <w:t>环卫部门清运。</w:t>
            </w:r>
          </w:p>
          <w:p w14:paraId="1E687AFE">
            <w:pPr>
              <w:pStyle w:val="18"/>
              <w:rPr>
                <w:rFonts w:hint="eastAsia"/>
                <w:color w:val="auto"/>
                <w:highlight w:val="none"/>
                <w:lang w:val="en-US" w:eastAsia="zh-CN"/>
              </w:rPr>
            </w:pPr>
            <w:r>
              <w:rPr>
                <w:rFonts w:hint="eastAsia"/>
                <w:color w:val="auto"/>
                <w:highlight w:val="none"/>
                <w:lang w:val="en-US" w:eastAsia="zh-CN"/>
              </w:rPr>
              <w:t>综上，现有项目固废污染物产生情况如下：</w:t>
            </w:r>
          </w:p>
          <w:p w14:paraId="73A36775">
            <w:pPr>
              <w:pStyle w:val="19"/>
              <w:bidi w:val="0"/>
              <w:rPr>
                <w:rFonts w:hint="default"/>
                <w:color w:val="auto"/>
                <w:highlight w:val="none"/>
                <w:lang w:val="en-US" w:eastAsia="zh-CN"/>
              </w:rPr>
            </w:pPr>
            <w:r>
              <w:rPr>
                <w:rFonts w:hint="default" w:ascii="Times New Roman" w:hAnsi="Times New Roman" w:cs="Times New Roman"/>
                <w:color w:val="auto"/>
                <w:highlight w:val="none"/>
              </w:rPr>
              <w:t>表2-</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SEQ 表2- \* ARABIC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15</w:t>
            </w:r>
            <w:r>
              <w:rPr>
                <w:rFonts w:hint="default" w:ascii="Times New Roman" w:hAnsi="Times New Roman" w:cs="Times New Roman"/>
                <w:color w:val="auto"/>
                <w:highlight w:val="none"/>
              </w:rPr>
              <w:fldChar w:fldCharType="end"/>
            </w:r>
            <w:r>
              <w:rPr>
                <w:rFonts w:hint="eastAsia" w:ascii="Times New Roman" w:hAnsi="Times New Roman" w:cs="Times New Roman"/>
                <w:color w:val="auto"/>
                <w:highlight w:val="none"/>
                <w:lang w:val="en-US" w:eastAsia="zh-CN"/>
              </w:rPr>
              <w:t xml:space="preserve">  </w:t>
            </w:r>
            <w:r>
              <w:rPr>
                <w:rFonts w:hint="eastAsia"/>
                <w:color w:val="auto"/>
                <w:highlight w:val="none"/>
                <w:lang w:val="en-US" w:eastAsia="zh-CN"/>
              </w:rPr>
              <w:t>现有项目固废污染物产生量</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77"/>
              <w:gridCol w:w="1718"/>
              <w:gridCol w:w="1085"/>
              <w:gridCol w:w="781"/>
              <w:gridCol w:w="2106"/>
              <w:gridCol w:w="1558"/>
            </w:tblGrid>
            <w:tr w14:paraId="44EF0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7" w:type="pct"/>
                  <w:shd w:val="clear" w:color="auto" w:fill="auto"/>
                  <w:vAlign w:val="center"/>
                </w:tcPr>
                <w:p w14:paraId="11038FC1">
                  <w:pPr>
                    <w:pStyle w:val="20"/>
                    <w:bidi w:val="0"/>
                    <w:rPr>
                      <w:rFonts w:hint="default"/>
                      <w:b/>
                      <w:bCs/>
                      <w:color w:val="auto"/>
                      <w:highlight w:val="none"/>
                      <w:lang w:val="en-US" w:eastAsia="zh-CN"/>
                    </w:rPr>
                  </w:pPr>
                  <w:r>
                    <w:rPr>
                      <w:rFonts w:hint="eastAsia"/>
                      <w:b/>
                      <w:bCs/>
                      <w:color w:val="auto"/>
                      <w:highlight w:val="none"/>
                      <w:lang w:val="en-US" w:eastAsia="zh-CN"/>
                    </w:rPr>
                    <w:t>类别</w:t>
                  </w:r>
                </w:p>
              </w:tc>
              <w:tc>
                <w:tcPr>
                  <w:tcW w:w="1031" w:type="pct"/>
                  <w:shd w:val="clear" w:color="auto" w:fill="auto"/>
                  <w:vAlign w:val="center"/>
                </w:tcPr>
                <w:p w14:paraId="7978563A">
                  <w:pPr>
                    <w:pStyle w:val="20"/>
                    <w:bidi w:val="0"/>
                    <w:rPr>
                      <w:rFonts w:hint="default"/>
                      <w:b/>
                      <w:bCs/>
                      <w:color w:val="auto"/>
                      <w:highlight w:val="none"/>
                      <w:lang w:val="en-US" w:eastAsia="zh-CN"/>
                    </w:rPr>
                  </w:pPr>
                  <w:r>
                    <w:rPr>
                      <w:rFonts w:hint="eastAsia"/>
                      <w:b/>
                      <w:bCs/>
                      <w:color w:val="auto"/>
                      <w:highlight w:val="none"/>
                      <w:lang w:val="en-US" w:eastAsia="zh-CN"/>
                    </w:rPr>
                    <w:t>固废名称</w:t>
                  </w:r>
                </w:p>
              </w:tc>
              <w:tc>
                <w:tcPr>
                  <w:tcW w:w="651" w:type="pct"/>
                  <w:tcBorders>
                    <w:right w:val="double" w:color="auto" w:sz="4" w:space="0"/>
                  </w:tcBorders>
                  <w:shd w:val="clear" w:color="auto" w:fill="auto"/>
                  <w:noWrap/>
                  <w:vAlign w:val="center"/>
                </w:tcPr>
                <w:p w14:paraId="3949A65E">
                  <w:pPr>
                    <w:pStyle w:val="20"/>
                    <w:bidi w:val="0"/>
                    <w:rPr>
                      <w:rFonts w:hint="default"/>
                      <w:b/>
                      <w:bCs/>
                      <w:color w:val="auto"/>
                      <w:highlight w:val="none"/>
                      <w:lang w:val="en-US" w:eastAsia="zh-CN"/>
                    </w:rPr>
                  </w:pPr>
                  <w:r>
                    <w:rPr>
                      <w:rFonts w:hint="eastAsia"/>
                      <w:b/>
                      <w:bCs/>
                      <w:color w:val="auto"/>
                      <w:highlight w:val="none"/>
                      <w:lang w:val="en-US" w:eastAsia="zh-CN"/>
                    </w:rPr>
                    <w:t>固废产生量t/a</w:t>
                  </w:r>
                </w:p>
              </w:tc>
              <w:tc>
                <w:tcPr>
                  <w:tcW w:w="469" w:type="pct"/>
                  <w:tcBorders>
                    <w:left w:val="double" w:color="auto" w:sz="4" w:space="0"/>
                  </w:tcBorders>
                  <w:shd w:val="clear" w:color="auto" w:fill="auto"/>
                  <w:noWrap/>
                  <w:vAlign w:val="center"/>
                </w:tcPr>
                <w:p w14:paraId="29DE180F">
                  <w:pPr>
                    <w:pStyle w:val="20"/>
                    <w:bidi w:val="0"/>
                    <w:rPr>
                      <w:rFonts w:hint="eastAsia"/>
                      <w:b/>
                      <w:bCs/>
                      <w:color w:val="auto"/>
                      <w:highlight w:val="none"/>
                      <w:lang w:val="en-US" w:eastAsia="zh-CN"/>
                    </w:rPr>
                  </w:pPr>
                  <w:r>
                    <w:rPr>
                      <w:rFonts w:hint="eastAsia"/>
                      <w:b/>
                      <w:bCs/>
                      <w:color w:val="auto"/>
                      <w:highlight w:val="none"/>
                      <w:lang w:val="en-US" w:eastAsia="zh-CN"/>
                    </w:rPr>
                    <w:t>类别</w:t>
                  </w:r>
                </w:p>
              </w:tc>
              <w:tc>
                <w:tcPr>
                  <w:tcW w:w="1264" w:type="pct"/>
                  <w:shd w:val="clear" w:color="auto" w:fill="auto"/>
                  <w:noWrap/>
                  <w:vAlign w:val="center"/>
                </w:tcPr>
                <w:p w14:paraId="6F6966FD">
                  <w:pPr>
                    <w:pStyle w:val="20"/>
                    <w:bidi w:val="0"/>
                    <w:rPr>
                      <w:rFonts w:hint="eastAsia"/>
                      <w:b/>
                      <w:bCs/>
                      <w:color w:val="auto"/>
                      <w:highlight w:val="none"/>
                      <w:lang w:val="en-US" w:eastAsia="zh-CN"/>
                    </w:rPr>
                  </w:pPr>
                  <w:r>
                    <w:rPr>
                      <w:rFonts w:hint="eastAsia"/>
                      <w:b/>
                      <w:bCs/>
                      <w:color w:val="auto"/>
                      <w:highlight w:val="none"/>
                      <w:lang w:val="en-US" w:eastAsia="zh-CN"/>
                    </w:rPr>
                    <w:t>固废名称</w:t>
                  </w:r>
                </w:p>
              </w:tc>
              <w:tc>
                <w:tcPr>
                  <w:tcW w:w="935" w:type="pct"/>
                  <w:shd w:val="clear" w:color="auto" w:fill="auto"/>
                  <w:noWrap/>
                  <w:vAlign w:val="center"/>
                </w:tcPr>
                <w:p w14:paraId="4DD9E00E">
                  <w:pPr>
                    <w:pStyle w:val="20"/>
                    <w:bidi w:val="0"/>
                    <w:rPr>
                      <w:rFonts w:hint="eastAsia"/>
                      <w:b/>
                      <w:bCs/>
                      <w:color w:val="auto"/>
                      <w:highlight w:val="none"/>
                      <w:lang w:val="en-US" w:eastAsia="zh-CN"/>
                    </w:rPr>
                  </w:pPr>
                  <w:r>
                    <w:rPr>
                      <w:rFonts w:hint="eastAsia"/>
                      <w:b/>
                      <w:bCs/>
                      <w:color w:val="auto"/>
                      <w:highlight w:val="none"/>
                      <w:lang w:val="en-US" w:eastAsia="zh-CN"/>
                    </w:rPr>
                    <w:t>固废产生量t/a</w:t>
                  </w:r>
                </w:p>
              </w:tc>
            </w:tr>
            <w:tr w14:paraId="46396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7" w:type="pct"/>
                  <w:vMerge w:val="restart"/>
                  <w:shd w:val="clear" w:color="auto" w:fill="auto"/>
                  <w:vAlign w:val="center"/>
                </w:tcPr>
                <w:p w14:paraId="2ED3DC96">
                  <w:pPr>
                    <w:pStyle w:val="20"/>
                    <w:bidi w:val="0"/>
                    <w:rPr>
                      <w:rFonts w:hint="default"/>
                      <w:color w:val="auto"/>
                      <w:highlight w:val="none"/>
                      <w:lang w:val="en-US" w:eastAsia="zh-CN"/>
                    </w:rPr>
                  </w:pPr>
                  <w:r>
                    <w:rPr>
                      <w:rFonts w:hint="eastAsia"/>
                      <w:color w:val="auto"/>
                      <w:highlight w:val="none"/>
                      <w:lang w:val="en-US" w:eastAsia="zh-CN"/>
                    </w:rPr>
                    <w:t>一般固体废物</w:t>
                  </w:r>
                </w:p>
              </w:tc>
              <w:tc>
                <w:tcPr>
                  <w:tcW w:w="1031" w:type="pct"/>
                  <w:shd w:val="clear" w:color="auto" w:fill="auto"/>
                  <w:vAlign w:val="center"/>
                </w:tcPr>
                <w:p w14:paraId="3448753A">
                  <w:pPr>
                    <w:pStyle w:val="20"/>
                    <w:bidi w:val="0"/>
                    <w:rPr>
                      <w:rFonts w:hint="eastAsia"/>
                      <w:color w:val="auto"/>
                      <w:highlight w:val="none"/>
                    </w:rPr>
                  </w:pPr>
                  <w:r>
                    <w:rPr>
                      <w:rFonts w:hint="eastAsia"/>
                      <w:color w:val="auto"/>
                      <w:highlight w:val="none"/>
                      <w:lang w:val="en-US" w:eastAsia="zh-CN"/>
                    </w:rPr>
                    <w:t>废原料包装</w:t>
                  </w:r>
                </w:p>
              </w:tc>
              <w:tc>
                <w:tcPr>
                  <w:tcW w:w="651" w:type="pct"/>
                  <w:tcBorders>
                    <w:right w:val="double" w:color="auto" w:sz="4" w:space="0"/>
                  </w:tcBorders>
                  <w:shd w:val="clear" w:color="auto" w:fill="auto"/>
                  <w:noWrap/>
                  <w:vAlign w:val="center"/>
                </w:tcPr>
                <w:p w14:paraId="6B01E4DA">
                  <w:pPr>
                    <w:pStyle w:val="20"/>
                    <w:bidi w:val="0"/>
                    <w:rPr>
                      <w:rFonts w:hint="default"/>
                      <w:color w:val="auto"/>
                      <w:highlight w:val="none"/>
                      <w:lang w:val="en-US"/>
                    </w:rPr>
                  </w:pPr>
                  <w:r>
                    <w:rPr>
                      <w:rFonts w:hint="eastAsia"/>
                      <w:color w:val="auto"/>
                      <w:highlight w:val="none"/>
                      <w:lang w:val="en-US" w:eastAsia="zh-CN"/>
                    </w:rPr>
                    <w:t>0.127</w:t>
                  </w:r>
                </w:p>
              </w:tc>
              <w:tc>
                <w:tcPr>
                  <w:tcW w:w="469" w:type="pct"/>
                  <w:vMerge w:val="restart"/>
                  <w:tcBorders>
                    <w:left w:val="double" w:color="auto" w:sz="4" w:space="0"/>
                  </w:tcBorders>
                  <w:shd w:val="clear" w:color="auto" w:fill="auto"/>
                  <w:noWrap/>
                  <w:vAlign w:val="center"/>
                </w:tcPr>
                <w:p w14:paraId="5A228C70">
                  <w:pPr>
                    <w:pStyle w:val="20"/>
                    <w:bidi w:val="0"/>
                    <w:rPr>
                      <w:rFonts w:hint="default"/>
                      <w:color w:val="auto"/>
                      <w:highlight w:val="none"/>
                      <w:lang w:val="en-US" w:eastAsia="zh-CN"/>
                    </w:rPr>
                  </w:pPr>
                  <w:r>
                    <w:rPr>
                      <w:rFonts w:hint="eastAsia"/>
                      <w:color w:val="auto"/>
                      <w:highlight w:val="none"/>
                      <w:lang w:val="en-US" w:eastAsia="zh-CN"/>
                    </w:rPr>
                    <w:t>危险废物</w:t>
                  </w:r>
                </w:p>
              </w:tc>
              <w:tc>
                <w:tcPr>
                  <w:tcW w:w="1264" w:type="pct"/>
                  <w:shd w:val="clear" w:color="auto" w:fill="auto"/>
                  <w:noWrap/>
                  <w:vAlign w:val="center"/>
                </w:tcPr>
                <w:p w14:paraId="15ECADC8">
                  <w:pPr>
                    <w:pStyle w:val="20"/>
                    <w:bidi w:val="0"/>
                    <w:rPr>
                      <w:rFonts w:hint="eastAsia"/>
                      <w:color w:val="auto"/>
                      <w:highlight w:val="none"/>
                      <w:lang w:val="en-US" w:eastAsia="zh-CN"/>
                    </w:rPr>
                  </w:pPr>
                  <w:r>
                    <w:rPr>
                      <w:rFonts w:hint="eastAsia"/>
                      <w:color w:val="auto"/>
                      <w:highlight w:val="none"/>
                      <w:lang w:val="en-US" w:eastAsia="zh-CN"/>
                    </w:rPr>
                    <w:t>废润滑油</w:t>
                  </w:r>
                </w:p>
              </w:tc>
              <w:tc>
                <w:tcPr>
                  <w:tcW w:w="935" w:type="pct"/>
                  <w:shd w:val="clear" w:color="auto" w:fill="auto"/>
                  <w:noWrap/>
                  <w:vAlign w:val="center"/>
                </w:tcPr>
                <w:p w14:paraId="0143DEDC">
                  <w:pPr>
                    <w:pStyle w:val="20"/>
                    <w:bidi w:val="0"/>
                    <w:rPr>
                      <w:rFonts w:hint="default"/>
                      <w:color w:val="auto"/>
                      <w:highlight w:val="none"/>
                      <w:lang w:val="en-US" w:eastAsia="zh-CN"/>
                    </w:rPr>
                  </w:pPr>
                  <w:r>
                    <w:rPr>
                      <w:rFonts w:hint="eastAsia"/>
                      <w:color w:val="auto"/>
                      <w:highlight w:val="none"/>
                      <w:lang w:val="en-US" w:eastAsia="zh-CN"/>
                    </w:rPr>
                    <w:t>0.025</w:t>
                  </w:r>
                </w:p>
              </w:tc>
            </w:tr>
            <w:tr w14:paraId="391EC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47" w:type="pct"/>
                  <w:vMerge w:val="continue"/>
                  <w:shd w:val="clear" w:color="auto" w:fill="auto"/>
                  <w:vAlign w:val="center"/>
                </w:tcPr>
                <w:p w14:paraId="7B5BA4CA">
                  <w:pPr>
                    <w:pStyle w:val="20"/>
                    <w:bidi w:val="0"/>
                    <w:rPr>
                      <w:rFonts w:hint="eastAsia"/>
                      <w:color w:val="auto"/>
                      <w:highlight w:val="none"/>
                      <w:lang w:val="en-US" w:eastAsia="zh-CN"/>
                    </w:rPr>
                  </w:pPr>
                </w:p>
              </w:tc>
              <w:tc>
                <w:tcPr>
                  <w:tcW w:w="1031" w:type="pct"/>
                  <w:shd w:val="clear" w:color="auto" w:fill="auto"/>
                  <w:vAlign w:val="center"/>
                </w:tcPr>
                <w:p w14:paraId="45DD0A2B">
                  <w:pPr>
                    <w:pStyle w:val="20"/>
                    <w:bidi w:val="0"/>
                    <w:rPr>
                      <w:rFonts w:hint="eastAsia"/>
                      <w:color w:val="auto"/>
                      <w:highlight w:val="none"/>
                    </w:rPr>
                  </w:pPr>
                  <w:r>
                    <w:rPr>
                      <w:rFonts w:hint="eastAsia"/>
                      <w:color w:val="auto"/>
                      <w:highlight w:val="none"/>
                      <w:lang w:val="en-US" w:eastAsia="zh-CN"/>
                    </w:rPr>
                    <w:t>废料</w:t>
                  </w:r>
                </w:p>
              </w:tc>
              <w:tc>
                <w:tcPr>
                  <w:tcW w:w="651" w:type="pct"/>
                  <w:tcBorders>
                    <w:right w:val="double" w:color="auto" w:sz="4" w:space="0"/>
                  </w:tcBorders>
                  <w:shd w:val="clear" w:color="auto" w:fill="auto"/>
                  <w:noWrap/>
                  <w:vAlign w:val="center"/>
                </w:tcPr>
                <w:p w14:paraId="2DA67565">
                  <w:pPr>
                    <w:pStyle w:val="20"/>
                    <w:bidi w:val="0"/>
                    <w:rPr>
                      <w:rFonts w:hint="default"/>
                      <w:color w:val="auto"/>
                      <w:highlight w:val="none"/>
                      <w:lang w:val="en-US"/>
                    </w:rPr>
                  </w:pPr>
                  <w:r>
                    <w:rPr>
                      <w:rFonts w:hint="eastAsia"/>
                      <w:color w:val="auto"/>
                      <w:highlight w:val="none"/>
                      <w:lang w:val="en-US" w:eastAsia="zh-CN"/>
                    </w:rPr>
                    <w:t>0.027</w:t>
                  </w:r>
                </w:p>
              </w:tc>
              <w:tc>
                <w:tcPr>
                  <w:tcW w:w="469" w:type="pct"/>
                  <w:vMerge w:val="continue"/>
                  <w:tcBorders>
                    <w:left w:val="double" w:color="auto" w:sz="4" w:space="0"/>
                  </w:tcBorders>
                  <w:shd w:val="clear" w:color="auto" w:fill="auto"/>
                  <w:noWrap/>
                  <w:vAlign w:val="center"/>
                </w:tcPr>
                <w:p w14:paraId="7D1B579A">
                  <w:pPr>
                    <w:pStyle w:val="20"/>
                    <w:bidi w:val="0"/>
                    <w:rPr>
                      <w:rFonts w:hint="eastAsia"/>
                      <w:color w:val="auto"/>
                      <w:highlight w:val="none"/>
                      <w:lang w:val="en-US" w:eastAsia="zh-CN"/>
                    </w:rPr>
                  </w:pPr>
                </w:p>
              </w:tc>
              <w:tc>
                <w:tcPr>
                  <w:tcW w:w="1264" w:type="pct"/>
                  <w:shd w:val="clear" w:color="auto" w:fill="auto"/>
                  <w:noWrap/>
                  <w:vAlign w:val="center"/>
                </w:tcPr>
                <w:p w14:paraId="3B3F9FBA">
                  <w:pPr>
                    <w:pStyle w:val="20"/>
                    <w:bidi w:val="0"/>
                    <w:rPr>
                      <w:rFonts w:hint="eastAsia"/>
                      <w:color w:val="auto"/>
                      <w:highlight w:val="none"/>
                      <w:lang w:val="en-US" w:eastAsia="zh-CN"/>
                    </w:rPr>
                  </w:pPr>
                  <w:r>
                    <w:rPr>
                      <w:rFonts w:hint="eastAsia"/>
                      <w:color w:val="auto"/>
                      <w:highlight w:val="none"/>
                      <w:lang w:val="en-US" w:eastAsia="zh-CN"/>
                    </w:rPr>
                    <w:t>废油桶</w:t>
                  </w:r>
                </w:p>
              </w:tc>
              <w:tc>
                <w:tcPr>
                  <w:tcW w:w="935" w:type="pct"/>
                  <w:shd w:val="clear" w:color="auto" w:fill="auto"/>
                  <w:noWrap/>
                  <w:vAlign w:val="center"/>
                </w:tcPr>
                <w:p w14:paraId="1AD74CD7">
                  <w:pPr>
                    <w:pStyle w:val="20"/>
                    <w:bidi w:val="0"/>
                    <w:rPr>
                      <w:rFonts w:hint="default"/>
                      <w:color w:val="auto"/>
                      <w:highlight w:val="none"/>
                      <w:lang w:val="en-US" w:eastAsia="zh-CN"/>
                    </w:rPr>
                  </w:pPr>
                  <w:r>
                    <w:rPr>
                      <w:rFonts w:hint="eastAsia"/>
                      <w:color w:val="auto"/>
                      <w:highlight w:val="none"/>
                      <w:lang w:val="en-US" w:eastAsia="zh-CN"/>
                    </w:rPr>
                    <w:t>0.013</w:t>
                  </w:r>
                </w:p>
              </w:tc>
            </w:tr>
            <w:tr w14:paraId="22D7F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47" w:type="pct"/>
                  <w:vMerge w:val="continue"/>
                  <w:shd w:val="clear" w:color="auto" w:fill="auto"/>
                  <w:vAlign w:val="center"/>
                </w:tcPr>
                <w:p w14:paraId="3D0FFC1A">
                  <w:pPr>
                    <w:pStyle w:val="20"/>
                    <w:bidi w:val="0"/>
                    <w:rPr>
                      <w:rFonts w:hint="eastAsia"/>
                      <w:color w:val="auto"/>
                      <w:highlight w:val="none"/>
                      <w:lang w:val="en-US" w:eastAsia="zh-CN"/>
                    </w:rPr>
                  </w:pPr>
                </w:p>
              </w:tc>
              <w:tc>
                <w:tcPr>
                  <w:tcW w:w="1031" w:type="pct"/>
                  <w:shd w:val="clear" w:color="auto" w:fill="auto"/>
                  <w:vAlign w:val="center"/>
                </w:tcPr>
                <w:p w14:paraId="2DCB3545">
                  <w:pPr>
                    <w:pStyle w:val="20"/>
                    <w:bidi w:val="0"/>
                    <w:rPr>
                      <w:rFonts w:hint="eastAsia"/>
                      <w:color w:val="auto"/>
                      <w:highlight w:val="none"/>
                    </w:rPr>
                  </w:pPr>
                  <w:r>
                    <w:rPr>
                      <w:rFonts w:hint="eastAsia"/>
                      <w:color w:val="auto"/>
                      <w:highlight w:val="none"/>
                      <w:lang w:val="en-US" w:eastAsia="zh-CN"/>
                    </w:rPr>
                    <w:t>边角料</w:t>
                  </w:r>
                </w:p>
              </w:tc>
              <w:tc>
                <w:tcPr>
                  <w:tcW w:w="651" w:type="pct"/>
                  <w:tcBorders>
                    <w:right w:val="double" w:color="auto" w:sz="4" w:space="0"/>
                  </w:tcBorders>
                  <w:shd w:val="clear" w:color="auto" w:fill="auto"/>
                  <w:noWrap/>
                  <w:vAlign w:val="center"/>
                </w:tcPr>
                <w:p w14:paraId="3CC4133D">
                  <w:pPr>
                    <w:pStyle w:val="20"/>
                    <w:bidi w:val="0"/>
                    <w:rPr>
                      <w:rFonts w:hint="default"/>
                      <w:color w:val="auto"/>
                      <w:highlight w:val="none"/>
                      <w:lang w:val="en-US"/>
                    </w:rPr>
                  </w:pPr>
                  <w:r>
                    <w:rPr>
                      <w:rFonts w:hint="eastAsia"/>
                      <w:color w:val="auto"/>
                      <w:highlight w:val="none"/>
                      <w:lang w:val="en-US" w:eastAsia="zh-CN"/>
                    </w:rPr>
                    <w:t>4.462</w:t>
                  </w:r>
                </w:p>
              </w:tc>
              <w:tc>
                <w:tcPr>
                  <w:tcW w:w="469" w:type="pct"/>
                  <w:vMerge w:val="continue"/>
                  <w:tcBorders>
                    <w:left w:val="double" w:color="auto" w:sz="4" w:space="0"/>
                  </w:tcBorders>
                  <w:shd w:val="clear" w:color="auto" w:fill="auto"/>
                  <w:noWrap/>
                  <w:vAlign w:val="center"/>
                </w:tcPr>
                <w:p w14:paraId="5C0EDD07">
                  <w:pPr>
                    <w:pStyle w:val="20"/>
                    <w:bidi w:val="0"/>
                    <w:rPr>
                      <w:rFonts w:hint="eastAsia"/>
                      <w:color w:val="auto"/>
                      <w:highlight w:val="none"/>
                      <w:lang w:val="en-US" w:eastAsia="zh-CN"/>
                    </w:rPr>
                  </w:pPr>
                </w:p>
              </w:tc>
              <w:tc>
                <w:tcPr>
                  <w:tcW w:w="1264" w:type="pct"/>
                  <w:shd w:val="clear" w:color="auto" w:fill="auto"/>
                  <w:noWrap/>
                  <w:vAlign w:val="center"/>
                </w:tcPr>
                <w:p w14:paraId="7FB0B03C">
                  <w:pPr>
                    <w:pStyle w:val="20"/>
                    <w:bidi w:val="0"/>
                    <w:rPr>
                      <w:rFonts w:hint="eastAsia"/>
                      <w:color w:val="auto"/>
                      <w:highlight w:val="none"/>
                      <w:lang w:val="en-US" w:eastAsia="zh-CN"/>
                    </w:rPr>
                  </w:pPr>
                  <w:r>
                    <w:rPr>
                      <w:rFonts w:hint="eastAsia"/>
                      <w:color w:val="auto"/>
                      <w:highlight w:val="none"/>
                      <w:lang w:val="en-US" w:eastAsia="zh-CN"/>
                    </w:rPr>
                    <w:t>废含油棉纱及手套</w:t>
                  </w:r>
                </w:p>
              </w:tc>
              <w:tc>
                <w:tcPr>
                  <w:tcW w:w="935" w:type="pct"/>
                  <w:shd w:val="clear" w:color="auto" w:fill="auto"/>
                  <w:noWrap/>
                  <w:vAlign w:val="center"/>
                </w:tcPr>
                <w:p w14:paraId="554C4F57">
                  <w:pPr>
                    <w:pStyle w:val="20"/>
                    <w:bidi w:val="0"/>
                    <w:rPr>
                      <w:rFonts w:hint="default"/>
                      <w:color w:val="auto"/>
                      <w:highlight w:val="none"/>
                      <w:lang w:val="en-US" w:eastAsia="zh-CN"/>
                    </w:rPr>
                  </w:pPr>
                  <w:r>
                    <w:rPr>
                      <w:rFonts w:hint="eastAsia"/>
                      <w:color w:val="auto"/>
                      <w:highlight w:val="none"/>
                      <w:lang w:val="en-US" w:eastAsia="zh-CN"/>
                    </w:rPr>
                    <w:t>0.006</w:t>
                  </w:r>
                </w:p>
              </w:tc>
            </w:tr>
            <w:tr w14:paraId="35C83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7" w:type="pct"/>
                  <w:vMerge w:val="continue"/>
                  <w:shd w:val="clear" w:color="auto" w:fill="auto"/>
                  <w:vAlign w:val="center"/>
                </w:tcPr>
                <w:p w14:paraId="78BC9D24">
                  <w:pPr>
                    <w:pStyle w:val="20"/>
                    <w:bidi w:val="0"/>
                    <w:rPr>
                      <w:rFonts w:hint="eastAsia"/>
                      <w:color w:val="auto"/>
                      <w:highlight w:val="none"/>
                      <w:lang w:val="en-US" w:eastAsia="zh-CN"/>
                    </w:rPr>
                  </w:pPr>
                </w:p>
              </w:tc>
              <w:tc>
                <w:tcPr>
                  <w:tcW w:w="1031" w:type="pct"/>
                  <w:shd w:val="clear" w:color="auto" w:fill="auto"/>
                  <w:vAlign w:val="center"/>
                </w:tcPr>
                <w:p w14:paraId="693C5043">
                  <w:pPr>
                    <w:pStyle w:val="20"/>
                    <w:bidi w:val="0"/>
                    <w:rPr>
                      <w:rFonts w:hint="eastAsia"/>
                      <w:color w:val="auto"/>
                      <w:highlight w:val="none"/>
                    </w:rPr>
                  </w:pPr>
                  <w:r>
                    <w:rPr>
                      <w:rFonts w:hint="eastAsia"/>
                      <w:color w:val="auto"/>
                      <w:highlight w:val="none"/>
                      <w:lang w:val="en-US" w:eastAsia="zh-CN"/>
                    </w:rPr>
                    <w:t>不合格品</w:t>
                  </w:r>
                </w:p>
              </w:tc>
              <w:tc>
                <w:tcPr>
                  <w:tcW w:w="651" w:type="pct"/>
                  <w:tcBorders>
                    <w:right w:val="double" w:color="auto" w:sz="4" w:space="0"/>
                  </w:tcBorders>
                  <w:shd w:val="clear" w:color="auto" w:fill="auto"/>
                  <w:noWrap/>
                  <w:vAlign w:val="center"/>
                </w:tcPr>
                <w:p w14:paraId="56B337A2">
                  <w:pPr>
                    <w:pStyle w:val="20"/>
                    <w:bidi w:val="0"/>
                    <w:rPr>
                      <w:rFonts w:hint="default"/>
                      <w:color w:val="auto"/>
                      <w:highlight w:val="none"/>
                      <w:lang w:val="en-US"/>
                    </w:rPr>
                  </w:pPr>
                  <w:r>
                    <w:rPr>
                      <w:rFonts w:hint="eastAsia"/>
                      <w:color w:val="auto"/>
                      <w:highlight w:val="none"/>
                      <w:lang w:val="en-US" w:eastAsia="zh-CN"/>
                    </w:rPr>
                    <w:t>2.746</w:t>
                  </w:r>
                </w:p>
              </w:tc>
              <w:tc>
                <w:tcPr>
                  <w:tcW w:w="469" w:type="pct"/>
                  <w:vMerge w:val="continue"/>
                  <w:tcBorders>
                    <w:left w:val="double" w:color="auto" w:sz="4" w:space="0"/>
                  </w:tcBorders>
                  <w:shd w:val="clear" w:color="auto" w:fill="auto"/>
                  <w:noWrap/>
                  <w:vAlign w:val="center"/>
                </w:tcPr>
                <w:p w14:paraId="7ACD47F4">
                  <w:pPr>
                    <w:pStyle w:val="20"/>
                    <w:bidi w:val="0"/>
                    <w:rPr>
                      <w:rFonts w:hint="eastAsia"/>
                      <w:color w:val="auto"/>
                      <w:highlight w:val="none"/>
                      <w:lang w:val="en-US" w:eastAsia="zh-CN"/>
                    </w:rPr>
                  </w:pPr>
                </w:p>
              </w:tc>
              <w:tc>
                <w:tcPr>
                  <w:tcW w:w="1264" w:type="pct"/>
                  <w:shd w:val="clear" w:color="auto" w:fill="auto"/>
                  <w:noWrap/>
                  <w:vAlign w:val="center"/>
                </w:tcPr>
                <w:p w14:paraId="37218C56">
                  <w:pPr>
                    <w:pStyle w:val="20"/>
                    <w:bidi w:val="0"/>
                    <w:rPr>
                      <w:rFonts w:hint="eastAsia"/>
                      <w:color w:val="auto"/>
                      <w:highlight w:val="none"/>
                      <w:lang w:val="en-US" w:eastAsia="zh-CN"/>
                    </w:rPr>
                  </w:pPr>
                  <w:r>
                    <w:rPr>
                      <w:rFonts w:hint="eastAsia"/>
                      <w:color w:val="auto"/>
                      <w:highlight w:val="none"/>
                      <w:lang w:val="en-US" w:eastAsia="zh-CN"/>
                    </w:rPr>
                    <w:t>废液压油</w:t>
                  </w:r>
                </w:p>
              </w:tc>
              <w:tc>
                <w:tcPr>
                  <w:tcW w:w="935" w:type="pct"/>
                  <w:shd w:val="clear" w:color="auto" w:fill="auto"/>
                  <w:noWrap/>
                  <w:vAlign w:val="center"/>
                </w:tcPr>
                <w:p w14:paraId="5AC30D23">
                  <w:pPr>
                    <w:pStyle w:val="20"/>
                    <w:bidi w:val="0"/>
                    <w:rPr>
                      <w:rFonts w:hint="default"/>
                      <w:color w:val="auto"/>
                      <w:highlight w:val="none"/>
                      <w:lang w:val="en-US" w:eastAsia="zh-CN"/>
                    </w:rPr>
                  </w:pPr>
                  <w:r>
                    <w:rPr>
                      <w:rFonts w:hint="eastAsia"/>
                      <w:color w:val="auto"/>
                      <w:highlight w:val="none"/>
                      <w:lang w:val="en-US" w:eastAsia="zh-CN"/>
                    </w:rPr>
                    <w:t>0.3</w:t>
                  </w:r>
                </w:p>
              </w:tc>
            </w:tr>
            <w:tr w14:paraId="7145E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7" w:type="pct"/>
                  <w:vMerge w:val="continue"/>
                  <w:shd w:val="clear" w:color="auto" w:fill="auto"/>
                  <w:vAlign w:val="center"/>
                </w:tcPr>
                <w:p w14:paraId="44BCBDED">
                  <w:pPr>
                    <w:pStyle w:val="20"/>
                    <w:bidi w:val="0"/>
                    <w:rPr>
                      <w:rFonts w:hint="eastAsia"/>
                      <w:color w:val="auto"/>
                      <w:highlight w:val="none"/>
                      <w:lang w:val="en-US" w:eastAsia="zh-CN"/>
                    </w:rPr>
                  </w:pPr>
                </w:p>
              </w:tc>
              <w:tc>
                <w:tcPr>
                  <w:tcW w:w="1031" w:type="pct"/>
                  <w:shd w:val="clear" w:color="auto" w:fill="auto"/>
                  <w:vAlign w:val="center"/>
                </w:tcPr>
                <w:p w14:paraId="5F4C2947">
                  <w:pPr>
                    <w:pStyle w:val="20"/>
                    <w:bidi w:val="0"/>
                    <w:rPr>
                      <w:rFonts w:hint="eastAsia"/>
                      <w:color w:val="auto"/>
                      <w:highlight w:val="none"/>
                    </w:rPr>
                  </w:pPr>
                  <w:r>
                    <w:rPr>
                      <w:rFonts w:hint="eastAsia"/>
                      <w:color w:val="auto"/>
                      <w:highlight w:val="none"/>
                      <w:lang w:val="en-US" w:eastAsia="zh-CN"/>
                    </w:rPr>
                    <w:t>废产品包装材料</w:t>
                  </w:r>
                </w:p>
              </w:tc>
              <w:tc>
                <w:tcPr>
                  <w:tcW w:w="651" w:type="pct"/>
                  <w:tcBorders>
                    <w:right w:val="double" w:color="auto" w:sz="4" w:space="0"/>
                  </w:tcBorders>
                  <w:shd w:val="clear" w:color="auto" w:fill="auto"/>
                  <w:noWrap/>
                  <w:vAlign w:val="center"/>
                </w:tcPr>
                <w:p w14:paraId="0E78D1FA">
                  <w:pPr>
                    <w:pStyle w:val="20"/>
                    <w:bidi w:val="0"/>
                    <w:rPr>
                      <w:rFonts w:hint="default"/>
                      <w:color w:val="auto"/>
                      <w:highlight w:val="none"/>
                      <w:lang w:val="en-US"/>
                    </w:rPr>
                  </w:pPr>
                  <w:r>
                    <w:rPr>
                      <w:rFonts w:hint="eastAsia"/>
                      <w:color w:val="auto"/>
                      <w:highlight w:val="none"/>
                      <w:lang w:val="en-US" w:eastAsia="zh-CN"/>
                    </w:rPr>
                    <w:t>0.255</w:t>
                  </w:r>
                </w:p>
              </w:tc>
              <w:tc>
                <w:tcPr>
                  <w:tcW w:w="469" w:type="pct"/>
                  <w:vMerge w:val="continue"/>
                  <w:tcBorders>
                    <w:left w:val="double" w:color="auto" w:sz="4" w:space="0"/>
                  </w:tcBorders>
                  <w:shd w:val="clear" w:color="auto" w:fill="auto"/>
                  <w:noWrap/>
                  <w:vAlign w:val="center"/>
                </w:tcPr>
                <w:p w14:paraId="3F1575DA">
                  <w:pPr>
                    <w:pStyle w:val="20"/>
                    <w:bidi w:val="0"/>
                    <w:rPr>
                      <w:rFonts w:hint="eastAsia"/>
                      <w:color w:val="auto"/>
                      <w:highlight w:val="none"/>
                      <w:lang w:val="en-US" w:eastAsia="zh-CN"/>
                    </w:rPr>
                  </w:pPr>
                </w:p>
              </w:tc>
              <w:tc>
                <w:tcPr>
                  <w:tcW w:w="1264" w:type="pct"/>
                  <w:shd w:val="clear" w:color="auto" w:fill="auto"/>
                  <w:noWrap/>
                  <w:vAlign w:val="center"/>
                </w:tcPr>
                <w:p w14:paraId="1AEE2D6D">
                  <w:pPr>
                    <w:pStyle w:val="20"/>
                    <w:bidi w:val="0"/>
                    <w:rPr>
                      <w:rFonts w:hint="eastAsia"/>
                      <w:color w:val="auto"/>
                      <w:highlight w:val="none"/>
                      <w:lang w:val="en-US" w:eastAsia="zh-CN"/>
                    </w:rPr>
                  </w:pPr>
                  <w:r>
                    <w:rPr>
                      <w:rFonts w:hint="eastAsia"/>
                      <w:color w:val="auto"/>
                      <w:highlight w:val="none"/>
                      <w:lang w:val="en-US" w:eastAsia="zh-CN"/>
                    </w:rPr>
                    <w:t>废零件（沾有油渍）</w:t>
                  </w:r>
                </w:p>
              </w:tc>
              <w:tc>
                <w:tcPr>
                  <w:tcW w:w="935" w:type="pct"/>
                  <w:shd w:val="clear" w:color="auto" w:fill="auto"/>
                  <w:noWrap/>
                  <w:vAlign w:val="center"/>
                </w:tcPr>
                <w:p w14:paraId="3FB8EBA7">
                  <w:pPr>
                    <w:pStyle w:val="20"/>
                    <w:bidi w:val="0"/>
                    <w:rPr>
                      <w:rFonts w:hint="default"/>
                      <w:color w:val="auto"/>
                      <w:highlight w:val="none"/>
                      <w:lang w:val="en-US" w:eastAsia="zh-CN"/>
                    </w:rPr>
                  </w:pPr>
                  <w:r>
                    <w:rPr>
                      <w:rFonts w:hint="eastAsia"/>
                      <w:color w:val="auto"/>
                      <w:highlight w:val="none"/>
                      <w:lang w:val="en-US" w:eastAsia="zh-CN"/>
                    </w:rPr>
                    <w:t>0.006</w:t>
                  </w:r>
                </w:p>
              </w:tc>
            </w:tr>
            <w:tr w14:paraId="37B9A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47" w:type="pct"/>
                  <w:vMerge w:val="continue"/>
                  <w:shd w:val="clear" w:color="auto" w:fill="auto"/>
                  <w:vAlign w:val="center"/>
                </w:tcPr>
                <w:p w14:paraId="5A5D4C8F">
                  <w:pPr>
                    <w:pStyle w:val="20"/>
                    <w:bidi w:val="0"/>
                    <w:rPr>
                      <w:rFonts w:hint="eastAsia"/>
                      <w:color w:val="auto"/>
                      <w:highlight w:val="none"/>
                      <w:lang w:val="en-US" w:eastAsia="zh-CN"/>
                    </w:rPr>
                  </w:pPr>
                </w:p>
              </w:tc>
              <w:tc>
                <w:tcPr>
                  <w:tcW w:w="1031" w:type="pct"/>
                  <w:shd w:val="clear" w:color="auto" w:fill="auto"/>
                  <w:vAlign w:val="center"/>
                </w:tcPr>
                <w:p w14:paraId="51662E55">
                  <w:pPr>
                    <w:pStyle w:val="20"/>
                    <w:bidi w:val="0"/>
                    <w:rPr>
                      <w:rFonts w:hint="eastAsia"/>
                      <w:color w:val="auto"/>
                      <w:highlight w:val="none"/>
                      <w:lang w:val="en-US" w:eastAsia="zh-CN"/>
                    </w:rPr>
                  </w:pPr>
                  <w:r>
                    <w:rPr>
                      <w:rFonts w:hint="eastAsia"/>
                      <w:color w:val="auto"/>
                      <w:highlight w:val="none"/>
                      <w:lang w:val="en-US" w:eastAsia="zh-CN"/>
                    </w:rPr>
                    <w:t>废零件（未沾染油渍）</w:t>
                  </w:r>
                </w:p>
              </w:tc>
              <w:tc>
                <w:tcPr>
                  <w:tcW w:w="651" w:type="pct"/>
                  <w:tcBorders>
                    <w:right w:val="double" w:color="auto" w:sz="4" w:space="0"/>
                  </w:tcBorders>
                  <w:shd w:val="clear" w:color="auto" w:fill="auto"/>
                  <w:noWrap/>
                  <w:vAlign w:val="center"/>
                </w:tcPr>
                <w:p w14:paraId="36A6368C">
                  <w:pPr>
                    <w:pStyle w:val="20"/>
                    <w:bidi w:val="0"/>
                    <w:rPr>
                      <w:rFonts w:hint="default"/>
                      <w:color w:val="auto"/>
                      <w:highlight w:val="none"/>
                      <w:lang w:val="en-US" w:eastAsia="zh-CN"/>
                    </w:rPr>
                  </w:pPr>
                  <w:r>
                    <w:rPr>
                      <w:rFonts w:hint="eastAsia"/>
                      <w:color w:val="auto"/>
                      <w:highlight w:val="none"/>
                      <w:lang w:val="en-US" w:eastAsia="zh-CN"/>
                    </w:rPr>
                    <w:t>0.006</w:t>
                  </w:r>
                </w:p>
              </w:tc>
              <w:tc>
                <w:tcPr>
                  <w:tcW w:w="469" w:type="pct"/>
                  <w:vMerge w:val="continue"/>
                  <w:tcBorders>
                    <w:left w:val="double" w:color="auto" w:sz="4" w:space="0"/>
                  </w:tcBorders>
                  <w:shd w:val="clear" w:color="auto" w:fill="auto"/>
                  <w:noWrap/>
                  <w:vAlign w:val="center"/>
                </w:tcPr>
                <w:p w14:paraId="0B240579">
                  <w:pPr>
                    <w:pStyle w:val="20"/>
                    <w:bidi w:val="0"/>
                    <w:rPr>
                      <w:rFonts w:hint="eastAsia"/>
                      <w:color w:val="auto"/>
                      <w:highlight w:val="none"/>
                      <w:lang w:val="en-US" w:eastAsia="zh-CN"/>
                    </w:rPr>
                  </w:pPr>
                </w:p>
              </w:tc>
              <w:tc>
                <w:tcPr>
                  <w:tcW w:w="1264" w:type="pct"/>
                  <w:shd w:val="clear" w:color="auto" w:fill="auto"/>
                  <w:noWrap/>
                  <w:vAlign w:val="center"/>
                </w:tcPr>
                <w:p w14:paraId="3530ED3F">
                  <w:pPr>
                    <w:pStyle w:val="20"/>
                    <w:bidi w:val="0"/>
                    <w:rPr>
                      <w:rFonts w:hint="default"/>
                      <w:color w:val="auto"/>
                      <w:highlight w:val="none"/>
                      <w:lang w:val="en-US" w:eastAsia="zh-CN"/>
                    </w:rPr>
                  </w:pPr>
                  <w:r>
                    <w:rPr>
                      <w:rFonts w:hint="eastAsia"/>
                      <w:color w:val="auto"/>
                      <w:highlight w:val="none"/>
                      <w:lang w:val="en-US" w:eastAsia="zh-CN"/>
                    </w:rPr>
                    <w:t>废脱模清洗剂瓶</w:t>
                  </w:r>
                </w:p>
              </w:tc>
              <w:tc>
                <w:tcPr>
                  <w:tcW w:w="935" w:type="pct"/>
                  <w:shd w:val="clear" w:color="auto" w:fill="auto"/>
                  <w:noWrap/>
                  <w:vAlign w:val="center"/>
                </w:tcPr>
                <w:p w14:paraId="7D74DF91">
                  <w:pPr>
                    <w:pStyle w:val="20"/>
                    <w:bidi w:val="0"/>
                    <w:rPr>
                      <w:rFonts w:hint="default"/>
                      <w:color w:val="auto"/>
                      <w:highlight w:val="none"/>
                      <w:lang w:val="en-US" w:eastAsia="zh-CN"/>
                    </w:rPr>
                  </w:pPr>
                  <w:r>
                    <w:rPr>
                      <w:rFonts w:hint="eastAsia"/>
                      <w:color w:val="auto"/>
                      <w:highlight w:val="none"/>
                      <w:lang w:val="en-US" w:eastAsia="zh-CN"/>
                    </w:rPr>
                    <w:t>0.0024</w:t>
                  </w:r>
                </w:p>
              </w:tc>
            </w:tr>
            <w:tr w14:paraId="57429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47" w:type="pct"/>
                  <w:shd w:val="clear" w:color="auto" w:fill="auto"/>
                  <w:vAlign w:val="center"/>
                </w:tcPr>
                <w:p w14:paraId="59984239">
                  <w:pPr>
                    <w:pStyle w:val="20"/>
                    <w:bidi w:val="0"/>
                    <w:rPr>
                      <w:rFonts w:hint="default"/>
                      <w:color w:val="auto"/>
                      <w:highlight w:val="none"/>
                      <w:lang w:val="en-US" w:eastAsia="zh-CN"/>
                    </w:rPr>
                  </w:pPr>
                  <w:r>
                    <w:rPr>
                      <w:rFonts w:hint="eastAsia"/>
                      <w:color w:val="auto"/>
                      <w:highlight w:val="none"/>
                      <w:lang w:val="en-US" w:eastAsia="zh-CN"/>
                    </w:rPr>
                    <w:t>生活垃圾</w:t>
                  </w:r>
                </w:p>
              </w:tc>
              <w:tc>
                <w:tcPr>
                  <w:tcW w:w="1031" w:type="pct"/>
                  <w:shd w:val="clear" w:color="auto" w:fill="auto"/>
                  <w:vAlign w:val="center"/>
                </w:tcPr>
                <w:p w14:paraId="620726D1">
                  <w:pPr>
                    <w:pStyle w:val="20"/>
                    <w:bidi w:val="0"/>
                    <w:rPr>
                      <w:rFonts w:hint="eastAsia"/>
                      <w:color w:val="auto"/>
                      <w:highlight w:val="none"/>
                      <w:lang w:val="en-US" w:eastAsia="zh-CN"/>
                    </w:rPr>
                  </w:pPr>
                  <w:r>
                    <w:rPr>
                      <w:rFonts w:hint="eastAsia"/>
                      <w:color w:val="auto"/>
                      <w:highlight w:val="none"/>
                      <w:lang w:val="en-US" w:eastAsia="zh-CN"/>
                    </w:rPr>
                    <w:t>生活垃圾</w:t>
                  </w:r>
                </w:p>
              </w:tc>
              <w:tc>
                <w:tcPr>
                  <w:tcW w:w="651" w:type="pct"/>
                  <w:tcBorders>
                    <w:right w:val="double" w:color="auto" w:sz="4" w:space="0"/>
                  </w:tcBorders>
                  <w:shd w:val="clear" w:color="auto" w:fill="auto"/>
                  <w:noWrap/>
                  <w:vAlign w:val="center"/>
                </w:tcPr>
                <w:p w14:paraId="23CF4AA7">
                  <w:pPr>
                    <w:pStyle w:val="20"/>
                    <w:bidi w:val="0"/>
                    <w:rPr>
                      <w:rFonts w:hint="default"/>
                      <w:color w:val="auto"/>
                      <w:highlight w:val="none"/>
                      <w:lang w:val="en-US" w:eastAsia="zh-CN"/>
                    </w:rPr>
                  </w:pPr>
                  <w:r>
                    <w:rPr>
                      <w:rFonts w:hint="eastAsia"/>
                      <w:color w:val="auto"/>
                      <w:highlight w:val="none"/>
                      <w:lang w:val="en-US" w:eastAsia="zh-CN"/>
                    </w:rPr>
                    <w:t>2.25</w:t>
                  </w:r>
                </w:p>
              </w:tc>
              <w:tc>
                <w:tcPr>
                  <w:tcW w:w="469" w:type="pct"/>
                  <w:vMerge w:val="continue"/>
                  <w:tcBorders>
                    <w:left w:val="double" w:color="auto" w:sz="4" w:space="0"/>
                  </w:tcBorders>
                  <w:shd w:val="clear" w:color="auto" w:fill="auto"/>
                  <w:noWrap/>
                  <w:vAlign w:val="center"/>
                </w:tcPr>
                <w:p w14:paraId="366AA1FF">
                  <w:pPr>
                    <w:pStyle w:val="20"/>
                    <w:bidi w:val="0"/>
                    <w:rPr>
                      <w:rFonts w:hint="eastAsia"/>
                      <w:color w:val="auto"/>
                      <w:highlight w:val="none"/>
                      <w:lang w:val="en-US" w:eastAsia="zh-CN"/>
                    </w:rPr>
                  </w:pPr>
                </w:p>
              </w:tc>
              <w:tc>
                <w:tcPr>
                  <w:tcW w:w="1264" w:type="pct"/>
                  <w:shd w:val="clear" w:color="auto" w:fill="auto"/>
                  <w:noWrap/>
                  <w:vAlign w:val="center"/>
                </w:tcPr>
                <w:p w14:paraId="40DC08A6">
                  <w:pPr>
                    <w:pStyle w:val="20"/>
                    <w:bidi w:val="0"/>
                    <w:rPr>
                      <w:rFonts w:hint="eastAsia"/>
                      <w:color w:val="auto"/>
                      <w:highlight w:val="none"/>
                      <w:lang w:val="en-US" w:eastAsia="zh-CN"/>
                    </w:rPr>
                  </w:pPr>
                  <w:r>
                    <w:rPr>
                      <w:rFonts w:hint="eastAsia"/>
                      <w:color w:val="auto"/>
                      <w:highlight w:val="none"/>
                      <w:lang w:val="en-US" w:eastAsia="zh-CN"/>
                    </w:rPr>
                    <w:t>空压机废油</w:t>
                  </w:r>
                </w:p>
              </w:tc>
              <w:tc>
                <w:tcPr>
                  <w:tcW w:w="935" w:type="pct"/>
                  <w:shd w:val="clear" w:color="auto" w:fill="auto"/>
                  <w:noWrap/>
                  <w:vAlign w:val="center"/>
                </w:tcPr>
                <w:p w14:paraId="0BB0EE50">
                  <w:pPr>
                    <w:pStyle w:val="20"/>
                    <w:bidi w:val="0"/>
                    <w:rPr>
                      <w:rFonts w:hint="default"/>
                      <w:color w:val="auto"/>
                      <w:highlight w:val="none"/>
                      <w:lang w:val="en-US" w:eastAsia="zh-CN"/>
                    </w:rPr>
                  </w:pPr>
                  <w:r>
                    <w:rPr>
                      <w:rFonts w:hint="eastAsia"/>
                      <w:color w:val="auto"/>
                      <w:highlight w:val="none"/>
                      <w:lang w:val="en-US" w:eastAsia="zh-CN"/>
                    </w:rPr>
                    <w:t>0.01</w:t>
                  </w:r>
                </w:p>
              </w:tc>
            </w:tr>
          </w:tbl>
          <w:p w14:paraId="56C15F73">
            <w:pPr>
              <w:pStyle w:val="2"/>
              <w:keepNext w:val="0"/>
              <w:keepLines w:val="0"/>
              <w:suppressLineNumbers w:val="0"/>
              <w:bidi w:val="0"/>
              <w:spacing w:beforeAutospacing="0" w:after="0" w:afterAutospacing="0"/>
              <w:ind w:right="0"/>
              <w:rPr>
                <w:rFonts w:hint="default" w:eastAsia="宋体"/>
                <w:color w:val="auto"/>
                <w:highlight w:val="none"/>
                <w:lang w:val="en-US" w:eastAsia="zh-CN"/>
              </w:rPr>
            </w:pPr>
            <w:r>
              <w:rPr>
                <w:rFonts w:hint="eastAsia" w:eastAsia="宋体"/>
                <w:color w:val="auto"/>
                <w:highlight w:val="none"/>
                <w:lang w:val="en-US" w:eastAsia="zh-CN"/>
              </w:rPr>
              <w:t>现有项目存在的环境问题及整改措施</w:t>
            </w:r>
          </w:p>
          <w:p w14:paraId="61301AFF">
            <w:pPr>
              <w:pStyle w:val="18"/>
              <w:rPr>
                <w:rFonts w:hint="default"/>
                <w:color w:val="auto"/>
                <w:highlight w:val="none"/>
                <w:lang w:val="en-US" w:eastAsia="zh-CN"/>
              </w:rPr>
            </w:pPr>
            <w:r>
              <w:rPr>
                <w:rFonts w:hint="eastAsia"/>
                <w:b w:val="0"/>
                <w:bCs w:val="0"/>
                <w:color w:val="auto"/>
                <w:highlight w:val="none"/>
                <w:lang w:val="en-US" w:eastAsia="zh-CN"/>
              </w:rPr>
              <w:t>1</w:t>
            </w:r>
            <w:r>
              <w:rPr>
                <w:rFonts w:hint="eastAsia"/>
                <w:b w:val="0"/>
                <w:bCs w:val="0"/>
                <w:color w:val="auto"/>
                <w:highlight w:val="none"/>
              </w:rPr>
              <w:t>）</w:t>
            </w:r>
            <w:r>
              <w:rPr>
                <w:rFonts w:hint="eastAsia"/>
                <w:b w:val="0"/>
                <w:bCs w:val="0"/>
                <w:color w:val="auto"/>
                <w:highlight w:val="none"/>
                <w:lang w:val="en-US" w:eastAsia="zh-CN"/>
              </w:rPr>
              <w:t>废气排放管理。</w:t>
            </w:r>
            <w:r>
              <w:rPr>
                <w:rFonts w:hint="eastAsia"/>
                <w:color w:val="auto"/>
                <w:highlight w:val="none"/>
                <w:lang w:val="en-US" w:eastAsia="zh-CN"/>
              </w:rPr>
              <w:t>当前废气污染物为无组织排放，应按照报告严格落实废气治理设施，于注塑机出料口上方设置集气罩，注塑废气（含清洗剂、脱模剂废气）收集后经过滤棉+UV光氧化+二级活性炭吸附装置处置后经一根15m高排气筒DA001排放。</w:t>
            </w:r>
          </w:p>
          <w:p w14:paraId="0A0C910E">
            <w:pPr>
              <w:pStyle w:val="18"/>
              <w:rPr>
                <w:rFonts w:hint="default"/>
                <w:color w:val="auto"/>
                <w:highlight w:val="none"/>
                <w:lang w:val="en-US" w:eastAsia="zh-CN"/>
              </w:rPr>
            </w:pPr>
            <w:r>
              <w:rPr>
                <w:rFonts w:hint="eastAsia"/>
                <w:color w:val="auto"/>
                <w:highlight w:val="none"/>
                <w:lang w:val="en-US" w:eastAsia="zh-CN"/>
              </w:rPr>
              <w:t>2）固体废物管理。现有项目一般固体废物于车间北侧楼梯间一般固废暂存间暂存，交物资回收单位处置，产生的危险废物于五金库房内危险废物贮存点暂存，项目扩建后，一般固体废物和危险废物增加幅度大，现有贮存设施无法满足固废贮存要求，于厂区北侧库房内设置贮存设施，严格按照报告提出的固废管理要求执行。</w:t>
            </w:r>
          </w:p>
          <w:p w14:paraId="1C148DEB">
            <w:pPr>
              <w:pStyle w:val="18"/>
              <w:bidi w:val="0"/>
              <w:rPr>
                <w:rFonts w:hint="eastAsia"/>
                <w:color w:val="auto"/>
                <w:highlight w:val="none"/>
                <w:lang w:eastAsia="zh-CN"/>
              </w:rPr>
            </w:pPr>
            <w:r>
              <w:rPr>
                <w:rFonts w:hint="eastAsia"/>
                <w:color w:val="auto"/>
                <w:highlight w:val="none"/>
                <w:lang w:val="en-US" w:eastAsia="zh-CN"/>
              </w:rPr>
              <w:t>3）进一步完善环境风险防范设施。现有项目油料间防渗设施欠缺，缺少应急物资，应进一步完善环境风险防范设施，五金备件库油料间、危险废物贮存点</w:t>
            </w:r>
            <w:r>
              <w:rPr>
                <w:rFonts w:hint="eastAsia"/>
                <w:color w:val="auto"/>
                <w:highlight w:val="none"/>
              </w:rPr>
              <w:t>重点防渗</w:t>
            </w:r>
            <w:r>
              <w:rPr>
                <w:rFonts w:hint="eastAsia"/>
                <w:color w:val="auto"/>
                <w:highlight w:val="none"/>
                <w:lang w:eastAsia="zh-CN"/>
              </w:rPr>
              <w:t>，</w:t>
            </w:r>
            <w:r>
              <w:rPr>
                <w:rFonts w:hint="eastAsia"/>
                <w:color w:val="auto"/>
                <w:highlight w:val="none"/>
              </w:rPr>
              <w:t>严禁烟火</w:t>
            </w:r>
            <w:r>
              <w:rPr>
                <w:rFonts w:hint="eastAsia"/>
                <w:color w:val="auto"/>
                <w:highlight w:val="none"/>
                <w:lang w:eastAsia="zh-CN"/>
              </w:rPr>
              <w:t>，</w:t>
            </w:r>
            <w:r>
              <w:rPr>
                <w:rFonts w:hint="eastAsia"/>
                <w:color w:val="auto"/>
                <w:highlight w:val="none"/>
                <w:lang w:val="en-US" w:eastAsia="zh-CN"/>
              </w:rPr>
              <w:t>做好消防设施</w:t>
            </w:r>
            <w:r>
              <w:rPr>
                <w:rFonts w:hint="eastAsia"/>
                <w:color w:val="auto"/>
                <w:highlight w:val="none"/>
                <w:lang w:eastAsia="zh-CN"/>
              </w:rPr>
              <w:t>，配备相应泄漏堵漏应急物资，个体防护物资以及泄漏吸附物资。</w:t>
            </w:r>
          </w:p>
          <w:p w14:paraId="7BDBD9D1">
            <w:pPr>
              <w:pStyle w:val="18"/>
              <w:bidi w:val="0"/>
              <w:rPr>
                <w:rFonts w:hint="eastAsia"/>
                <w:color w:val="auto"/>
                <w:highlight w:val="none"/>
                <w:lang w:eastAsia="zh-CN"/>
              </w:rPr>
            </w:pPr>
          </w:p>
          <w:p w14:paraId="49C5E7C9">
            <w:pPr>
              <w:pStyle w:val="18"/>
              <w:bidi w:val="0"/>
              <w:rPr>
                <w:rFonts w:hint="eastAsia"/>
                <w:color w:val="auto"/>
                <w:highlight w:val="none"/>
                <w:lang w:eastAsia="zh-CN"/>
              </w:rPr>
            </w:pPr>
          </w:p>
          <w:p w14:paraId="0BDE1202">
            <w:pPr>
              <w:pStyle w:val="18"/>
              <w:bidi w:val="0"/>
              <w:rPr>
                <w:rFonts w:hint="eastAsia"/>
                <w:color w:val="auto"/>
                <w:highlight w:val="none"/>
                <w:lang w:eastAsia="zh-CN"/>
              </w:rPr>
            </w:pPr>
          </w:p>
          <w:p w14:paraId="1D3027F7">
            <w:pPr>
              <w:pStyle w:val="18"/>
              <w:bidi w:val="0"/>
              <w:rPr>
                <w:rFonts w:hint="eastAsia"/>
                <w:color w:val="auto"/>
                <w:highlight w:val="none"/>
                <w:lang w:eastAsia="zh-CN"/>
              </w:rPr>
            </w:pPr>
          </w:p>
          <w:p w14:paraId="52A1993F">
            <w:pPr>
              <w:pStyle w:val="18"/>
              <w:bidi w:val="0"/>
              <w:rPr>
                <w:rFonts w:hint="eastAsia"/>
                <w:color w:val="auto"/>
                <w:highlight w:val="none"/>
                <w:lang w:eastAsia="zh-CN"/>
              </w:rPr>
            </w:pPr>
          </w:p>
          <w:p w14:paraId="540EECD3">
            <w:pPr>
              <w:pStyle w:val="18"/>
              <w:bidi w:val="0"/>
              <w:rPr>
                <w:rFonts w:hint="eastAsia"/>
                <w:color w:val="auto"/>
                <w:highlight w:val="none"/>
                <w:lang w:eastAsia="zh-CN"/>
              </w:rPr>
            </w:pPr>
          </w:p>
          <w:p w14:paraId="4EC11204">
            <w:pPr>
              <w:pStyle w:val="18"/>
              <w:bidi w:val="0"/>
              <w:rPr>
                <w:rFonts w:hint="eastAsia"/>
                <w:color w:val="auto"/>
                <w:highlight w:val="none"/>
                <w:lang w:eastAsia="zh-CN"/>
              </w:rPr>
            </w:pPr>
          </w:p>
          <w:p w14:paraId="63AFFA23">
            <w:pPr>
              <w:pStyle w:val="18"/>
              <w:bidi w:val="0"/>
              <w:rPr>
                <w:rFonts w:hint="eastAsia"/>
                <w:color w:val="auto"/>
                <w:highlight w:val="none"/>
                <w:lang w:eastAsia="zh-CN"/>
              </w:rPr>
            </w:pPr>
          </w:p>
          <w:p w14:paraId="3AF955FD">
            <w:pPr>
              <w:pStyle w:val="18"/>
              <w:bidi w:val="0"/>
              <w:rPr>
                <w:rFonts w:hint="eastAsia"/>
                <w:color w:val="auto"/>
                <w:highlight w:val="none"/>
                <w:lang w:eastAsia="zh-CN"/>
              </w:rPr>
            </w:pPr>
          </w:p>
          <w:p w14:paraId="1CB4A7CC">
            <w:pPr>
              <w:pStyle w:val="18"/>
              <w:bidi w:val="0"/>
              <w:rPr>
                <w:rFonts w:hint="eastAsia"/>
                <w:color w:val="auto"/>
                <w:highlight w:val="none"/>
                <w:lang w:eastAsia="zh-CN"/>
              </w:rPr>
            </w:pPr>
          </w:p>
        </w:tc>
      </w:tr>
    </w:tbl>
    <w:p w14:paraId="4FF026B1">
      <w:pPr>
        <w:rPr>
          <w:color w:val="auto"/>
          <w:highlight w:val="none"/>
        </w:rPr>
      </w:pPr>
    </w:p>
    <w:p w14:paraId="72F4933B">
      <w:pPr>
        <w:rPr>
          <w:color w:val="auto"/>
          <w:highlight w:val="none"/>
        </w:rPr>
        <w:sectPr>
          <w:pgSz w:w="11906" w:h="16838"/>
          <w:pgMar w:top="1440" w:right="1463" w:bottom="1440" w:left="1463" w:header="720" w:footer="720" w:gutter="0"/>
          <w:cols w:space="425" w:num="1"/>
          <w:docGrid w:type="lines" w:linePitch="312" w:charSpace="0"/>
        </w:sectPr>
      </w:pPr>
    </w:p>
    <w:p w14:paraId="29135BBE">
      <w:pPr>
        <w:spacing w:beforeLines="10" w:afterLines="10"/>
        <w:jc w:val="center"/>
        <w:outlineLvl w:val="0"/>
        <w:rPr>
          <w:rFonts w:eastAsia="黑体"/>
          <w:snapToGrid w:val="0"/>
          <w:color w:val="auto"/>
          <w:sz w:val="30"/>
          <w:szCs w:val="30"/>
          <w:highlight w:val="none"/>
        </w:rPr>
      </w:pPr>
      <w:r>
        <w:rPr>
          <w:rFonts w:hint="eastAsia" w:eastAsia="黑体"/>
          <w:snapToGrid w:val="0"/>
          <w:color w:val="auto"/>
          <w:sz w:val="30"/>
          <w:szCs w:val="30"/>
          <w:highlight w:val="none"/>
        </w:rPr>
        <w:t>三、区域环境质量现状、环境保护目标及评价标准</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37"/>
        <w:gridCol w:w="8457"/>
      </w:tblGrid>
      <w:tr w14:paraId="71E37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50" w:type="pct"/>
            <w:vAlign w:val="center"/>
          </w:tcPr>
          <w:p w14:paraId="793CB66B">
            <w:pPr>
              <w:pStyle w:val="24"/>
              <w:spacing w:before="93" w:after="93"/>
              <w:rPr>
                <w:rFonts w:cs="宋体"/>
                <w:b/>
                <w:bCs/>
                <w:color w:val="auto"/>
                <w:highlight w:val="none"/>
              </w:rPr>
            </w:pPr>
            <w:r>
              <w:rPr>
                <w:rFonts w:hint="eastAsia"/>
                <w:b/>
                <w:bCs/>
                <w:color w:val="auto"/>
                <w:highlight w:val="none"/>
              </w:rPr>
              <w:t>区域环境质量现状</w:t>
            </w:r>
          </w:p>
        </w:tc>
        <w:tc>
          <w:tcPr>
            <w:tcW w:w="4649" w:type="pct"/>
            <w:vAlign w:val="center"/>
          </w:tcPr>
          <w:p w14:paraId="6B1452BD">
            <w:pPr>
              <w:pStyle w:val="2"/>
              <w:numPr>
                <w:ilvl w:val="0"/>
                <w:numId w:val="6"/>
              </w:numPr>
              <w:spacing w:before="156"/>
              <w:rPr>
                <w:color w:val="auto"/>
                <w:highlight w:val="none"/>
              </w:rPr>
            </w:pPr>
            <w:r>
              <w:rPr>
                <w:rFonts w:hint="eastAsia"/>
                <w:color w:val="auto"/>
                <w:highlight w:val="none"/>
              </w:rPr>
              <w:t>大气环境质量现状</w:t>
            </w:r>
          </w:p>
          <w:p w14:paraId="33C260D5">
            <w:pPr>
              <w:pStyle w:val="18"/>
              <w:rPr>
                <w:color w:val="auto"/>
                <w:highlight w:val="none"/>
              </w:rPr>
            </w:pPr>
            <w:r>
              <w:rPr>
                <w:rFonts w:hint="eastAsia"/>
                <w:color w:val="auto"/>
                <w:highlight w:val="none"/>
              </w:rPr>
              <w:t>根据《重庆市环境空气质量功能区划分规定》（渝府发〔2016〕19号），项目所在区域环境空气质量功能属二类区域，环境空气执行《环境空气质量标准》（GB3095-2012）二级标准；</w:t>
            </w:r>
            <w:r>
              <w:rPr>
                <w:rFonts w:hint="eastAsia"/>
                <w:color w:val="auto"/>
                <w:highlight w:val="none"/>
                <w:lang w:val="en-US" w:eastAsia="zh-CN"/>
              </w:rPr>
              <w:t>特征因子</w:t>
            </w:r>
            <w:r>
              <w:rPr>
                <w:rFonts w:hint="eastAsia"/>
                <w:color w:val="auto"/>
                <w:highlight w:val="none"/>
              </w:rPr>
              <w:t>非甲烷总烃参照执行河北省地方标准《环境空气质量 非甲烷总烃限值》（DB13/1577-2012）中二级标准限值。</w:t>
            </w:r>
          </w:p>
          <w:p w14:paraId="6F6E47FD">
            <w:pPr>
              <w:pStyle w:val="3"/>
              <w:ind w:firstLine="482"/>
              <w:rPr>
                <w:color w:val="auto"/>
                <w:highlight w:val="none"/>
              </w:rPr>
            </w:pPr>
            <w:r>
              <w:rPr>
                <w:rFonts w:hint="eastAsia"/>
                <w:color w:val="auto"/>
                <w:highlight w:val="none"/>
              </w:rPr>
              <w:t>1）空气质量达标区判断</w:t>
            </w:r>
          </w:p>
          <w:p w14:paraId="39984107">
            <w:pPr>
              <w:pStyle w:val="18"/>
              <w:rPr>
                <w:color w:val="auto"/>
                <w:highlight w:val="none"/>
              </w:rPr>
            </w:pPr>
            <w:r>
              <w:rPr>
                <w:color w:val="auto"/>
                <w:highlight w:val="none"/>
              </w:rPr>
              <w:t>根据《建设项目环境影响报告表编制技术指南（污染影响类）（试行）》，区域大气环境质量现状可采用生态环境主管部门公开发布的质量数据，故本项 目环境空气质量达标情况判定采用</w:t>
            </w:r>
            <w:r>
              <w:rPr>
                <w:rFonts w:hint="default"/>
                <w:color w:val="auto"/>
                <w:highlight w:val="none"/>
                <w:lang w:val="en-US" w:eastAsia="zh-CN"/>
              </w:rPr>
              <w:t>202</w:t>
            </w:r>
            <w:r>
              <w:rPr>
                <w:rFonts w:hint="eastAsia"/>
                <w:color w:val="auto"/>
                <w:highlight w:val="none"/>
                <w:lang w:val="en-US" w:eastAsia="zh-CN"/>
              </w:rPr>
              <w:t>5</w:t>
            </w:r>
            <w:r>
              <w:rPr>
                <w:rFonts w:hint="default"/>
                <w:color w:val="auto"/>
                <w:highlight w:val="none"/>
                <w:lang w:val="en-US" w:eastAsia="zh-CN"/>
              </w:rPr>
              <w:t>年</w:t>
            </w:r>
            <w:r>
              <w:rPr>
                <w:rFonts w:hint="eastAsia"/>
                <w:color w:val="auto"/>
                <w:highlight w:val="none"/>
                <w:lang w:val="en-US" w:eastAsia="zh-CN"/>
              </w:rPr>
              <w:t>5</w:t>
            </w:r>
            <w:r>
              <w:rPr>
                <w:rFonts w:hint="default"/>
                <w:color w:val="auto"/>
                <w:highlight w:val="none"/>
                <w:lang w:val="en-US" w:eastAsia="zh-CN"/>
              </w:rPr>
              <w:t>月</w:t>
            </w:r>
            <w:r>
              <w:rPr>
                <w:rFonts w:hint="eastAsia"/>
                <w:color w:val="auto"/>
                <w:highlight w:val="none"/>
                <w:lang w:val="en-US" w:eastAsia="zh-CN"/>
              </w:rPr>
              <w:t>30日</w:t>
            </w:r>
            <w:r>
              <w:rPr>
                <w:rFonts w:hint="default"/>
                <w:color w:val="auto"/>
                <w:highlight w:val="none"/>
                <w:lang w:val="en-US" w:eastAsia="zh-CN"/>
              </w:rPr>
              <w:t>发布的《202</w:t>
            </w:r>
            <w:r>
              <w:rPr>
                <w:rFonts w:hint="eastAsia"/>
                <w:color w:val="auto"/>
                <w:highlight w:val="none"/>
                <w:lang w:val="en-US" w:eastAsia="zh-CN"/>
              </w:rPr>
              <w:t>4</w:t>
            </w:r>
            <w:r>
              <w:rPr>
                <w:rFonts w:hint="default"/>
                <w:color w:val="auto"/>
                <w:highlight w:val="none"/>
                <w:lang w:val="en-US" w:eastAsia="zh-CN"/>
              </w:rPr>
              <w:t>年重庆市生态环境状况公报》</w:t>
            </w:r>
            <w:r>
              <w:rPr>
                <w:color w:val="auto"/>
                <w:highlight w:val="none"/>
              </w:rPr>
              <w:t>中九龙坡区的数据。监测数据见</w:t>
            </w:r>
            <w:r>
              <w:rPr>
                <w:color w:val="auto"/>
                <w:highlight w:val="none"/>
              </w:rPr>
              <w:fldChar w:fldCharType="begin"/>
            </w:r>
            <w:r>
              <w:rPr>
                <w:color w:val="auto"/>
                <w:highlight w:val="none"/>
              </w:rPr>
              <w:instrText xml:space="preserve"> REF _Ref19980 \h </w:instrText>
            </w:r>
            <w:r>
              <w:rPr>
                <w:color w:val="auto"/>
                <w:highlight w:val="none"/>
              </w:rPr>
              <w:fldChar w:fldCharType="separate"/>
            </w:r>
            <w:r>
              <w:rPr>
                <w:color w:val="auto"/>
                <w:highlight w:val="none"/>
              </w:rPr>
              <w:t>表3-1</w:t>
            </w:r>
            <w:r>
              <w:rPr>
                <w:color w:val="auto"/>
                <w:highlight w:val="none"/>
              </w:rPr>
              <w:fldChar w:fldCharType="end"/>
            </w:r>
            <w:r>
              <w:rPr>
                <w:color w:val="auto"/>
                <w:highlight w:val="none"/>
              </w:rPr>
              <w:t>。</w:t>
            </w:r>
          </w:p>
          <w:p w14:paraId="41B04799">
            <w:pPr>
              <w:pStyle w:val="19"/>
              <w:spacing w:before="156"/>
              <w:rPr>
                <w:color w:val="auto"/>
                <w:highlight w:val="none"/>
              </w:rPr>
            </w:pPr>
            <w:bookmarkStart w:id="24" w:name="_Ref19980"/>
            <w:r>
              <w:rPr>
                <w:color w:val="auto"/>
                <w:highlight w:val="none"/>
              </w:rPr>
              <w:t>表3-</w:t>
            </w:r>
            <w:r>
              <w:rPr>
                <w:color w:val="auto"/>
                <w:highlight w:val="none"/>
              </w:rPr>
              <w:fldChar w:fldCharType="begin"/>
            </w:r>
            <w:r>
              <w:rPr>
                <w:color w:val="auto"/>
                <w:highlight w:val="none"/>
              </w:rPr>
              <w:instrText xml:space="preserve"> SEQ 表3- \* ARABIC </w:instrText>
            </w:r>
            <w:r>
              <w:rPr>
                <w:color w:val="auto"/>
                <w:highlight w:val="none"/>
              </w:rPr>
              <w:fldChar w:fldCharType="separate"/>
            </w:r>
            <w:r>
              <w:rPr>
                <w:color w:val="auto"/>
                <w:highlight w:val="none"/>
              </w:rPr>
              <w:t>1</w:t>
            </w:r>
            <w:r>
              <w:rPr>
                <w:color w:val="auto"/>
                <w:highlight w:val="none"/>
              </w:rPr>
              <w:fldChar w:fldCharType="end"/>
            </w:r>
            <w:bookmarkEnd w:id="24"/>
            <w:r>
              <w:rPr>
                <w:rFonts w:hint="eastAsia"/>
                <w:color w:val="auto"/>
                <w:highlight w:val="none"/>
              </w:rPr>
              <w:t xml:space="preserve"> 区域空气质量现状评价表 单位</w:t>
            </w:r>
            <w:r>
              <w:rPr>
                <w:color w:val="auto"/>
                <w:highlight w:val="none"/>
              </w:rPr>
              <w:t>μg</w:t>
            </w:r>
            <w:r>
              <w:rPr>
                <w:rFonts w:hint="eastAsia"/>
                <w:color w:val="auto"/>
                <w:highlight w:val="none"/>
              </w:rPr>
              <w:t>/m</w:t>
            </w:r>
            <w:r>
              <w:rPr>
                <w:rFonts w:hint="eastAsia"/>
                <w:color w:val="auto"/>
                <w:highlight w:val="none"/>
                <w:vertAlign w:val="superscript"/>
              </w:rPr>
              <w:t>3</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553"/>
              <w:gridCol w:w="2435"/>
              <w:gridCol w:w="1123"/>
              <w:gridCol w:w="1050"/>
              <w:gridCol w:w="1123"/>
              <w:gridCol w:w="1046"/>
            </w:tblGrid>
            <w:tr w14:paraId="58F8A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932" w:type="pct"/>
                  <w:tcBorders>
                    <w:tl2br w:val="nil"/>
                    <w:tr2bl w:val="nil"/>
                  </w:tcBorders>
                  <w:vAlign w:val="center"/>
                </w:tcPr>
                <w:p w14:paraId="30D0D7B0">
                  <w:pPr>
                    <w:pStyle w:val="20"/>
                    <w:spacing w:before="31"/>
                    <w:rPr>
                      <w:b/>
                      <w:bCs/>
                      <w:color w:val="auto"/>
                      <w:highlight w:val="none"/>
                    </w:rPr>
                  </w:pPr>
                  <w:r>
                    <w:rPr>
                      <w:rFonts w:hint="eastAsia"/>
                      <w:b/>
                      <w:bCs/>
                      <w:color w:val="auto"/>
                      <w:highlight w:val="none"/>
                    </w:rPr>
                    <w:t>污染物</w:t>
                  </w:r>
                </w:p>
              </w:tc>
              <w:tc>
                <w:tcPr>
                  <w:tcW w:w="1461" w:type="pct"/>
                  <w:tcBorders>
                    <w:tl2br w:val="nil"/>
                    <w:tr2bl w:val="nil"/>
                  </w:tcBorders>
                  <w:vAlign w:val="center"/>
                </w:tcPr>
                <w:p w14:paraId="2C9154AE">
                  <w:pPr>
                    <w:pStyle w:val="20"/>
                    <w:spacing w:before="31"/>
                    <w:rPr>
                      <w:b/>
                      <w:bCs/>
                      <w:color w:val="auto"/>
                      <w:highlight w:val="none"/>
                    </w:rPr>
                  </w:pPr>
                  <w:r>
                    <w:rPr>
                      <w:rFonts w:hint="eastAsia"/>
                      <w:b/>
                      <w:bCs/>
                      <w:color w:val="auto"/>
                      <w:highlight w:val="none"/>
                    </w:rPr>
                    <w:t>年评价指标</w:t>
                  </w:r>
                </w:p>
              </w:tc>
              <w:tc>
                <w:tcPr>
                  <w:tcW w:w="674" w:type="pct"/>
                  <w:tcBorders>
                    <w:tl2br w:val="nil"/>
                    <w:tr2bl w:val="nil"/>
                  </w:tcBorders>
                  <w:vAlign w:val="center"/>
                </w:tcPr>
                <w:p w14:paraId="5B97044C">
                  <w:pPr>
                    <w:pStyle w:val="20"/>
                    <w:spacing w:before="31"/>
                    <w:rPr>
                      <w:b/>
                      <w:bCs/>
                      <w:color w:val="auto"/>
                      <w:highlight w:val="none"/>
                    </w:rPr>
                  </w:pPr>
                  <w:r>
                    <w:rPr>
                      <w:rFonts w:hint="eastAsia"/>
                      <w:b/>
                      <w:bCs/>
                      <w:color w:val="auto"/>
                      <w:highlight w:val="none"/>
                    </w:rPr>
                    <w:t>现状浓度</w:t>
                  </w:r>
                </w:p>
              </w:tc>
              <w:tc>
                <w:tcPr>
                  <w:tcW w:w="630" w:type="pct"/>
                  <w:tcBorders>
                    <w:tl2br w:val="nil"/>
                    <w:tr2bl w:val="nil"/>
                  </w:tcBorders>
                  <w:vAlign w:val="center"/>
                </w:tcPr>
                <w:p w14:paraId="220A6FC9">
                  <w:pPr>
                    <w:pStyle w:val="20"/>
                    <w:spacing w:before="31"/>
                    <w:rPr>
                      <w:b/>
                      <w:bCs/>
                      <w:color w:val="auto"/>
                      <w:highlight w:val="none"/>
                    </w:rPr>
                  </w:pPr>
                  <w:r>
                    <w:rPr>
                      <w:rFonts w:hint="eastAsia"/>
                      <w:b/>
                      <w:bCs/>
                      <w:color w:val="auto"/>
                      <w:highlight w:val="none"/>
                    </w:rPr>
                    <w:t>标准值</w:t>
                  </w:r>
                </w:p>
              </w:tc>
              <w:tc>
                <w:tcPr>
                  <w:tcW w:w="674" w:type="pct"/>
                  <w:tcBorders>
                    <w:tl2br w:val="nil"/>
                    <w:tr2bl w:val="nil"/>
                  </w:tcBorders>
                  <w:vAlign w:val="center"/>
                </w:tcPr>
                <w:p w14:paraId="6FE37999">
                  <w:pPr>
                    <w:pStyle w:val="20"/>
                    <w:spacing w:before="31"/>
                    <w:rPr>
                      <w:b/>
                      <w:bCs/>
                      <w:color w:val="auto"/>
                      <w:highlight w:val="none"/>
                    </w:rPr>
                  </w:pPr>
                  <w:r>
                    <w:rPr>
                      <w:rFonts w:hint="eastAsia"/>
                      <w:b/>
                      <w:bCs/>
                      <w:color w:val="auto"/>
                      <w:highlight w:val="none"/>
                    </w:rPr>
                    <w:t>占标率%</w:t>
                  </w:r>
                </w:p>
              </w:tc>
              <w:tc>
                <w:tcPr>
                  <w:tcW w:w="627" w:type="pct"/>
                  <w:tcBorders>
                    <w:tl2br w:val="nil"/>
                    <w:tr2bl w:val="nil"/>
                  </w:tcBorders>
                  <w:vAlign w:val="center"/>
                </w:tcPr>
                <w:p w14:paraId="1B7C73EF">
                  <w:pPr>
                    <w:pStyle w:val="20"/>
                    <w:spacing w:before="31"/>
                    <w:rPr>
                      <w:b/>
                      <w:bCs/>
                      <w:color w:val="auto"/>
                      <w:highlight w:val="none"/>
                    </w:rPr>
                  </w:pPr>
                  <w:r>
                    <w:rPr>
                      <w:rFonts w:hint="eastAsia"/>
                      <w:b/>
                      <w:bCs/>
                      <w:color w:val="auto"/>
                      <w:highlight w:val="none"/>
                    </w:rPr>
                    <w:t>达标情况</w:t>
                  </w:r>
                </w:p>
              </w:tc>
            </w:tr>
            <w:tr w14:paraId="5CEDB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32" w:type="pct"/>
                  <w:tcBorders>
                    <w:tl2br w:val="nil"/>
                    <w:tr2bl w:val="nil"/>
                  </w:tcBorders>
                  <w:vAlign w:val="center"/>
                </w:tcPr>
                <w:p w14:paraId="0A27BFCB">
                  <w:pPr>
                    <w:pStyle w:val="20"/>
                    <w:spacing w:before="31"/>
                    <w:rPr>
                      <w:color w:val="auto"/>
                      <w:highlight w:val="none"/>
                    </w:rPr>
                  </w:pPr>
                  <w:r>
                    <w:rPr>
                      <w:rFonts w:hint="eastAsia"/>
                      <w:color w:val="auto"/>
                      <w:highlight w:val="none"/>
                    </w:rPr>
                    <w:t>PM</w:t>
                  </w:r>
                  <w:r>
                    <w:rPr>
                      <w:rFonts w:hint="eastAsia"/>
                      <w:color w:val="auto"/>
                      <w:highlight w:val="none"/>
                      <w:vertAlign w:val="subscript"/>
                    </w:rPr>
                    <w:t>2.5</w:t>
                  </w:r>
                </w:p>
              </w:tc>
              <w:tc>
                <w:tcPr>
                  <w:tcW w:w="1461" w:type="pct"/>
                  <w:vMerge w:val="restart"/>
                  <w:tcBorders>
                    <w:tl2br w:val="nil"/>
                    <w:tr2bl w:val="nil"/>
                  </w:tcBorders>
                  <w:vAlign w:val="center"/>
                </w:tcPr>
                <w:p w14:paraId="35CB41C2">
                  <w:pPr>
                    <w:pStyle w:val="20"/>
                    <w:spacing w:before="31"/>
                    <w:rPr>
                      <w:color w:val="auto"/>
                      <w:highlight w:val="none"/>
                    </w:rPr>
                  </w:pPr>
                  <w:r>
                    <w:rPr>
                      <w:rFonts w:hint="eastAsia"/>
                      <w:color w:val="auto"/>
                      <w:highlight w:val="none"/>
                    </w:rPr>
                    <w:t>年均质量浓度</w:t>
                  </w:r>
                </w:p>
              </w:tc>
              <w:tc>
                <w:tcPr>
                  <w:tcW w:w="674" w:type="pct"/>
                  <w:tcBorders>
                    <w:tl2br w:val="nil"/>
                    <w:tr2bl w:val="nil"/>
                  </w:tcBorders>
                  <w:vAlign w:val="center"/>
                </w:tcPr>
                <w:p w14:paraId="6B79A296">
                  <w:pPr>
                    <w:pStyle w:val="20"/>
                    <w:spacing w:before="31"/>
                    <w:rPr>
                      <w:rFonts w:hint="default" w:eastAsia="宋体"/>
                      <w:color w:val="auto"/>
                      <w:highlight w:val="none"/>
                      <w:lang w:val="en-US" w:eastAsia="zh-CN"/>
                    </w:rPr>
                  </w:pPr>
                  <w:r>
                    <w:rPr>
                      <w:rFonts w:hint="eastAsia"/>
                      <w:color w:val="auto"/>
                      <w:highlight w:val="none"/>
                      <w:lang w:val="en-US" w:eastAsia="zh-CN"/>
                    </w:rPr>
                    <w:t>32.3</w:t>
                  </w:r>
                </w:p>
              </w:tc>
              <w:tc>
                <w:tcPr>
                  <w:tcW w:w="630" w:type="pct"/>
                  <w:tcBorders>
                    <w:tl2br w:val="nil"/>
                    <w:tr2bl w:val="nil"/>
                  </w:tcBorders>
                  <w:vAlign w:val="center"/>
                </w:tcPr>
                <w:p w14:paraId="27B0D4FB">
                  <w:pPr>
                    <w:pStyle w:val="20"/>
                    <w:spacing w:before="31"/>
                    <w:rPr>
                      <w:color w:val="auto"/>
                      <w:highlight w:val="none"/>
                    </w:rPr>
                  </w:pPr>
                  <w:r>
                    <w:rPr>
                      <w:rFonts w:hint="eastAsia"/>
                      <w:color w:val="auto"/>
                      <w:highlight w:val="none"/>
                    </w:rPr>
                    <w:t>35</w:t>
                  </w:r>
                </w:p>
              </w:tc>
              <w:tc>
                <w:tcPr>
                  <w:tcW w:w="674" w:type="pct"/>
                  <w:tcBorders>
                    <w:tl2br w:val="nil"/>
                    <w:tr2bl w:val="nil"/>
                  </w:tcBorders>
                  <w:vAlign w:val="center"/>
                </w:tcPr>
                <w:p w14:paraId="0A06316B">
                  <w:pPr>
                    <w:pStyle w:val="20"/>
                    <w:spacing w:before="31"/>
                    <w:rPr>
                      <w:rFonts w:hint="default" w:eastAsia="宋体"/>
                      <w:color w:val="auto"/>
                      <w:highlight w:val="none"/>
                      <w:lang w:val="en-US" w:eastAsia="zh-CN"/>
                    </w:rPr>
                  </w:pPr>
                  <w:r>
                    <w:rPr>
                      <w:rFonts w:hint="eastAsia"/>
                      <w:color w:val="auto"/>
                      <w:highlight w:val="none"/>
                      <w:lang w:val="en-US" w:eastAsia="zh-CN"/>
                    </w:rPr>
                    <w:t>92.3</w:t>
                  </w:r>
                </w:p>
              </w:tc>
              <w:tc>
                <w:tcPr>
                  <w:tcW w:w="627" w:type="pct"/>
                  <w:tcBorders>
                    <w:tl2br w:val="nil"/>
                    <w:tr2bl w:val="nil"/>
                  </w:tcBorders>
                  <w:vAlign w:val="center"/>
                </w:tcPr>
                <w:p w14:paraId="07D4E7DE">
                  <w:pPr>
                    <w:pStyle w:val="20"/>
                    <w:spacing w:before="31"/>
                    <w:rPr>
                      <w:color w:val="auto"/>
                      <w:highlight w:val="none"/>
                    </w:rPr>
                  </w:pPr>
                  <w:r>
                    <w:rPr>
                      <w:rFonts w:hint="eastAsia"/>
                      <w:color w:val="auto"/>
                      <w:highlight w:val="none"/>
                    </w:rPr>
                    <w:t>达标</w:t>
                  </w:r>
                </w:p>
              </w:tc>
            </w:tr>
            <w:tr w14:paraId="6855F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32" w:type="pct"/>
                  <w:tcBorders>
                    <w:tl2br w:val="nil"/>
                    <w:tr2bl w:val="nil"/>
                  </w:tcBorders>
                  <w:vAlign w:val="center"/>
                </w:tcPr>
                <w:p w14:paraId="059234C3">
                  <w:pPr>
                    <w:pStyle w:val="20"/>
                    <w:spacing w:before="31"/>
                    <w:rPr>
                      <w:color w:val="auto"/>
                      <w:highlight w:val="none"/>
                    </w:rPr>
                  </w:pPr>
                  <w:r>
                    <w:rPr>
                      <w:rFonts w:hint="eastAsia"/>
                      <w:color w:val="auto"/>
                      <w:highlight w:val="none"/>
                    </w:rPr>
                    <w:t>SO</w:t>
                  </w:r>
                  <w:r>
                    <w:rPr>
                      <w:rFonts w:hint="eastAsia"/>
                      <w:color w:val="auto"/>
                      <w:highlight w:val="none"/>
                      <w:vertAlign w:val="subscript"/>
                    </w:rPr>
                    <w:t>2</w:t>
                  </w:r>
                </w:p>
              </w:tc>
              <w:tc>
                <w:tcPr>
                  <w:tcW w:w="1461" w:type="pct"/>
                  <w:vMerge w:val="continue"/>
                  <w:tcBorders>
                    <w:tl2br w:val="nil"/>
                    <w:tr2bl w:val="nil"/>
                  </w:tcBorders>
                  <w:vAlign w:val="center"/>
                </w:tcPr>
                <w:p w14:paraId="52B38177">
                  <w:pPr>
                    <w:pStyle w:val="20"/>
                    <w:spacing w:before="31"/>
                    <w:rPr>
                      <w:color w:val="auto"/>
                      <w:highlight w:val="none"/>
                    </w:rPr>
                  </w:pPr>
                </w:p>
              </w:tc>
              <w:tc>
                <w:tcPr>
                  <w:tcW w:w="674" w:type="pct"/>
                  <w:tcBorders>
                    <w:tl2br w:val="nil"/>
                    <w:tr2bl w:val="nil"/>
                  </w:tcBorders>
                  <w:vAlign w:val="center"/>
                </w:tcPr>
                <w:p w14:paraId="7B241FD4">
                  <w:pPr>
                    <w:pStyle w:val="20"/>
                    <w:spacing w:before="31"/>
                    <w:rPr>
                      <w:color w:val="auto"/>
                      <w:highlight w:val="none"/>
                    </w:rPr>
                  </w:pPr>
                  <w:r>
                    <w:rPr>
                      <w:rFonts w:hint="eastAsia"/>
                      <w:color w:val="auto"/>
                      <w:highlight w:val="none"/>
                    </w:rPr>
                    <w:t>8</w:t>
                  </w:r>
                </w:p>
              </w:tc>
              <w:tc>
                <w:tcPr>
                  <w:tcW w:w="630" w:type="pct"/>
                  <w:tcBorders>
                    <w:tl2br w:val="nil"/>
                    <w:tr2bl w:val="nil"/>
                  </w:tcBorders>
                  <w:vAlign w:val="center"/>
                </w:tcPr>
                <w:p w14:paraId="7091C5DB">
                  <w:pPr>
                    <w:pStyle w:val="20"/>
                    <w:spacing w:before="31"/>
                    <w:rPr>
                      <w:color w:val="auto"/>
                      <w:highlight w:val="none"/>
                    </w:rPr>
                  </w:pPr>
                  <w:r>
                    <w:rPr>
                      <w:rFonts w:hint="eastAsia"/>
                      <w:color w:val="auto"/>
                      <w:highlight w:val="none"/>
                    </w:rPr>
                    <w:t>60</w:t>
                  </w:r>
                </w:p>
              </w:tc>
              <w:tc>
                <w:tcPr>
                  <w:tcW w:w="674" w:type="pct"/>
                  <w:tcBorders>
                    <w:tl2br w:val="nil"/>
                    <w:tr2bl w:val="nil"/>
                  </w:tcBorders>
                  <w:vAlign w:val="center"/>
                </w:tcPr>
                <w:p w14:paraId="542715A3">
                  <w:pPr>
                    <w:pStyle w:val="20"/>
                    <w:spacing w:before="31"/>
                    <w:rPr>
                      <w:color w:val="auto"/>
                      <w:highlight w:val="none"/>
                    </w:rPr>
                  </w:pPr>
                  <w:r>
                    <w:rPr>
                      <w:rFonts w:hint="eastAsia"/>
                      <w:color w:val="auto"/>
                      <w:highlight w:val="none"/>
                    </w:rPr>
                    <w:t>13.3</w:t>
                  </w:r>
                </w:p>
              </w:tc>
              <w:tc>
                <w:tcPr>
                  <w:tcW w:w="627" w:type="pct"/>
                  <w:tcBorders>
                    <w:tl2br w:val="nil"/>
                    <w:tr2bl w:val="nil"/>
                  </w:tcBorders>
                  <w:vAlign w:val="center"/>
                </w:tcPr>
                <w:p w14:paraId="55120A5C">
                  <w:pPr>
                    <w:pStyle w:val="20"/>
                    <w:spacing w:before="31"/>
                    <w:rPr>
                      <w:color w:val="auto"/>
                      <w:highlight w:val="none"/>
                    </w:rPr>
                  </w:pPr>
                  <w:r>
                    <w:rPr>
                      <w:rFonts w:hint="eastAsia"/>
                      <w:color w:val="auto"/>
                      <w:highlight w:val="none"/>
                    </w:rPr>
                    <w:t>达标</w:t>
                  </w:r>
                </w:p>
              </w:tc>
            </w:tr>
            <w:tr w14:paraId="5CEB0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32" w:type="pct"/>
                  <w:tcBorders>
                    <w:tl2br w:val="nil"/>
                    <w:tr2bl w:val="nil"/>
                  </w:tcBorders>
                  <w:vAlign w:val="center"/>
                </w:tcPr>
                <w:p w14:paraId="29E3A1D2">
                  <w:pPr>
                    <w:pStyle w:val="20"/>
                    <w:spacing w:before="31"/>
                    <w:rPr>
                      <w:color w:val="auto"/>
                      <w:highlight w:val="none"/>
                    </w:rPr>
                  </w:pPr>
                  <w:r>
                    <w:rPr>
                      <w:rFonts w:hint="eastAsia"/>
                      <w:color w:val="auto"/>
                      <w:highlight w:val="none"/>
                    </w:rPr>
                    <w:t>NO</w:t>
                  </w:r>
                  <w:r>
                    <w:rPr>
                      <w:rFonts w:hint="eastAsia"/>
                      <w:color w:val="auto"/>
                      <w:highlight w:val="none"/>
                      <w:vertAlign w:val="subscript"/>
                    </w:rPr>
                    <w:t>2</w:t>
                  </w:r>
                </w:p>
              </w:tc>
              <w:tc>
                <w:tcPr>
                  <w:tcW w:w="1461" w:type="pct"/>
                  <w:vMerge w:val="continue"/>
                  <w:tcBorders>
                    <w:tl2br w:val="nil"/>
                    <w:tr2bl w:val="nil"/>
                  </w:tcBorders>
                  <w:vAlign w:val="center"/>
                </w:tcPr>
                <w:p w14:paraId="11B1C2B1">
                  <w:pPr>
                    <w:pStyle w:val="20"/>
                    <w:spacing w:before="31"/>
                    <w:rPr>
                      <w:color w:val="auto"/>
                      <w:highlight w:val="none"/>
                    </w:rPr>
                  </w:pPr>
                </w:p>
              </w:tc>
              <w:tc>
                <w:tcPr>
                  <w:tcW w:w="674" w:type="pct"/>
                  <w:tcBorders>
                    <w:tl2br w:val="nil"/>
                    <w:tr2bl w:val="nil"/>
                  </w:tcBorders>
                  <w:vAlign w:val="center"/>
                </w:tcPr>
                <w:p w14:paraId="3099EB98">
                  <w:pPr>
                    <w:pStyle w:val="20"/>
                    <w:spacing w:before="31"/>
                    <w:rPr>
                      <w:rFonts w:hint="default" w:eastAsia="宋体"/>
                      <w:color w:val="auto"/>
                      <w:highlight w:val="none"/>
                      <w:lang w:val="en-US" w:eastAsia="zh-CN"/>
                    </w:rPr>
                  </w:pPr>
                  <w:r>
                    <w:rPr>
                      <w:rFonts w:hint="eastAsia"/>
                      <w:color w:val="auto"/>
                      <w:highlight w:val="none"/>
                      <w:lang w:val="en-US" w:eastAsia="zh-CN"/>
                    </w:rPr>
                    <w:t>34</w:t>
                  </w:r>
                </w:p>
              </w:tc>
              <w:tc>
                <w:tcPr>
                  <w:tcW w:w="630" w:type="pct"/>
                  <w:tcBorders>
                    <w:tl2br w:val="nil"/>
                    <w:tr2bl w:val="nil"/>
                  </w:tcBorders>
                  <w:vAlign w:val="center"/>
                </w:tcPr>
                <w:p w14:paraId="3FD744DD">
                  <w:pPr>
                    <w:pStyle w:val="20"/>
                    <w:spacing w:before="31"/>
                    <w:rPr>
                      <w:color w:val="auto"/>
                      <w:highlight w:val="none"/>
                    </w:rPr>
                  </w:pPr>
                  <w:r>
                    <w:rPr>
                      <w:rFonts w:hint="eastAsia"/>
                      <w:color w:val="auto"/>
                      <w:highlight w:val="none"/>
                    </w:rPr>
                    <w:t>40</w:t>
                  </w:r>
                </w:p>
              </w:tc>
              <w:tc>
                <w:tcPr>
                  <w:tcW w:w="674" w:type="pct"/>
                  <w:tcBorders>
                    <w:tl2br w:val="nil"/>
                    <w:tr2bl w:val="nil"/>
                  </w:tcBorders>
                  <w:vAlign w:val="center"/>
                </w:tcPr>
                <w:p w14:paraId="491D050B">
                  <w:pPr>
                    <w:pStyle w:val="20"/>
                    <w:spacing w:before="31"/>
                    <w:rPr>
                      <w:rFonts w:hint="default" w:eastAsia="宋体"/>
                      <w:color w:val="auto"/>
                      <w:highlight w:val="none"/>
                      <w:lang w:val="en-US" w:eastAsia="zh-CN"/>
                    </w:rPr>
                  </w:pPr>
                  <w:r>
                    <w:rPr>
                      <w:rFonts w:hint="eastAsia"/>
                      <w:color w:val="auto"/>
                      <w:highlight w:val="none"/>
                      <w:lang w:val="en-US" w:eastAsia="zh-CN"/>
                    </w:rPr>
                    <w:t>85</w:t>
                  </w:r>
                </w:p>
              </w:tc>
              <w:tc>
                <w:tcPr>
                  <w:tcW w:w="627" w:type="pct"/>
                  <w:tcBorders>
                    <w:tl2br w:val="nil"/>
                    <w:tr2bl w:val="nil"/>
                  </w:tcBorders>
                  <w:vAlign w:val="center"/>
                </w:tcPr>
                <w:p w14:paraId="4F8C884D">
                  <w:pPr>
                    <w:pStyle w:val="20"/>
                    <w:spacing w:before="31"/>
                    <w:rPr>
                      <w:color w:val="auto"/>
                      <w:highlight w:val="none"/>
                    </w:rPr>
                  </w:pPr>
                  <w:r>
                    <w:rPr>
                      <w:rFonts w:hint="eastAsia"/>
                      <w:color w:val="auto"/>
                      <w:highlight w:val="none"/>
                    </w:rPr>
                    <w:t>达标</w:t>
                  </w:r>
                </w:p>
              </w:tc>
            </w:tr>
            <w:tr w14:paraId="61074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32" w:type="pct"/>
                  <w:tcBorders>
                    <w:tl2br w:val="nil"/>
                    <w:tr2bl w:val="nil"/>
                  </w:tcBorders>
                  <w:vAlign w:val="center"/>
                </w:tcPr>
                <w:p w14:paraId="60FB010E">
                  <w:pPr>
                    <w:pStyle w:val="20"/>
                    <w:spacing w:before="31"/>
                    <w:rPr>
                      <w:color w:val="auto"/>
                      <w:highlight w:val="none"/>
                    </w:rPr>
                  </w:pPr>
                  <w:r>
                    <w:rPr>
                      <w:rFonts w:hint="eastAsia"/>
                      <w:color w:val="auto"/>
                      <w:highlight w:val="none"/>
                    </w:rPr>
                    <w:t>PM</w:t>
                  </w:r>
                  <w:r>
                    <w:rPr>
                      <w:rFonts w:hint="eastAsia"/>
                      <w:color w:val="auto"/>
                      <w:highlight w:val="none"/>
                      <w:vertAlign w:val="subscript"/>
                    </w:rPr>
                    <w:t>10</w:t>
                  </w:r>
                </w:p>
              </w:tc>
              <w:tc>
                <w:tcPr>
                  <w:tcW w:w="1461" w:type="pct"/>
                  <w:vMerge w:val="continue"/>
                  <w:tcBorders>
                    <w:tl2br w:val="nil"/>
                    <w:tr2bl w:val="nil"/>
                  </w:tcBorders>
                  <w:vAlign w:val="center"/>
                </w:tcPr>
                <w:p w14:paraId="0F941B23">
                  <w:pPr>
                    <w:pStyle w:val="20"/>
                    <w:spacing w:before="31"/>
                    <w:rPr>
                      <w:color w:val="auto"/>
                      <w:highlight w:val="none"/>
                    </w:rPr>
                  </w:pPr>
                </w:p>
              </w:tc>
              <w:tc>
                <w:tcPr>
                  <w:tcW w:w="674" w:type="pct"/>
                  <w:tcBorders>
                    <w:tl2br w:val="nil"/>
                    <w:tr2bl w:val="nil"/>
                  </w:tcBorders>
                  <w:vAlign w:val="center"/>
                </w:tcPr>
                <w:p w14:paraId="6C148BE1">
                  <w:pPr>
                    <w:pStyle w:val="20"/>
                    <w:spacing w:before="31"/>
                    <w:rPr>
                      <w:rFonts w:hint="default" w:eastAsia="宋体"/>
                      <w:color w:val="auto"/>
                      <w:highlight w:val="none"/>
                      <w:lang w:val="en-US" w:eastAsia="zh-CN"/>
                    </w:rPr>
                  </w:pPr>
                  <w:r>
                    <w:rPr>
                      <w:rFonts w:hint="eastAsia"/>
                      <w:color w:val="auto"/>
                      <w:highlight w:val="none"/>
                      <w:lang w:val="en-US" w:eastAsia="zh-CN"/>
                    </w:rPr>
                    <w:t>51</w:t>
                  </w:r>
                </w:p>
              </w:tc>
              <w:tc>
                <w:tcPr>
                  <w:tcW w:w="630" w:type="pct"/>
                  <w:tcBorders>
                    <w:tl2br w:val="nil"/>
                    <w:tr2bl w:val="nil"/>
                  </w:tcBorders>
                  <w:vAlign w:val="center"/>
                </w:tcPr>
                <w:p w14:paraId="719446A1">
                  <w:pPr>
                    <w:pStyle w:val="20"/>
                    <w:spacing w:before="31"/>
                    <w:rPr>
                      <w:color w:val="auto"/>
                      <w:highlight w:val="none"/>
                    </w:rPr>
                  </w:pPr>
                  <w:r>
                    <w:rPr>
                      <w:rFonts w:hint="eastAsia"/>
                      <w:color w:val="auto"/>
                      <w:highlight w:val="none"/>
                    </w:rPr>
                    <w:t>70</w:t>
                  </w:r>
                </w:p>
              </w:tc>
              <w:tc>
                <w:tcPr>
                  <w:tcW w:w="674" w:type="pct"/>
                  <w:tcBorders>
                    <w:tl2br w:val="nil"/>
                    <w:tr2bl w:val="nil"/>
                  </w:tcBorders>
                  <w:vAlign w:val="center"/>
                </w:tcPr>
                <w:p w14:paraId="3E62954D">
                  <w:pPr>
                    <w:pStyle w:val="20"/>
                    <w:spacing w:before="31"/>
                    <w:rPr>
                      <w:rFonts w:hint="default" w:eastAsia="宋体"/>
                      <w:color w:val="auto"/>
                      <w:highlight w:val="none"/>
                      <w:lang w:val="en-US" w:eastAsia="zh-CN"/>
                    </w:rPr>
                  </w:pPr>
                  <w:r>
                    <w:rPr>
                      <w:rFonts w:hint="eastAsia"/>
                      <w:color w:val="auto"/>
                      <w:highlight w:val="none"/>
                      <w:lang w:val="en-US" w:eastAsia="zh-CN"/>
                    </w:rPr>
                    <w:t>72.9</w:t>
                  </w:r>
                </w:p>
              </w:tc>
              <w:tc>
                <w:tcPr>
                  <w:tcW w:w="627" w:type="pct"/>
                  <w:tcBorders>
                    <w:tl2br w:val="nil"/>
                    <w:tr2bl w:val="nil"/>
                  </w:tcBorders>
                  <w:vAlign w:val="center"/>
                </w:tcPr>
                <w:p w14:paraId="08135CAE">
                  <w:pPr>
                    <w:pStyle w:val="20"/>
                    <w:spacing w:before="31"/>
                    <w:rPr>
                      <w:color w:val="auto"/>
                      <w:highlight w:val="none"/>
                    </w:rPr>
                  </w:pPr>
                  <w:r>
                    <w:rPr>
                      <w:rFonts w:hint="eastAsia"/>
                      <w:color w:val="auto"/>
                      <w:highlight w:val="none"/>
                    </w:rPr>
                    <w:t>达标</w:t>
                  </w:r>
                </w:p>
              </w:tc>
            </w:tr>
            <w:tr w14:paraId="4ACDC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32" w:type="pct"/>
                  <w:tcBorders>
                    <w:tl2br w:val="nil"/>
                    <w:tr2bl w:val="nil"/>
                  </w:tcBorders>
                  <w:vAlign w:val="center"/>
                </w:tcPr>
                <w:p w14:paraId="1C871586">
                  <w:pPr>
                    <w:pStyle w:val="20"/>
                    <w:spacing w:before="31"/>
                    <w:rPr>
                      <w:color w:val="auto"/>
                      <w:highlight w:val="none"/>
                    </w:rPr>
                  </w:pPr>
                  <w:r>
                    <w:rPr>
                      <w:rFonts w:hint="eastAsia"/>
                      <w:color w:val="auto"/>
                      <w:highlight w:val="none"/>
                    </w:rPr>
                    <w:t>CO（mg/m</w:t>
                  </w:r>
                  <w:r>
                    <w:rPr>
                      <w:rFonts w:hint="eastAsia"/>
                      <w:color w:val="auto"/>
                      <w:highlight w:val="none"/>
                      <w:vertAlign w:val="superscript"/>
                    </w:rPr>
                    <w:t>3</w:t>
                  </w:r>
                  <w:r>
                    <w:rPr>
                      <w:rFonts w:hint="eastAsia"/>
                      <w:color w:val="auto"/>
                      <w:highlight w:val="none"/>
                    </w:rPr>
                    <w:t>）</w:t>
                  </w:r>
                </w:p>
              </w:tc>
              <w:tc>
                <w:tcPr>
                  <w:tcW w:w="1461" w:type="pct"/>
                  <w:tcBorders>
                    <w:tl2br w:val="nil"/>
                    <w:tr2bl w:val="nil"/>
                  </w:tcBorders>
                  <w:vAlign w:val="center"/>
                </w:tcPr>
                <w:p w14:paraId="42A51891">
                  <w:pPr>
                    <w:pStyle w:val="20"/>
                    <w:spacing w:before="31"/>
                    <w:rPr>
                      <w:color w:val="auto"/>
                      <w:highlight w:val="none"/>
                    </w:rPr>
                  </w:pPr>
                  <w:r>
                    <w:rPr>
                      <w:rFonts w:hint="eastAsia"/>
                      <w:color w:val="auto"/>
                      <w:highlight w:val="none"/>
                    </w:rPr>
                    <w:t>日均浓度的第95百分位</w:t>
                  </w:r>
                </w:p>
              </w:tc>
              <w:tc>
                <w:tcPr>
                  <w:tcW w:w="674" w:type="pct"/>
                  <w:tcBorders>
                    <w:tl2br w:val="nil"/>
                    <w:tr2bl w:val="nil"/>
                  </w:tcBorders>
                  <w:vAlign w:val="center"/>
                </w:tcPr>
                <w:p w14:paraId="147CFEA0">
                  <w:pPr>
                    <w:pStyle w:val="20"/>
                    <w:spacing w:before="31"/>
                    <w:rPr>
                      <w:rFonts w:hint="eastAsia" w:eastAsia="宋体"/>
                      <w:color w:val="auto"/>
                      <w:highlight w:val="none"/>
                      <w:lang w:eastAsia="zh-CN"/>
                    </w:rPr>
                  </w:pPr>
                  <w:r>
                    <w:rPr>
                      <w:rFonts w:hint="eastAsia"/>
                      <w:color w:val="auto"/>
                      <w:highlight w:val="none"/>
                    </w:rPr>
                    <w:t>1.</w:t>
                  </w:r>
                  <w:r>
                    <w:rPr>
                      <w:rFonts w:hint="eastAsia"/>
                      <w:color w:val="auto"/>
                      <w:highlight w:val="none"/>
                      <w:lang w:val="en-US" w:eastAsia="zh-CN"/>
                    </w:rPr>
                    <w:t>2</w:t>
                  </w:r>
                </w:p>
              </w:tc>
              <w:tc>
                <w:tcPr>
                  <w:tcW w:w="630" w:type="pct"/>
                  <w:tcBorders>
                    <w:tl2br w:val="nil"/>
                    <w:tr2bl w:val="nil"/>
                  </w:tcBorders>
                  <w:vAlign w:val="center"/>
                </w:tcPr>
                <w:p w14:paraId="1D65A7D4">
                  <w:pPr>
                    <w:pStyle w:val="20"/>
                    <w:spacing w:before="31"/>
                    <w:rPr>
                      <w:color w:val="auto"/>
                      <w:highlight w:val="none"/>
                    </w:rPr>
                  </w:pPr>
                  <w:r>
                    <w:rPr>
                      <w:rFonts w:hint="eastAsia"/>
                      <w:color w:val="auto"/>
                      <w:highlight w:val="none"/>
                    </w:rPr>
                    <w:t>4</w:t>
                  </w:r>
                </w:p>
              </w:tc>
              <w:tc>
                <w:tcPr>
                  <w:tcW w:w="674" w:type="pct"/>
                  <w:tcBorders>
                    <w:tl2br w:val="nil"/>
                    <w:tr2bl w:val="nil"/>
                  </w:tcBorders>
                  <w:vAlign w:val="center"/>
                </w:tcPr>
                <w:p w14:paraId="59CC5032">
                  <w:pPr>
                    <w:pStyle w:val="20"/>
                    <w:spacing w:before="31"/>
                    <w:rPr>
                      <w:rFonts w:hint="default" w:eastAsia="宋体"/>
                      <w:color w:val="auto"/>
                      <w:highlight w:val="none"/>
                      <w:lang w:val="en-US" w:eastAsia="zh-CN"/>
                    </w:rPr>
                  </w:pPr>
                  <w:r>
                    <w:rPr>
                      <w:rFonts w:hint="eastAsia"/>
                      <w:color w:val="auto"/>
                      <w:highlight w:val="none"/>
                      <w:lang w:val="en-US" w:eastAsia="zh-CN"/>
                    </w:rPr>
                    <w:t>30</w:t>
                  </w:r>
                </w:p>
              </w:tc>
              <w:tc>
                <w:tcPr>
                  <w:tcW w:w="627" w:type="pct"/>
                  <w:tcBorders>
                    <w:tl2br w:val="nil"/>
                    <w:tr2bl w:val="nil"/>
                  </w:tcBorders>
                  <w:vAlign w:val="center"/>
                </w:tcPr>
                <w:p w14:paraId="42276E21">
                  <w:pPr>
                    <w:pStyle w:val="20"/>
                    <w:spacing w:before="31"/>
                    <w:rPr>
                      <w:color w:val="auto"/>
                      <w:highlight w:val="none"/>
                    </w:rPr>
                  </w:pPr>
                  <w:r>
                    <w:rPr>
                      <w:rFonts w:hint="eastAsia"/>
                      <w:color w:val="auto"/>
                      <w:highlight w:val="none"/>
                    </w:rPr>
                    <w:t>达标</w:t>
                  </w:r>
                </w:p>
              </w:tc>
            </w:tr>
            <w:tr w14:paraId="107B4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32" w:type="pct"/>
                  <w:tcBorders>
                    <w:tl2br w:val="nil"/>
                    <w:tr2bl w:val="nil"/>
                  </w:tcBorders>
                  <w:vAlign w:val="center"/>
                </w:tcPr>
                <w:p w14:paraId="2DF528A0">
                  <w:pPr>
                    <w:pStyle w:val="20"/>
                    <w:spacing w:before="31"/>
                    <w:rPr>
                      <w:color w:val="auto"/>
                      <w:highlight w:val="none"/>
                    </w:rPr>
                  </w:pPr>
                  <w:r>
                    <w:rPr>
                      <w:rFonts w:hint="eastAsia"/>
                      <w:color w:val="auto"/>
                      <w:highlight w:val="none"/>
                    </w:rPr>
                    <w:t>O</w:t>
                  </w:r>
                  <w:r>
                    <w:rPr>
                      <w:rFonts w:hint="eastAsia"/>
                      <w:color w:val="auto"/>
                      <w:highlight w:val="none"/>
                      <w:vertAlign w:val="subscript"/>
                    </w:rPr>
                    <w:t>3</w:t>
                  </w:r>
                </w:p>
              </w:tc>
              <w:tc>
                <w:tcPr>
                  <w:tcW w:w="1461" w:type="pct"/>
                  <w:tcBorders>
                    <w:tl2br w:val="nil"/>
                    <w:tr2bl w:val="nil"/>
                  </w:tcBorders>
                  <w:vAlign w:val="center"/>
                </w:tcPr>
                <w:p w14:paraId="2ADC6CB4">
                  <w:pPr>
                    <w:pStyle w:val="20"/>
                    <w:spacing w:before="31"/>
                    <w:rPr>
                      <w:color w:val="auto"/>
                      <w:highlight w:val="none"/>
                    </w:rPr>
                  </w:pPr>
                  <w:r>
                    <w:rPr>
                      <w:rFonts w:hint="eastAsia"/>
                      <w:color w:val="auto"/>
                      <w:highlight w:val="none"/>
                    </w:rPr>
                    <w:t>日均最大8h平均浓度的第90百分位</w:t>
                  </w:r>
                </w:p>
              </w:tc>
              <w:tc>
                <w:tcPr>
                  <w:tcW w:w="674" w:type="pct"/>
                  <w:tcBorders>
                    <w:tl2br w:val="nil"/>
                    <w:tr2bl w:val="nil"/>
                  </w:tcBorders>
                  <w:vAlign w:val="center"/>
                </w:tcPr>
                <w:p w14:paraId="5B0DA88A">
                  <w:pPr>
                    <w:pStyle w:val="20"/>
                    <w:spacing w:before="31"/>
                    <w:rPr>
                      <w:rFonts w:hint="default" w:eastAsia="宋体"/>
                      <w:color w:val="auto"/>
                      <w:highlight w:val="none"/>
                      <w:lang w:val="en-US" w:eastAsia="zh-CN"/>
                    </w:rPr>
                  </w:pPr>
                  <w:r>
                    <w:rPr>
                      <w:rFonts w:hint="eastAsia"/>
                      <w:color w:val="auto"/>
                      <w:highlight w:val="none"/>
                      <w:lang w:val="en-US" w:eastAsia="zh-CN"/>
                    </w:rPr>
                    <w:t>140</w:t>
                  </w:r>
                </w:p>
              </w:tc>
              <w:tc>
                <w:tcPr>
                  <w:tcW w:w="630" w:type="pct"/>
                  <w:tcBorders>
                    <w:tl2br w:val="nil"/>
                    <w:tr2bl w:val="nil"/>
                  </w:tcBorders>
                  <w:vAlign w:val="center"/>
                </w:tcPr>
                <w:p w14:paraId="655DF421">
                  <w:pPr>
                    <w:pStyle w:val="20"/>
                    <w:spacing w:before="31"/>
                    <w:rPr>
                      <w:color w:val="auto"/>
                      <w:highlight w:val="none"/>
                    </w:rPr>
                  </w:pPr>
                  <w:r>
                    <w:rPr>
                      <w:rFonts w:hint="eastAsia"/>
                      <w:color w:val="auto"/>
                      <w:highlight w:val="none"/>
                    </w:rPr>
                    <w:t>160</w:t>
                  </w:r>
                </w:p>
              </w:tc>
              <w:tc>
                <w:tcPr>
                  <w:tcW w:w="674" w:type="pct"/>
                  <w:tcBorders>
                    <w:tl2br w:val="nil"/>
                    <w:tr2bl w:val="nil"/>
                  </w:tcBorders>
                  <w:vAlign w:val="center"/>
                </w:tcPr>
                <w:p w14:paraId="6CDB10A5">
                  <w:pPr>
                    <w:pStyle w:val="20"/>
                    <w:spacing w:before="31"/>
                    <w:rPr>
                      <w:rFonts w:hint="default" w:eastAsia="宋体"/>
                      <w:color w:val="auto"/>
                      <w:highlight w:val="none"/>
                      <w:lang w:val="en-US" w:eastAsia="zh-CN"/>
                    </w:rPr>
                  </w:pPr>
                  <w:r>
                    <w:rPr>
                      <w:rFonts w:hint="eastAsia"/>
                      <w:color w:val="auto"/>
                      <w:highlight w:val="none"/>
                      <w:lang w:val="en-US" w:eastAsia="zh-CN"/>
                    </w:rPr>
                    <w:t>87.5</w:t>
                  </w:r>
                </w:p>
              </w:tc>
              <w:tc>
                <w:tcPr>
                  <w:tcW w:w="627" w:type="pct"/>
                  <w:tcBorders>
                    <w:tl2br w:val="nil"/>
                    <w:tr2bl w:val="nil"/>
                  </w:tcBorders>
                  <w:vAlign w:val="center"/>
                </w:tcPr>
                <w:p w14:paraId="5DA2611F">
                  <w:pPr>
                    <w:pStyle w:val="20"/>
                    <w:spacing w:before="31"/>
                    <w:rPr>
                      <w:color w:val="auto"/>
                      <w:highlight w:val="none"/>
                    </w:rPr>
                  </w:pPr>
                  <w:r>
                    <w:rPr>
                      <w:rFonts w:hint="eastAsia"/>
                      <w:color w:val="auto"/>
                      <w:highlight w:val="none"/>
                    </w:rPr>
                    <w:t>达标</w:t>
                  </w:r>
                </w:p>
              </w:tc>
            </w:tr>
          </w:tbl>
          <w:p w14:paraId="4CC1BE2C">
            <w:pPr>
              <w:pStyle w:val="18"/>
              <w:rPr>
                <w:color w:val="auto"/>
                <w:highlight w:val="none"/>
              </w:rPr>
            </w:pPr>
            <w:r>
              <w:rPr>
                <w:rFonts w:hint="eastAsia"/>
                <w:color w:val="auto"/>
                <w:highlight w:val="none"/>
              </w:rPr>
              <w:t>根据以上数据，项目所在区域SO</w:t>
            </w:r>
            <w:r>
              <w:rPr>
                <w:rFonts w:hint="eastAsia"/>
                <w:color w:val="auto"/>
                <w:highlight w:val="none"/>
                <w:vertAlign w:val="subscript"/>
              </w:rPr>
              <w:t>2</w:t>
            </w:r>
            <w:r>
              <w:rPr>
                <w:rFonts w:hint="eastAsia"/>
                <w:color w:val="auto"/>
                <w:highlight w:val="none"/>
              </w:rPr>
              <w:t>、NO</w:t>
            </w:r>
            <w:r>
              <w:rPr>
                <w:rFonts w:hint="eastAsia"/>
                <w:color w:val="auto"/>
                <w:highlight w:val="none"/>
                <w:vertAlign w:val="subscript"/>
              </w:rPr>
              <w:t>2</w:t>
            </w:r>
            <w:r>
              <w:rPr>
                <w:rFonts w:hint="eastAsia"/>
                <w:color w:val="auto"/>
                <w:highlight w:val="none"/>
              </w:rPr>
              <w:t>、PM</w:t>
            </w:r>
            <w:r>
              <w:rPr>
                <w:rFonts w:hint="eastAsia"/>
                <w:color w:val="auto"/>
                <w:highlight w:val="none"/>
                <w:vertAlign w:val="subscript"/>
              </w:rPr>
              <w:t>10</w:t>
            </w:r>
            <w:r>
              <w:rPr>
                <w:rFonts w:hint="eastAsia"/>
                <w:color w:val="auto"/>
                <w:highlight w:val="none"/>
              </w:rPr>
              <w:t>、PM</w:t>
            </w:r>
            <w:r>
              <w:rPr>
                <w:rFonts w:hint="eastAsia"/>
                <w:color w:val="auto"/>
                <w:highlight w:val="none"/>
                <w:vertAlign w:val="subscript"/>
              </w:rPr>
              <w:t>2.5</w:t>
            </w:r>
            <w:r>
              <w:rPr>
                <w:rFonts w:hint="eastAsia"/>
                <w:color w:val="auto"/>
                <w:highlight w:val="none"/>
              </w:rPr>
              <w:t>、CO、O</w:t>
            </w:r>
            <w:r>
              <w:rPr>
                <w:rFonts w:hint="eastAsia"/>
                <w:color w:val="auto"/>
                <w:highlight w:val="none"/>
                <w:vertAlign w:val="subscript"/>
              </w:rPr>
              <w:t>3</w:t>
            </w:r>
            <w:r>
              <w:rPr>
                <w:rFonts w:hint="eastAsia"/>
                <w:color w:val="auto"/>
                <w:highlight w:val="none"/>
              </w:rPr>
              <w:t>均满足《环境空气质量标准》（GB3095-2012）二级标准。项目所在区域为环境空气质量达标区域。</w:t>
            </w:r>
          </w:p>
          <w:p w14:paraId="5733E540">
            <w:pPr>
              <w:pStyle w:val="3"/>
              <w:ind w:firstLine="482"/>
              <w:rPr>
                <w:color w:val="auto"/>
                <w:highlight w:val="none"/>
              </w:rPr>
            </w:pPr>
            <w:r>
              <w:rPr>
                <w:rFonts w:hint="eastAsia"/>
                <w:color w:val="auto"/>
                <w:highlight w:val="none"/>
              </w:rPr>
              <w:t>2）特征污染物质量达标区判断</w:t>
            </w:r>
          </w:p>
          <w:p w14:paraId="54013D64">
            <w:pPr>
              <w:pStyle w:val="18"/>
              <w:bidi w:val="0"/>
              <w:rPr>
                <w:color w:val="auto"/>
                <w:highlight w:val="none"/>
              </w:rPr>
            </w:pPr>
            <w:r>
              <w:rPr>
                <w:rFonts w:hint="eastAsia"/>
                <w:color w:val="auto"/>
                <w:highlight w:val="none"/>
              </w:rPr>
              <w:t>本项目排放的废气中</w:t>
            </w:r>
            <w:r>
              <w:rPr>
                <w:rFonts w:hint="eastAsia"/>
                <w:color w:val="auto"/>
                <w:highlight w:val="none"/>
                <w:lang w:val="en-US" w:eastAsia="zh-CN"/>
              </w:rPr>
              <w:t>特征</w:t>
            </w:r>
            <w:r>
              <w:rPr>
                <w:rFonts w:hint="eastAsia"/>
                <w:color w:val="auto"/>
                <w:highlight w:val="none"/>
              </w:rPr>
              <w:t>污染因子主要为非甲烷总烃、苯乙烯、1,3-丁二烯</w:t>
            </w:r>
            <w:r>
              <w:rPr>
                <w:rFonts w:hint="eastAsia"/>
                <w:color w:val="auto"/>
                <w:highlight w:val="none"/>
                <w:lang w:eastAsia="zh-CN"/>
              </w:rPr>
              <w:t>、</w:t>
            </w:r>
            <w:r>
              <w:rPr>
                <w:rFonts w:hint="eastAsia"/>
                <w:color w:val="auto"/>
                <w:highlight w:val="none"/>
              </w:rPr>
              <w:t>丙烯腈、丙烯酸</w:t>
            </w:r>
            <w:r>
              <w:rPr>
                <w:rFonts w:hint="eastAsia"/>
                <w:color w:val="auto"/>
                <w:highlight w:val="none"/>
                <w:lang w:eastAsia="zh-CN"/>
              </w:rPr>
              <w:t>、</w:t>
            </w:r>
            <w:r>
              <w:rPr>
                <w:rFonts w:hint="eastAsia"/>
                <w:color w:val="auto"/>
                <w:highlight w:val="none"/>
              </w:rPr>
              <w:t>丙烯酸甲酯</w:t>
            </w:r>
            <w:r>
              <w:rPr>
                <w:rFonts w:hint="eastAsia"/>
                <w:color w:val="auto"/>
                <w:highlight w:val="none"/>
                <w:lang w:eastAsia="zh-CN"/>
              </w:rPr>
              <w:t>、</w:t>
            </w:r>
            <w:r>
              <w:rPr>
                <w:rFonts w:hint="eastAsia"/>
                <w:color w:val="auto"/>
                <w:highlight w:val="none"/>
              </w:rPr>
              <w:t>丙烯酸丁酯</w:t>
            </w:r>
            <w:r>
              <w:rPr>
                <w:rFonts w:hint="eastAsia"/>
                <w:color w:val="auto"/>
                <w:highlight w:val="none"/>
                <w:lang w:eastAsia="zh-CN"/>
              </w:rPr>
              <w:t>、</w:t>
            </w:r>
            <w:r>
              <w:rPr>
                <w:rFonts w:hint="eastAsia"/>
                <w:color w:val="auto"/>
                <w:highlight w:val="none"/>
              </w:rPr>
              <w:t>甲基丙烯酸甲酯</w:t>
            </w:r>
            <w:r>
              <w:rPr>
                <w:rFonts w:hint="eastAsia"/>
                <w:color w:val="auto"/>
                <w:highlight w:val="none"/>
                <w:lang w:eastAsia="zh-CN"/>
              </w:rPr>
              <w:t>、</w:t>
            </w:r>
            <w:r>
              <w:rPr>
                <w:rFonts w:hint="eastAsia"/>
                <w:color w:val="auto"/>
                <w:highlight w:val="none"/>
              </w:rPr>
              <w:t>甲苯、乙苯</w:t>
            </w:r>
            <w:r>
              <w:rPr>
                <w:rFonts w:hint="eastAsia"/>
                <w:color w:val="auto"/>
                <w:highlight w:val="none"/>
                <w:lang w:val="en-US" w:eastAsia="zh-CN"/>
              </w:rPr>
              <w:t>等，</w:t>
            </w:r>
            <w:r>
              <w:rPr>
                <w:rFonts w:hint="eastAsia"/>
                <w:color w:val="auto"/>
                <w:highlight w:val="none"/>
              </w:rPr>
              <w:t>根据《建设项目环境影响报告表内容、格式及编制技术指南常见问题解答》（2021年10月20日）：技术指南中提到“排放国家、地方环境空气质量标准中有标准限值要求的特征污染物”，其中环境空气质量标准指《环境空气质量标准》（GB3095）和地方的环境空气质量标准，不包括《环境影响评价技术导则 大气环境》（HJ2.2-2018）附录D、《工业企业设计卫生标准》（TJ36-97）、《前苏联居住区标准》（CH245-71）、《环境影响评价技术导则 制药建设项目》（HJ611-2011）、《大气污染物综合排放标准详解》等导则或参考资料。</w:t>
            </w:r>
          </w:p>
          <w:p w14:paraId="3CBBB60C">
            <w:pPr>
              <w:pStyle w:val="18"/>
              <w:bidi w:val="0"/>
              <w:rPr>
                <w:rFonts w:hint="default"/>
                <w:color w:val="auto"/>
                <w:highlight w:val="none"/>
                <w:lang w:val="en-US" w:eastAsia="zh-CN"/>
              </w:rPr>
            </w:pPr>
            <w:r>
              <w:rPr>
                <w:rFonts w:hint="eastAsia"/>
                <w:color w:val="auto"/>
                <w:highlight w:val="none"/>
              </w:rPr>
              <w:t>苯乙烯、1,3-丁二烯</w:t>
            </w:r>
            <w:r>
              <w:rPr>
                <w:rFonts w:hint="eastAsia"/>
                <w:color w:val="auto"/>
                <w:highlight w:val="none"/>
                <w:lang w:eastAsia="zh-CN"/>
              </w:rPr>
              <w:t>、</w:t>
            </w:r>
            <w:r>
              <w:rPr>
                <w:rFonts w:hint="eastAsia"/>
                <w:color w:val="auto"/>
                <w:highlight w:val="none"/>
              </w:rPr>
              <w:t>丙烯腈、丙烯酸</w:t>
            </w:r>
            <w:r>
              <w:rPr>
                <w:rFonts w:hint="eastAsia"/>
                <w:color w:val="auto"/>
                <w:highlight w:val="none"/>
                <w:lang w:eastAsia="zh-CN"/>
              </w:rPr>
              <w:t>、</w:t>
            </w:r>
            <w:r>
              <w:rPr>
                <w:rFonts w:hint="eastAsia"/>
                <w:color w:val="auto"/>
                <w:highlight w:val="none"/>
              </w:rPr>
              <w:t>丙烯酸甲酯</w:t>
            </w:r>
            <w:r>
              <w:rPr>
                <w:rFonts w:hint="eastAsia"/>
                <w:color w:val="auto"/>
                <w:highlight w:val="none"/>
                <w:lang w:eastAsia="zh-CN"/>
              </w:rPr>
              <w:t>、</w:t>
            </w:r>
            <w:r>
              <w:rPr>
                <w:rFonts w:hint="eastAsia"/>
                <w:color w:val="auto"/>
                <w:highlight w:val="none"/>
              </w:rPr>
              <w:t>丙烯酸丁酯</w:t>
            </w:r>
            <w:r>
              <w:rPr>
                <w:rFonts w:hint="eastAsia"/>
                <w:color w:val="auto"/>
                <w:highlight w:val="none"/>
                <w:lang w:eastAsia="zh-CN"/>
              </w:rPr>
              <w:t>、</w:t>
            </w:r>
            <w:r>
              <w:rPr>
                <w:rFonts w:hint="eastAsia"/>
                <w:color w:val="auto"/>
                <w:highlight w:val="none"/>
              </w:rPr>
              <w:t>甲基丙烯酸甲酯</w:t>
            </w:r>
            <w:r>
              <w:rPr>
                <w:rFonts w:hint="eastAsia"/>
                <w:color w:val="auto"/>
                <w:highlight w:val="none"/>
                <w:lang w:eastAsia="zh-CN"/>
              </w:rPr>
              <w:t>、</w:t>
            </w:r>
            <w:r>
              <w:rPr>
                <w:rFonts w:hint="eastAsia"/>
                <w:color w:val="auto"/>
                <w:highlight w:val="none"/>
              </w:rPr>
              <w:t>甲苯、乙苯等无国家、地方环境空气质量标准，故本次评价无需对其进行环境空气质量监测与评价</w:t>
            </w:r>
            <w:r>
              <w:rPr>
                <w:rFonts w:hint="eastAsia"/>
                <w:color w:val="auto"/>
                <w:highlight w:val="none"/>
                <w:lang w:eastAsia="zh-CN"/>
              </w:rPr>
              <w:t>，非甲烷总烃</w:t>
            </w:r>
            <w:r>
              <w:rPr>
                <w:rFonts w:hint="eastAsia"/>
                <w:color w:val="auto"/>
                <w:highlight w:val="none"/>
                <w:lang w:val="en-US" w:eastAsia="zh-CN"/>
              </w:rPr>
              <w:t>参照</w:t>
            </w:r>
            <w:r>
              <w:rPr>
                <w:rFonts w:hint="eastAsia"/>
                <w:color w:val="auto"/>
                <w:highlight w:val="none"/>
                <w:lang w:eastAsia="zh-CN"/>
              </w:rPr>
              <w:t>《环境空气质量 非甲烷总烃限值》（DB13/1577-2012</w:t>
            </w:r>
            <w:r>
              <w:rPr>
                <w:color w:val="auto"/>
                <w:highlight w:val="none"/>
              </w:rPr>
              <w:t>）</w:t>
            </w:r>
            <w:r>
              <w:rPr>
                <w:rFonts w:hint="eastAsia"/>
                <w:color w:val="auto"/>
                <w:highlight w:val="none"/>
                <w:lang w:eastAsia="zh-CN"/>
              </w:rPr>
              <w:t>，对</w:t>
            </w:r>
            <w:r>
              <w:rPr>
                <w:rFonts w:hint="eastAsia"/>
                <w:color w:val="auto"/>
                <w:highlight w:val="none"/>
              </w:rPr>
              <w:t>非甲烷总烃的环境质量现状</w:t>
            </w:r>
            <w:r>
              <w:rPr>
                <w:rFonts w:hint="eastAsia"/>
                <w:color w:val="auto"/>
                <w:highlight w:val="none"/>
                <w:lang w:eastAsia="zh-CN"/>
              </w:rPr>
              <w:t>进行评价</w:t>
            </w:r>
            <w:r>
              <w:rPr>
                <w:rFonts w:hint="eastAsia"/>
                <w:color w:val="auto"/>
                <w:highlight w:val="none"/>
              </w:rPr>
              <w:t>。引用重庆港庆测控技术有限公司</w:t>
            </w:r>
            <w:r>
              <w:rPr>
                <w:rFonts w:hint="eastAsia"/>
                <w:color w:val="auto"/>
                <w:highlight w:val="none"/>
                <w:lang w:val="en-US" w:eastAsia="zh-CN"/>
              </w:rPr>
              <w:t>出具的《</w:t>
            </w:r>
            <w:r>
              <w:rPr>
                <w:rFonts w:hint="eastAsia"/>
                <w:color w:val="auto"/>
                <w:highlight w:val="none"/>
              </w:rPr>
              <w:t>重庆市西彭工业园区C、D标准分区规划环境影响评价</w:t>
            </w:r>
            <w:r>
              <w:rPr>
                <w:rFonts w:hint="eastAsia"/>
                <w:color w:val="auto"/>
                <w:highlight w:val="none"/>
                <w:lang w:val="en-US" w:eastAsia="zh-CN"/>
              </w:rPr>
              <w:t>监测检测报告》（</w:t>
            </w:r>
            <w:r>
              <w:rPr>
                <w:rFonts w:hint="eastAsia"/>
                <w:color w:val="auto"/>
                <w:highlight w:val="none"/>
              </w:rPr>
              <w:t>港庆（监）字〔202</w:t>
            </w:r>
            <w:r>
              <w:rPr>
                <w:rFonts w:hint="eastAsia"/>
                <w:color w:val="auto"/>
                <w:highlight w:val="none"/>
                <w:lang w:val="en-US" w:eastAsia="zh-CN"/>
              </w:rPr>
              <w:t>4</w:t>
            </w:r>
            <w:r>
              <w:rPr>
                <w:rFonts w:hint="eastAsia"/>
                <w:color w:val="auto"/>
                <w:highlight w:val="none"/>
              </w:rPr>
              <w:t>〕第0</w:t>
            </w:r>
            <w:r>
              <w:rPr>
                <w:rFonts w:hint="eastAsia"/>
                <w:color w:val="auto"/>
                <w:highlight w:val="none"/>
                <w:lang w:val="en-US" w:eastAsia="zh-CN"/>
              </w:rPr>
              <w:t>7003-1</w:t>
            </w:r>
            <w:r>
              <w:rPr>
                <w:rFonts w:hint="eastAsia"/>
                <w:color w:val="auto"/>
                <w:highlight w:val="none"/>
              </w:rPr>
              <w:t>-HP号</w:t>
            </w:r>
            <w:r>
              <w:rPr>
                <w:rFonts w:hint="eastAsia"/>
                <w:color w:val="auto"/>
                <w:highlight w:val="none"/>
                <w:lang w:eastAsia="zh-CN"/>
              </w:rPr>
              <w:t>）</w:t>
            </w:r>
            <w:r>
              <w:rPr>
                <w:rFonts w:hint="eastAsia"/>
                <w:color w:val="auto"/>
                <w:highlight w:val="none"/>
                <w:lang w:val="en-US" w:eastAsia="zh-CN"/>
              </w:rPr>
              <w:t>，环境空气G1监测点数据，</w:t>
            </w:r>
            <w:r>
              <w:rPr>
                <w:rFonts w:hint="eastAsia"/>
                <w:color w:val="auto"/>
                <w:highlight w:val="none"/>
              </w:rPr>
              <w:t>详见附件</w:t>
            </w:r>
            <w:r>
              <w:rPr>
                <w:rFonts w:hint="eastAsia"/>
                <w:color w:val="auto"/>
                <w:highlight w:val="none"/>
                <w:lang w:val="en-US" w:eastAsia="zh-CN"/>
              </w:rPr>
              <w:t>5。报告</w:t>
            </w:r>
            <w:r>
              <w:rPr>
                <w:rFonts w:hint="eastAsia"/>
                <w:color w:val="auto"/>
                <w:highlight w:val="none"/>
              </w:rPr>
              <w:t>监测时间为202</w:t>
            </w:r>
            <w:r>
              <w:rPr>
                <w:rFonts w:hint="eastAsia"/>
                <w:color w:val="auto"/>
                <w:highlight w:val="none"/>
                <w:lang w:val="en-US" w:eastAsia="zh-CN"/>
              </w:rPr>
              <w:t>4</w:t>
            </w:r>
            <w:r>
              <w:rPr>
                <w:rFonts w:hint="eastAsia"/>
                <w:color w:val="auto"/>
                <w:highlight w:val="none"/>
              </w:rPr>
              <w:t>年</w:t>
            </w:r>
            <w:r>
              <w:rPr>
                <w:rFonts w:hint="eastAsia"/>
                <w:color w:val="auto"/>
                <w:highlight w:val="none"/>
                <w:lang w:val="en-US" w:eastAsia="zh-CN"/>
              </w:rPr>
              <w:t>8</w:t>
            </w:r>
            <w:r>
              <w:rPr>
                <w:rFonts w:hint="eastAsia"/>
                <w:color w:val="auto"/>
                <w:highlight w:val="none"/>
              </w:rPr>
              <w:t>月</w:t>
            </w:r>
            <w:r>
              <w:rPr>
                <w:rFonts w:hint="eastAsia"/>
                <w:color w:val="auto"/>
                <w:highlight w:val="none"/>
                <w:lang w:val="en-US" w:eastAsia="zh-CN"/>
              </w:rPr>
              <w:t>16</w:t>
            </w:r>
            <w:r>
              <w:rPr>
                <w:rFonts w:hint="eastAsia"/>
                <w:color w:val="auto"/>
                <w:highlight w:val="none"/>
              </w:rPr>
              <w:t>日</w:t>
            </w:r>
            <w:r>
              <w:rPr>
                <w:rFonts w:hint="eastAsia"/>
                <w:color w:val="auto"/>
                <w:highlight w:val="none"/>
                <w:lang w:eastAsia="zh-CN"/>
              </w:rPr>
              <w:t>—</w:t>
            </w:r>
            <w:r>
              <w:rPr>
                <w:rFonts w:hint="eastAsia"/>
                <w:color w:val="auto"/>
                <w:highlight w:val="none"/>
                <w:lang w:val="en-US" w:eastAsia="zh-CN"/>
              </w:rPr>
              <w:t>22</w:t>
            </w:r>
            <w:r>
              <w:rPr>
                <w:rFonts w:hint="eastAsia"/>
                <w:color w:val="auto"/>
                <w:highlight w:val="none"/>
              </w:rPr>
              <w:t>日</w:t>
            </w:r>
            <w:r>
              <w:rPr>
                <w:color w:val="auto"/>
                <w:highlight w:val="none"/>
              </w:rPr>
              <w:t>，监测数据未超过三年，监测点</w:t>
            </w:r>
            <w:r>
              <w:rPr>
                <w:rFonts w:hint="eastAsia"/>
                <w:color w:val="auto"/>
                <w:highlight w:val="none"/>
                <w:lang w:val="en-US" w:eastAsia="zh-CN"/>
              </w:rPr>
              <w:t>位于本项目东南侧约740m</w:t>
            </w:r>
            <w:r>
              <w:rPr>
                <w:color w:val="auto"/>
                <w:highlight w:val="none"/>
              </w:rPr>
              <w:t>，引用监测数据可行</w:t>
            </w:r>
            <w:r>
              <w:rPr>
                <w:rFonts w:hint="eastAsia"/>
                <w:color w:val="auto"/>
                <w:highlight w:val="none"/>
              </w:rPr>
              <w:t>。具体情况如下：</w:t>
            </w:r>
          </w:p>
          <w:p w14:paraId="7C33C6CC">
            <w:pPr>
              <w:pStyle w:val="18"/>
              <w:rPr>
                <w:color w:val="auto"/>
                <w:highlight w:val="none"/>
              </w:rPr>
            </w:pPr>
            <w:r>
              <w:rPr>
                <w:rFonts w:hint="eastAsia"/>
                <w:color w:val="auto"/>
                <w:highlight w:val="none"/>
              </w:rPr>
              <w:t>①监测方案</w:t>
            </w:r>
          </w:p>
          <w:p w14:paraId="11F36EBA">
            <w:pPr>
              <w:pStyle w:val="18"/>
              <w:rPr>
                <w:color w:val="auto"/>
                <w:highlight w:val="none"/>
              </w:rPr>
            </w:pPr>
            <w:r>
              <w:rPr>
                <w:rFonts w:hint="eastAsia"/>
                <w:color w:val="auto"/>
                <w:highlight w:val="none"/>
              </w:rPr>
              <w:t>监测地点：规划区内规划居住用地，编号为G1，</w:t>
            </w:r>
            <w:r>
              <w:rPr>
                <w:color w:val="auto"/>
                <w:highlight w:val="none"/>
              </w:rPr>
              <w:t>监测点</w:t>
            </w:r>
            <w:r>
              <w:rPr>
                <w:rFonts w:hint="eastAsia"/>
                <w:color w:val="auto"/>
                <w:highlight w:val="none"/>
                <w:lang w:val="en-US" w:eastAsia="zh-CN"/>
              </w:rPr>
              <w:t>位于本项目东南侧约740m。</w:t>
            </w:r>
          </w:p>
          <w:p w14:paraId="394BA0FD">
            <w:pPr>
              <w:pStyle w:val="18"/>
              <w:rPr>
                <w:color w:val="auto"/>
                <w:highlight w:val="none"/>
              </w:rPr>
            </w:pPr>
            <w:r>
              <w:rPr>
                <w:rFonts w:hint="eastAsia"/>
                <w:color w:val="auto"/>
                <w:highlight w:val="none"/>
              </w:rPr>
              <w:t>引用监测因子：非甲烷总烃；</w:t>
            </w:r>
          </w:p>
          <w:p w14:paraId="6E410E79">
            <w:pPr>
              <w:pStyle w:val="18"/>
              <w:rPr>
                <w:color w:val="auto"/>
                <w:highlight w:val="none"/>
              </w:rPr>
            </w:pPr>
            <w:r>
              <w:rPr>
                <w:rFonts w:hint="eastAsia"/>
                <w:color w:val="auto"/>
                <w:highlight w:val="none"/>
              </w:rPr>
              <w:t>监测时间及频率：202</w:t>
            </w:r>
            <w:r>
              <w:rPr>
                <w:rFonts w:hint="eastAsia"/>
                <w:color w:val="auto"/>
                <w:highlight w:val="none"/>
                <w:lang w:val="en-US" w:eastAsia="zh-CN"/>
              </w:rPr>
              <w:t>4</w:t>
            </w:r>
            <w:r>
              <w:rPr>
                <w:color w:val="auto"/>
                <w:highlight w:val="none"/>
              </w:rPr>
              <w:t>年</w:t>
            </w:r>
            <w:r>
              <w:rPr>
                <w:rFonts w:hint="eastAsia"/>
                <w:color w:val="auto"/>
                <w:highlight w:val="none"/>
                <w:lang w:val="en-US" w:eastAsia="zh-CN"/>
              </w:rPr>
              <w:t>8</w:t>
            </w:r>
            <w:r>
              <w:rPr>
                <w:color w:val="auto"/>
                <w:highlight w:val="none"/>
              </w:rPr>
              <w:t>月</w:t>
            </w:r>
            <w:r>
              <w:rPr>
                <w:rFonts w:hint="eastAsia"/>
                <w:color w:val="auto"/>
                <w:highlight w:val="none"/>
                <w:lang w:val="en-US" w:eastAsia="zh-CN"/>
              </w:rPr>
              <w:t>16</w:t>
            </w:r>
            <w:r>
              <w:rPr>
                <w:color w:val="auto"/>
                <w:highlight w:val="none"/>
              </w:rPr>
              <w:t>日</w:t>
            </w:r>
            <w:r>
              <w:rPr>
                <w:rFonts w:hint="eastAsia"/>
                <w:color w:val="auto"/>
                <w:highlight w:val="none"/>
                <w:lang w:eastAsia="zh-CN"/>
              </w:rPr>
              <w:t>—</w:t>
            </w:r>
            <w:r>
              <w:rPr>
                <w:rFonts w:hint="eastAsia"/>
                <w:color w:val="auto"/>
                <w:highlight w:val="none"/>
                <w:lang w:val="en-US" w:eastAsia="zh-CN"/>
              </w:rPr>
              <w:t>22</w:t>
            </w:r>
            <w:r>
              <w:rPr>
                <w:color w:val="auto"/>
                <w:highlight w:val="none"/>
              </w:rPr>
              <w:t>日，连续监测7天，每天监测4次小时浓度。</w:t>
            </w:r>
          </w:p>
          <w:p w14:paraId="384AC462">
            <w:pPr>
              <w:pStyle w:val="18"/>
              <w:rPr>
                <w:color w:val="auto"/>
                <w:highlight w:val="none"/>
              </w:rPr>
            </w:pPr>
            <w:r>
              <w:rPr>
                <w:rFonts w:hint="eastAsia"/>
                <w:color w:val="auto"/>
                <w:highlight w:val="none"/>
              </w:rPr>
              <w:t>②评价方法</w:t>
            </w:r>
          </w:p>
          <w:p w14:paraId="499E2BD9">
            <w:pPr>
              <w:pStyle w:val="18"/>
              <w:rPr>
                <w:color w:val="auto"/>
                <w:highlight w:val="none"/>
              </w:rPr>
            </w:pPr>
            <w:r>
              <w:rPr>
                <w:rFonts w:hint="eastAsia"/>
                <w:color w:val="auto"/>
                <w:highlight w:val="none"/>
              </w:rPr>
              <w:t>根据《环境影响评价技术导则 大气环境》（</w:t>
            </w:r>
            <w:r>
              <w:rPr>
                <w:color w:val="auto"/>
                <w:highlight w:val="none"/>
              </w:rPr>
              <w:t>HJ2.2</w:t>
            </w:r>
            <w:r>
              <w:rPr>
                <w:rFonts w:hint="eastAsia"/>
                <w:color w:val="auto"/>
                <w:highlight w:val="none"/>
              </w:rPr>
              <w:t>-</w:t>
            </w:r>
            <w:r>
              <w:rPr>
                <w:color w:val="auto"/>
                <w:highlight w:val="none"/>
              </w:rPr>
              <w:t>20</w:t>
            </w:r>
            <w:r>
              <w:rPr>
                <w:rFonts w:hint="eastAsia"/>
                <w:color w:val="auto"/>
                <w:highlight w:val="none"/>
              </w:rPr>
              <w:t>1</w:t>
            </w:r>
            <w:r>
              <w:rPr>
                <w:color w:val="auto"/>
                <w:highlight w:val="none"/>
              </w:rPr>
              <w:t>8</w:t>
            </w:r>
            <w:r>
              <w:rPr>
                <w:rFonts w:hint="eastAsia"/>
                <w:color w:val="auto"/>
                <w:highlight w:val="none"/>
              </w:rPr>
              <w:t>），采用占标率对项目所在区域环境空气质量进行评价。计算公式如下：</w:t>
            </w:r>
          </w:p>
          <w:p w14:paraId="540D52A8">
            <w:pPr>
              <w:pStyle w:val="18"/>
              <w:ind w:firstLine="0" w:firstLineChars="0"/>
              <w:jc w:val="center"/>
              <w:rPr>
                <w:color w:val="auto"/>
                <w:highlight w:val="none"/>
              </w:rPr>
            </w:pPr>
            <w:r>
              <w:rPr>
                <w:color w:val="auto"/>
                <w:highlight w:val="none"/>
              </w:rPr>
              <w:drawing>
                <wp:inline distT="0" distB="0" distL="114300" distR="114300">
                  <wp:extent cx="1419860" cy="497840"/>
                  <wp:effectExtent l="0" t="0" r="1270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cstate="print"/>
                          <a:srcRect t="9636" b="6424"/>
                          <a:stretch>
                            <a:fillRect/>
                          </a:stretch>
                        </pic:blipFill>
                        <pic:spPr>
                          <a:xfrm>
                            <a:off x="0" y="0"/>
                            <a:ext cx="1419860" cy="497840"/>
                          </a:xfrm>
                          <a:prstGeom prst="rect">
                            <a:avLst/>
                          </a:prstGeom>
                          <a:noFill/>
                          <a:ln>
                            <a:noFill/>
                          </a:ln>
                        </pic:spPr>
                      </pic:pic>
                    </a:graphicData>
                  </a:graphic>
                </wp:inline>
              </w:drawing>
            </w:r>
          </w:p>
          <w:p w14:paraId="5F43CB05">
            <w:pPr>
              <w:pStyle w:val="18"/>
              <w:rPr>
                <w:color w:val="auto"/>
                <w:highlight w:val="none"/>
              </w:rPr>
            </w:pPr>
            <w:r>
              <w:rPr>
                <w:rFonts w:hint="eastAsia"/>
                <w:color w:val="auto"/>
                <w:highlight w:val="none"/>
              </w:rPr>
              <w:t>式中：</w:t>
            </w:r>
            <w:r>
              <w:rPr>
                <w:color w:val="auto"/>
                <w:highlight w:val="none"/>
              </w:rPr>
              <w:t>Pi——</w:t>
            </w:r>
            <w:r>
              <w:rPr>
                <w:rFonts w:hint="eastAsia"/>
                <w:color w:val="auto"/>
                <w:highlight w:val="none"/>
              </w:rPr>
              <w:t>第</w:t>
            </w:r>
            <w:r>
              <w:rPr>
                <w:color w:val="auto"/>
                <w:highlight w:val="none"/>
              </w:rPr>
              <w:t>i</w:t>
            </w:r>
            <w:r>
              <w:rPr>
                <w:rFonts w:hint="eastAsia"/>
                <w:color w:val="auto"/>
                <w:highlight w:val="none"/>
              </w:rPr>
              <w:t>个污染物监测最大浓度占相应标准浓度限值的百分比，</w:t>
            </w:r>
            <w:r>
              <w:rPr>
                <w:color w:val="auto"/>
                <w:highlight w:val="none"/>
              </w:rPr>
              <w:t>%</w:t>
            </w:r>
            <w:r>
              <w:rPr>
                <w:rFonts w:hint="eastAsia"/>
                <w:color w:val="auto"/>
                <w:highlight w:val="none"/>
              </w:rPr>
              <w:t>；</w:t>
            </w:r>
          </w:p>
          <w:p w14:paraId="2EA4C388">
            <w:pPr>
              <w:pStyle w:val="18"/>
              <w:rPr>
                <w:color w:val="auto"/>
                <w:highlight w:val="none"/>
              </w:rPr>
            </w:pPr>
            <w:r>
              <w:rPr>
                <w:color w:val="auto"/>
                <w:highlight w:val="none"/>
              </w:rPr>
              <w:t>Ci——</w:t>
            </w:r>
            <w:r>
              <w:rPr>
                <w:rFonts w:hint="eastAsia"/>
                <w:color w:val="auto"/>
                <w:highlight w:val="none"/>
              </w:rPr>
              <w:t>第</w:t>
            </w:r>
            <w:r>
              <w:rPr>
                <w:color w:val="auto"/>
                <w:highlight w:val="none"/>
              </w:rPr>
              <w:t>i</w:t>
            </w:r>
            <w:r>
              <w:rPr>
                <w:rFonts w:hint="eastAsia"/>
                <w:color w:val="auto"/>
                <w:highlight w:val="none"/>
              </w:rPr>
              <w:t>个污染物的监测浓度值，</w:t>
            </w:r>
            <w:r>
              <w:rPr>
                <w:color w:val="auto"/>
                <w:highlight w:val="none"/>
              </w:rPr>
              <w:t>mg/</w:t>
            </w:r>
            <w:r>
              <w:rPr>
                <w:rFonts w:hint="eastAsia"/>
                <w:color w:val="auto"/>
                <w:highlight w:val="none"/>
              </w:rPr>
              <w:t>m</w:t>
            </w:r>
            <w:r>
              <w:rPr>
                <w:rFonts w:hint="eastAsia"/>
                <w:color w:val="auto"/>
                <w:highlight w:val="none"/>
                <w:vertAlign w:val="superscript"/>
              </w:rPr>
              <w:t>3</w:t>
            </w:r>
            <w:r>
              <w:rPr>
                <w:rFonts w:hint="eastAsia"/>
                <w:color w:val="auto"/>
                <w:highlight w:val="none"/>
              </w:rPr>
              <w:t>；</w:t>
            </w:r>
          </w:p>
          <w:p w14:paraId="60C7B4F3">
            <w:pPr>
              <w:pStyle w:val="18"/>
              <w:rPr>
                <w:color w:val="auto"/>
                <w:highlight w:val="none"/>
              </w:rPr>
            </w:pPr>
            <w:r>
              <w:rPr>
                <w:color w:val="auto"/>
                <w:highlight w:val="none"/>
              </w:rPr>
              <w:t>C0i——</w:t>
            </w:r>
            <w:r>
              <w:rPr>
                <w:rFonts w:hint="eastAsia"/>
                <w:color w:val="auto"/>
                <w:highlight w:val="none"/>
              </w:rPr>
              <w:t>第</w:t>
            </w:r>
            <w:r>
              <w:rPr>
                <w:color w:val="auto"/>
                <w:highlight w:val="none"/>
              </w:rPr>
              <w:t>i</w:t>
            </w:r>
            <w:r>
              <w:rPr>
                <w:rFonts w:hint="eastAsia"/>
                <w:color w:val="auto"/>
                <w:highlight w:val="none"/>
              </w:rPr>
              <w:t>个污染物的环境空气质量标准，</w:t>
            </w:r>
            <w:r>
              <w:rPr>
                <w:color w:val="auto"/>
                <w:highlight w:val="none"/>
              </w:rPr>
              <w:t>mg/</w:t>
            </w:r>
            <w:r>
              <w:rPr>
                <w:rFonts w:hint="eastAsia"/>
                <w:color w:val="auto"/>
                <w:highlight w:val="none"/>
              </w:rPr>
              <w:t>m</w:t>
            </w:r>
            <w:r>
              <w:rPr>
                <w:rFonts w:hint="eastAsia"/>
                <w:color w:val="auto"/>
                <w:highlight w:val="none"/>
                <w:vertAlign w:val="superscript"/>
              </w:rPr>
              <w:t>3</w:t>
            </w:r>
            <w:r>
              <w:rPr>
                <w:rFonts w:hint="eastAsia"/>
                <w:color w:val="auto"/>
                <w:highlight w:val="none"/>
              </w:rPr>
              <w:t>。</w:t>
            </w:r>
          </w:p>
          <w:p w14:paraId="158094BD">
            <w:pPr>
              <w:pStyle w:val="18"/>
              <w:rPr>
                <w:rFonts w:hint="eastAsia"/>
                <w:color w:val="auto"/>
                <w:highlight w:val="none"/>
              </w:rPr>
            </w:pPr>
            <w:r>
              <w:rPr>
                <w:rFonts w:hint="eastAsia"/>
                <w:color w:val="auto"/>
                <w:highlight w:val="none"/>
              </w:rPr>
              <w:t>③监测结果及分析</w:t>
            </w:r>
          </w:p>
          <w:p w14:paraId="3CF1C42A">
            <w:pPr>
              <w:pStyle w:val="18"/>
              <w:rPr>
                <w:color w:val="auto"/>
                <w:highlight w:val="none"/>
              </w:rPr>
            </w:pPr>
            <w:r>
              <w:rPr>
                <w:rFonts w:hint="eastAsia"/>
                <w:color w:val="auto"/>
                <w:highlight w:val="none"/>
              </w:rPr>
              <w:t>监测点环境空气质量现状监测结果统计见</w:t>
            </w:r>
            <w:r>
              <w:rPr>
                <w:rFonts w:hint="eastAsia"/>
                <w:color w:val="auto"/>
                <w:highlight w:val="none"/>
              </w:rPr>
              <w:fldChar w:fldCharType="begin"/>
            </w:r>
            <w:r>
              <w:rPr>
                <w:rFonts w:hint="eastAsia"/>
                <w:color w:val="auto"/>
                <w:highlight w:val="none"/>
              </w:rPr>
              <w:instrText xml:space="preserve"> REF _Ref20055 \h </w:instrText>
            </w:r>
            <w:r>
              <w:rPr>
                <w:rFonts w:hint="eastAsia"/>
                <w:color w:val="auto"/>
                <w:highlight w:val="none"/>
              </w:rPr>
              <w:fldChar w:fldCharType="separate"/>
            </w:r>
            <w:r>
              <w:rPr>
                <w:color w:val="auto"/>
                <w:highlight w:val="none"/>
              </w:rPr>
              <w:t>表3-2</w:t>
            </w:r>
            <w:r>
              <w:rPr>
                <w:rFonts w:hint="eastAsia"/>
                <w:color w:val="auto"/>
                <w:highlight w:val="none"/>
              </w:rPr>
              <w:fldChar w:fldCharType="end"/>
            </w:r>
            <w:r>
              <w:rPr>
                <w:rFonts w:hint="eastAsia"/>
                <w:color w:val="auto"/>
                <w:highlight w:val="none"/>
              </w:rPr>
              <w:t>。</w:t>
            </w:r>
          </w:p>
          <w:p w14:paraId="733048EF">
            <w:pPr>
              <w:pStyle w:val="19"/>
              <w:spacing w:before="156"/>
              <w:rPr>
                <w:color w:val="auto"/>
                <w:highlight w:val="none"/>
              </w:rPr>
            </w:pPr>
            <w:bookmarkStart w:id="25" w:name="_Ref20055"/>
            <w:r>
              <w:rPr>
                <w:color w:val="auto"/>
                <w:highlight w:val="none"/>
              </w:rPr>
              <w:t>表3-</w:t>
            </w:r>
            <w:r>
              <w:rPr>
                <w:color w:val="auto"/>
                <w:highlight w:val="none"/>
              </w:rPr>
              <w:fldChar w:fldCharType="begin"/>
            </w:r>
            <w:r>
              <w:rPr>
                <w:color w:val="auto"/>
                <w:highlight w:val="none"/>
              </w:rPr>
              <w:instrText xml:space="preserve"> SEQ 表3- \* ARABIC </w:instrText>
            </w:r>
            <w:r>
              <w:rPr>
                <w:color w:val="auto"/>
                <w:highlight w:val="none"/>
              </w:rPr>
              <w:fldChar w:fldCharType="separate"/>
            </w:r>
            <w:r>
              <w:rPr>
                <w:color w:val="auto"/>
                <w:highlight w:val="none"/>
              </w:rPr>
              <w:t>2</w:t>
            </w:r>
            <w:r>
              <w:rPr>
                <w:color w:val="auto"/>
                <w:highlight w:val="none"/>
              </w:rPr>
              <w:fldChar w:fldCharType="end"/>
            </w:r>
            <w:bookmarkEnd w:id="25"/>
            <w:r>
              <w:rPr>
                <w:rFonts w:hint="eastAsia"/>
                <w:color w:val="auto"/>
                <w:highlight w:val="none"/>
              </w:rPr>
              <w:t xml:space="preserve"> </w:t>
            </w:r>
            <w:r>
              <w:rPr>
                <w:rFonts w:hint="eastAsia"/>
                <w:color w:val="auto"/>
                <w:highlight w:val="none"/>
                <w:lang w:val="en-US" w:eastAsia="zh-CN"/>
              </w:rPr>
              <w:t>特征</w:t>
            </w:r>
            <w:r>
              <w:rPr>
                <w:rFonts w:hint="eastAsia"/>
                <w:color w:val="auto"/>
                <w:highlight w:val="none"/>
              </w:rPr>
              <w:t>污染物环境质量现状表</w:t>
            </w:r>
          </w:p>
          <w:tbl>
            <w:tblPr>
              <w:tblStyle w:val="14"/>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715"/>
              <w:gridCol w:w="1641"/>
              <w:gridCol w:w="1260"/>
              <w:gridCol w:w="970"/>
              <w:gridCol w:w="1248"/>
              <w:gridCol w:w="783"/>
              <w:gridCol w:w="708"/>
            </w:tblGrid>
            <w:tr w14:paraId="442E9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029" w:type="pct"/>
                  <w:tcBorders>
                    <w:tl2br w:val="nil"/>
                    <w:tr2bl w:val="nil"/>
                  </w:tcBorders>
                  <w:vAlign w:val="center"/>
                </w:tcPr>
                <w:p w14:paraId="3F8D9614">
                  <w:pPr>
                    <w:pStyle w:val="20"/>
                    <w:spacing w:before="31"/>
                    <w:rPr>
                      <w:b/>
                      <w:bCs/>
                      <w:color w:val="auto"/>
                      <w:highlight w:val="none"/>
                    </w:rPr>
                  </w:pPr>
                  <w:r>
                    <w:rPr>
                      <w:rFonts w:hint="eastAsia"/>
                      <w:b/>
                      <w:bCs/>
                      <w:color w:val="auto"/>
                      <w:highlight w:val="none"/>
                    </w:rPr>
                    <w:t>监测点位</w:t>
                  </w:r>
                </w:p>
              </w:tc>
              <w:tc>
                <w:tcPr>
                  <w:tcW w:w="985" w:type="pct"/>
                  <w:tcBorders>
                    <w:tl2br w:val="nil"/>
                    <w:tr2bl w:val="nil"/>
                  </w:tcBorders>
                  <w:vAlign w:val="center"/>
                </w:tcPr>
                <w:p w14:paraId="58D2F540">
                  <w:pPr>
                    <w:pStyle w:val="20"/>
                    <w:spacing w:before="31"/>
                    <w:rPr>
                      <w:b/>
                      <w:bCs/>
                      <w:color w:val="auto"/>
                      <w:highlight w:val="none"/>
                    </w:rPr>
                  </w:pPr>
                  <w:r>
                    <w:rPr>
                      <w:rFonts w:hint="eastAsia"/>
                      <w:b/>
                      <w:bCs/>
                      <w:color w:val="auto"/>
                      <w:highlight w:val="none"/>
                    </w:rPr>
                    <w:t>污染物</w:t>
                  </w:r>
                </w:p>
              </w:tc>
              <w:tc>
                <w:tcPr>
                  <w:tcW w:w="756" w:type="pct"/>
                  <w:tcBorders>
                    <w:tl2br w:val="nil"/>
                    <w:tr2bl w:val="nil"/>
                  </w:tcBorders>
                  <w:vAlign w:val="center"/>
                </w:tcPr>
                <w:p w14:paraId="2E69284B">
                  <w:pPr>
                    <w:pStyle w:val="20"/>
                    <w:spacing w:before="31"/>
                    <w:rPr>
                      <w:b/>
                      <w:bCs/>
                      <w:color w:val="auto"/>
                      <w:highlight w:val="none"/>
                    </w:rPr>
                  </w:pPr>
                  <w:r>
                    <w:rPr>
                      <w:rFonts w:hint="eastAsia"/>
                      <w:b/>
                      <w:bCs/>
                      <w:color w:val="auto"/>
                      <w:highlight w:val="none"/>
                    </w:rPr>
                    <w:t>评价标准值</w:t>
                  </w:r>
                </w:p>
              </w:tc>
              <w:tc>
                <w:tcPr>
                  <w:tcW w:w="582" w:type="pct"/>
                  <w:tcBorders>
                    <w:tl2br w:val="nil"/>
                    <w:tr2bl w:val="nil"/>
                  </w:tcBorders>
                  <w:vAlign w:val="center"/>
                </w:tcPr>
                <w:p w14:paraId="4E00BFFE">
                  <w:pPr>
                    <w:pStyle w:val="20"/>
                    <w:spacing w:before="31"/>
                    <w:rPr>
                      <w:b/>
                      <w:bCs/>
                      <w:color w:val="auto"/>
                      <w:highlight w:val="none"/>
                    </w:rPr>
                  </w:pPr>
                  <w:r>
                    <w:rPr>
                      <w:rFonts w:hint="eastAsia"/>
                      <w:b/>
                      <w:bCs/>
                      <w:color w:val="auto"/>
                      <w:highlight w:val="none"/>
                    </w:rPr>
                    <w:t>监测浓度范围</w:t>
                  </w:r>
                </w:p>
              </w:tc>
              <w:tc>
                <w:tcPr>
                  <w:tcW w:w="749" w:type="pct"/>
                  <w:tcBorders>
                    <w:tl2br w:val="nil"/>
                    <w:tr2bl w:val="nil"/>
                  </w:tcBorders>
                  <w:vAlign w:val="center"/>
                </w:tcPr>
                <w:p w14:paraId="6144A4F0">
                  <w:pPr>
                    <w:pStyle w:val="20"/>
                    <w:spacing w:before="31"/>
                    <w:rPr>
                      <w:b/>
                      <w:bCs/>
                      <w:color w:val="auto"/>
                      <w:highlight w:val="none"/>
                    </w:rPr>
                  </w:pPr>
                  <w:r>
                    <w:rPr>
                      <w:rFonts w:hint="eastAsia"/>
                      <w:b/>
                      <w:bCs/>
                      <w:color w:val="auto"/>
                      <w:highlight w:val="none"/>
                    </w:rPr>
                    <w:t>最大浓度占标率（%）</w:t>
                  </w:r>
                </w:p>
              </w:tc>
              <w:tc>
                <w:tcPr>
                  <w:tcW w:w="470" w:type="pct"/>
                  <w:tcBorders>
                    <w:tl2br w:val="nil"/>
                    <w:tr2bl w:val="nil"/>
                  </w:tcBorders>
                  <w:vAlign w:val="center"/>
                </w:tcPr>
                <w:p w14:paraId="49CA504D">
                  <w:pPr>
                    <w:pStyle w:val="20"/>
                    <w:spacing w:before="31"/>
                    <w:rPr>
                      <w:b/>
                      <w:bCs/>
                      <w:color w:val="auto"/>
                      <w:highlight w:val="none"/>
                    </w:rPr>
                  </w:pPr>
                  <w:r>
                    <w:rPr>
                      <w:rFonts w:hint="eastAsia"/>
                      <w:b/>
                      <w:bCs/>
                      <w:color w:val="auto"/>
                      <w:highlight w:val="none"/>
                    </w:rPr>
                    <w:t>超标率（%）</w:t>
                  </w:r>
                </w:p>
              </w:tc>
              <w:tc>
                <w:tcPr>
                  <w:tcW w:w="425" w:type="pct"/>
                  <w:tcBorders>
                    <w:tl2br w:val="nil"/>
                    <w:tr2bl w:val="nil"/>
                  </w:tcBorders>
                  <w:vAlign w:val="center"/>
                </w:tcPr>
                <w:p w14:paraId="129B30A5">
                  <w:pPr>
                    <w:pStyle w:val="20"/>
                    <w:spacing w:before="31"/>
                    <w:rPr>
                      <w:b/>
                      <w:bCs/>
                      <w:color w:val="auto"/>
                      <w:highlight w:val="none"/>
                    </w:rPr>
                  </w:pPr>
                  <w:r>
                    <w:rPr>
                      <w:rFonts w:hint="eastAsia"/>
                      <w:b/>
                      <w:bCs/>
                      <w:color w:val="auto"/>
                      <w:highlight w:val="none"/>
                    </w:rPr>
                    <w:t>达标情况</w:t>
                  </w:r>
                </w:p>
              </w:tc>
            </w:tr>
            <w:tr w14:paraId="1C3E0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29" w:type="pct"/>
                  <w:tcBorders>
                    <w:tl2br w:val="nil"/>
                    <w:tr2bl w:val="nil"/>
                  </w:tcBorders>
                  <w:vAlign w:val="center"/>
                </w:tcPr>
                <w:p w14:paraId="7D91D004">
                  <w:pPr>
                    <w:pStyle w:val="20"/>
                    <w:spacing w:before="31"/>
                    <w:rPr>
                      <w:rFonts w:hint="default" w:eastAsia="宋体"/>
                      <w:color w:val="auto"/>
                      <w:highlight w:val="none"/>
                      <w:lang w:val="en-US" w:eastAsia="zh-CN"/>
                    </w:rPr>
                  </w:pPr>
                  <w:r>
                    <w:rPr>
                      <w:rFonts w:hint="eastAsia"/>
                      <w:color w:val="auto"/>
                      <w:highlight w:val="none"/>
                    </w:rPr>
                    <w:t>规划区内规划居住用地</w:t>
                  </w:r>
                  <w:r>
                    <w:rPr>
                      <w:rFonts w:hint="eastAsia"/>
                      <w:color w:val="auto"/>
                      <w:highlight w:val="none"/>
                      <w:lang w:val="en-US" w:eastAsia="zh-CN"/>
                    </w:rPr>
                    <w:t>G1</w:t>
                  </w:r>
                </w:p>
              </w:tc>
              <w:tc>
                <w:tcPr>
                  <w:tcW w:w="985" w:type="pct"/>
                  <w:tcBorders>
                    <w:tl2br w:val="nil"/>
                    <w:tr2bl w:val="nil"/>
                  </w:tcBorders>
                  <w:shd w:val="clear" w:color="auto" w:fill="auto"/>
                  <w:vAlign w:val="center"/>
                </w:tcPr>
                <w:p w14:paraId="73A2AD15">
                  <w:pPr>
                    <w:pStyle w:val="20"/>
                    <w:spacing w:before="31"/>
                    <w:rPr>
                      <w:rFonts w:ascii="Times New Roman" w:hAnsi="Times New Roman" w:eastAsia="宋体" w:cs="宋体"/>
                      <w:color w:val="auto"/>
                      <w:kern w:val="2"/>
                      <w:sz w:val="21"/>
                      <w:szCs w:val="21"/>
                      <w:highlight w:val="none"/>
                      <w:lang w:val="en-US" w:eastAsia="zh-CN" w:bidi="ar-SA"/>
                    </w:rPr>
                  </w:pPr>
                  <w:r>
                    <w:rPr>
                      <w:rFonts w:hint="eastAsia"/>
                      <w:color w:val="auto"/>
                      <w:highlight w:val="none"/>
                    </w:rPr>
                    <w:t>非甲烷总烃</w:t>
                  </w:r>
                </w:p>
              </w:tc>
              <w:tc>
                <w:tcPr>
                  <w:tcW w:w="756" w:type="pct"/>
                  <w:tcBorders>
                    <w:tl2br w:val="nil"/>
                    <w:tr2bl w:val="nil"/>
                  </w:tcBorders>
                  <w:shd w:val="clear" w:color="auto" w:fill="auto"/>
                  <w:vAlign w:val="center"/>
                </w:tcPr>
                <w:p w14:paraId="6D035218">
                  <w:pPr>
                    <w:pStyle w:val="20"/>
                    <w:spacing w:before="31"/>
                    <w:rPr>
                      <w:rFonts w:ascii="Times New Roman" w:hAnsi="Times New Roman" w:eastAsia="宋体" w:cs="宋体"/>
                      <w:color w:val="auto"/>
                      <w:kern w:val="2"/>
                      <w:sz w:val="21"/>
                      <w:szCs w:val="21"/>
                      <w:highlight w:val="none"/>
                      <w:lang w:val="en-US" w:eastAsia="zh-CN" w:bidi="ar-SA"/>
                    </w:rPr>
                  </w:pPr>
                  <w:r>
                    <w:rPr>
                      <w:rFonts w:hint="eastAsia"/>
                      <w:color w:val="auto"/>
                      <w:highlight w:val="none"/>
                    </w:rPr>
                    <w:t>2.0</w:t>
                  </w:r>
                  <w:r>
                    <w:rPr>
                      <w:rFonts w:hint="eastAsia"/>
                      <w:color w:val="auto"/>
                      <w:highlight w:val="none"/>
                    </w:rPr>
                    <w:br w:type="textWrapping"/>
                  </w:r>
                  <w:r>
                    <w:rPr>
                      <w:rFonts w:hint="eastAsia"/>
                      <w:color w:val="auto"/>
                      <w:highlight w:val="none"/>
                    </w:rPr>
                    <w:t>m</w:t>
                  </w:r>
                  <w:r>
                    <w:rPr>
                      <w:color w:val="auto"/>
                      <w:highlight w:val="none"/>
                    </w:rPr>
                    <w:t>g</w:t>
                  </w:r>
                  <w:r>
                    <w:rPr>
                      <w:rFonts w:hint="eastAsia"/>
                      <w:color w:val="auto"/>
                      <w:highlight w:val="none"/>
                    </w:rPr>
                    <w:t>/m</w:t>
                  </w:r>
                  <w:r>
                    <w:rPr>
                      <w:rFonts w:hint="eastAsia"/>
                      <w:color w:val="auto"/>
                      <w:highlight w:val="none"/>
                      <w:vertAlign w:val="superscript"/>
                    </w:rPr>
                    <w:t>3</w:t>
                  </w:r>
                </w:p>
              </w:tc>
              <w:tc>
                <w:tcPr>
                  <w:tcW w:w="582" w:type="pct"/>
                  <w:tcBorders>
                    <w:tl2br w:val="nil"/>
                    <w:tr2bl w:val="nil"/>
                  </w:tcBorders>
                  <w:shd w:val="clear" w:color="auto" w:fill="auto"/>
                  <w:vAlign w:val="center"/>
                </w:tcPr>
                <w:p w14:paraId="7ECBA006">
                  <w:pPr>
                    <w:pStyle w:val="20"/>
                    <w:spacing w:before="31"/>
                    <w:rPr>
                      <w:rFonts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0.47</w:t>
                  </w:r>
                  <w:r>
                    <w:rPr>
                      <w:rFonts w:hint="eastAsia"/>
                      <w:color w:val="auto"/>
                      <w:highlight w:val="none"/>
                    </w:rPr>
                    <w:t>-0.</w:t>
                  </w:r>
                  <w:r>
                    <w:rPr>
                      <w:rFonts w:hint="eastAsia"/>
                      <w:color w:val="auto"/>
                      <w:highlight w:val="none"/>
                      <w:lang w:val="en-US" w:eastAsia="zh-CN"/>
                    </w:rPr>
                    <w:t>77</w:t>
                  </w:r>
                  <w:r>
                    <w:rPr>
                      <w:rFonts w:hint="eastAsia"/>
                      <w:color w:val="auto"/>
                      <w:highlight w:val="none"/>
                      <w:lang w:val="en-US" w:eastAsia="zh-CN"/>
                    </w:rPr>
                    <w:br w:type="textWrapping"/>
                  </w:r>
                  <w:r>
                    <w:rPr>
                      <w:rFonts w:hint="eastAsia"/>
                      <w:color w:val="auto"/>
                      <w:highlight w:val="none"/>
                    </w:rPr>
                    <w:t>m</w:t>
                  </w:r>
                  <w:r>
                    <w:rPr>
                      <w:color w:val="auto"/>
                      <w:highlight w:val="none"/>
                    </w:rPr>
                    <w:t>g</w:t>
                  </w:r>
                  <w:r>
                    <w:rPr>
                      <w:rFonts w:hint="eastAsia"/>
                      <w:color w:val="auto"/>
                      <w:highlight w:val="none"/>
                    </w:rPr>
                    <w:t>/m</w:t>
                  </w:r>
                  <w:r>
                    <w:rPr>
                      <w:rFonts w:hint="eastAsia"/>
                      <w:color w:val="auto"/>
                      <w:highlight w:val="none"/>
                      <w:vertAlign w:val="superscript"/>
                    </w:rPr>
                    <w:t>3</w:t>
                  </w:r>
                </w:p>
              </w:tc>
              <w:tc>
                <w:tcPr>
                  <w:tcW w:w="749" w:type="pct"/>
                  <w:tcBorders>
                    <w:tl2br w:val="nil"/>
                    <w:tr2bl w:val="nil"/>
                  </w:tcBorders>
                  <w:shd w:val="clear" w:color="auto" w:fill="auto"/>
                  <w:vAlign w:val="center"/>
                </w:tcPr>
                <w:p w14:paraId="49ABECD8">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38.5</w:t>
                  </w:r>
                </w:p>
              </w:tc>
              <w:tc>
                <w:tcPr>
                  <w:tcW w:w="470" w:type="pct"/>
                  <w:tcBorders>
                    <w:tl2br w:val="nil"/>
                    <w:tr2bl w:val="nil"/>
                  </w:tcBorders>
                  <w:shd w:val="clear" w:color="auto" w:fill="auto"/>
                  <w:vAlign w:val="center"/>
                </w:tcPr>
                <w:p w14:paraId="0DDC8224">
                  <w:pPr>
                    <w:pStyle w:val="20"/>
                    <w:spacing w:before="31"/>
                    <w:rPr>
                      <w:rFonts w:ascii="Times New Roman" w:hAnsi="Times New Roman" w:eastAsia="宋体" w:cs="宋体"/>
                      <w:color w:val="auto"/>
                      <w:kern w:val="2"/>
                      <w:sz w:val="21"/>
                      <w:szCs w:val="21"/>
                      <w:highlight w:val="none"/>
                      <w:lang w:val="en-US" w:eastAsia="zh-CN" w:bidi="ar-SA"/>
                    </w:rPr>
                  </w:pPr>
                  <w:r>
                    <w:rPr>
                      <w:rFonts w:hint="eastAsia"/>
                      <w:color w:val="auto"/>
                      <w:highlight w:val="none"/>
                    </w:rPr>
                    <w:t>0</w:t>
                  </w:r>
                </w:p>
              </w:tc>
              <w:tc>
                <w:tcPr>
                  <w:tcW w:w="425" w:type="pct"/>
                  <w:tcBorders>
                    <w:tl2br w:val="nil"/>
                    <w:tr2bl w:val="nil"/>
                  </w:tcBorders>
                  <w:shd w:val="clear" w:color="auto" w:fill="auto"/>
                  <w:vAlign w:val="center"/>
                </w:tcPr>
                <w:p w14:paraId="1D13548E">
                  <w:pPr>
                    <w:pStyle w:val="20"/>
                    <w:spacing w:before="31"/>
                    <w:rPr>
                      <w:rFonts w:ascii="Times New Roman" w:hAnsi="Times New Roman" w:eastAsia="宋体" w:cs="宋体"/>
                      <w:color w:val="auto"/>
                      <w:kern w:val="2"/>
                      <w:sz w:val="21"/>
                      <w:szCs w:val="21"/>
                      <w:highlight w:val="none"/>
                      <w:lang w:val="en-US" w:eastAsia="zh-CN" w:bidi="ar-SA"/>
                    </w:rPr>
                  </w:pPr>
                  <w:r>
                    <w:rPr>
                      <w:rFonts w:hint="eastAsia"/>
                      <w:color w:val="auto"/>
                      <w:highlight w:val="none"/>
                    </w:rPr>
                    <w:t>达标</w:t>
                  </w:r>
                </w:p>
              </w:tc>
            </w:tr>
          </w:tbl>
          <w:p w14:paraId="1F32705C">
            <w:pPr>
              <w:pStyle w:val="18"/>
              <w:rPr>
                <w:color w:val="auto"/>
                <w:highlight w:val="none"/>
              </w:rPr>
            </w:pPr>
            <w:r>
              <w:rPr>
                <w:rFonts w:hint="eastAsia"/>
                <w:color w:val="auto"/>
                <w:highlight w:val="none"/>
              </w:rPr>
              <w:t>根据表3-2，项目所在区域非甲烷总烃满足《环境空气质量 非甲烷总烃限值》（DB 13/1577-2012）中二级标准限值要求。项目所在区域环境空气质量现状较好。</w:t>
            </w:r>
          </w:p>
          <w:p w14:paraId="39F40B13">
            <w:pPr>
              <w:pStyle w:val="2"/>
              <w:numPr>
                <w:ilvl w:val="0"/>
                <w:numId w:val="6"/>
              </w:numPr>
              <w:spacing w:before="156"/>
              <w:rPr>
                <w:color w:val="auto"/>
                <w:highlight w:val="none"/>
              </w:rPr>
            </w:pPr>
            <w:r>
              <w:rPr>
                <w:rFonts w:hint="eastAsia"/>
                <w:color w:val="auto"/>
                <w:highlight w:val="none"/>
              </w:rPr>
              <w:t>地表水环境质量现状</w:t>
            </w:r>
          </w:p>
          <w:p w14:paraId="1D96158E">
            <w:pPr>
              <w:pStyle w:val="18"/>
              <w:rPr>
                <w:color w:val="auto"/>
                <w:highlight w:val="none"/>
              </w:rPr>
            </w:pPr>
            <w:r>
              <w:rPr>
                <w:rFonts w:hint="eastAsia"/>
                <w:color w:val="auto"/>
                <w:highlight w:val="none"/>
                <w:lang w:eastAsia="zh-CN"/>
              </w:rPr>
              <w:t>扩建项目</w:t>
            </w:r>
            <w:r>
              <w:rPr>
                <w:rFonts w:hint="eastAsia"/>
                <w:color w:val="auto"/>
                <w:highlight w:val="none"/>
              </w:rPr>
              <w:t>废水经西彭工业园区污水处理厂处理达标后排入桥头河，最终汇入长江。根据</w:t>
            </w:r>
            <w:r>
              <w:rPr>
                <w:color w:val="auto"/>
                <w:highlight w:val="none"/>
              </w:rPr>
              <w:t>《重庆西彭工业园区规划环境影响报告书》</w:t>
            </w:r>
            <w:r>
              <w:rPr>
                <w:rFonts w:hint="eastAsia"/>
                <w:color w:val="auto"/>
                <w:highlight w:val="none"/>
              </w:rPr>
              <w:t>，项目所在区域桥头河未划分水域功能，长江新瓦房-大溪河口段水域范围属</w:t>
            </w:r>
            <w:r>
              <w:rPr>
                <w:rFonts w:cs="Times New Roman"/>
                <w:color w:val="auto"/>
                <w:highlight w:val="none"/>
              </w:rPr>
              <w:t>Ⅱ</w:t>
            </w:r>
            <w:r>
              <w:rPr>
                <w:rFonts w:hint="eastAsia"/>
                <w:color w:val="auto"/>
                <w:highlight w:val="none"/>
              </w:rPr>
              <w:t>类水域。</w:t>
            </w:r>
            <w:r>
              <w:rPr>
                <w:color w:val="auto"/>
                <w:highlight w:val="none"/>
              </w:rPr>
              <w:t>桥头河汇入长江口上游500m至大溪河口长江段属于Ⅱ类水域，执行《地表水环境质量标准》（GB3838-2002）Ⅱ类标准要求。</w:t>
            </w:r>
          </w:p>
          <w:p w14:paraId="392E7650">
            <w:pPr>
              <w:pStyle w:val="18"/>
              <w:rPr>
                <w:color w:val="auto"/>
                <w:highlight w:val="none"/>
              </w:rPr>
            </w:pPr>
            <w:r>
              <w:rPr>
                <w:rFonts w:hint="eastAsia"/>
                <w:color w:val="auto"/>
                <w:highlight w:val="none"/>
              </w:rPr>
              <w:t>根据</w:t>
            </w:r>
            <w:r>
              <w:rPr>
                <w:rFonts w:hint="default"/>
                <w:color w:val="auto"/>
                <w:highlight w:val="none"/>
                <w:lang w:val="en-US" w:eastAsia="zh-CN"/>
              </w:rPr>
              <w:t>202</w:t>
            </w:r>
            <w:r>
              <w:rPr>
                <w:rFonts w:hint="eastAsia"/>
                <w:color w:val="auto"/>
                <w:highlight w:val="none"/>
                <w:lang w:val="en-US" w:eastAsia="zh-CN"/>
              </w:rPr>
              <w:t>5</w:t>
            </w:r>
            <w:r>
              <w:rPr>
                <w:rFonts w:hint="default"/>
                <w:color w:val="auto"/>
                <w:highlight w:val="none"/>
                <w:lang w:val="en-US" w:eastAsia="zh-CN"/>
              </w:rPr>
              <w:t>年</w:t>
            </w:r>
            <w:r>
              <w:rPr>
                <w:rFonts w:hint="eastAsia"/>
                <w:color w:val="auto"/>
                <w:highlight w:val="none"/>
                <w:lang w:val="en-US" w:eastAsia="zh-CN"/>
              </w:rPr>
              <w:t>5</w:t>
            </w:r>
            <w:r>
              <w:rPr>
                <w:rFonts w:hint="default"/>
                <w:color w:val="auto"/>
                <w:highlight w:val="none"/>
                <w:lang w:val="en-US" w:eastAsia="zh-CN"/>
              </w:rPr>
              <w:t>月</w:t>
            </w:r>
            <w:r>
              <w:rPr>
                <w:rFonts w:hint="eastAsia"/>
                <w:color w:val="auto"/>
                <w:highlight w:val="none"/>
                <w:lang w:val="en-US" w:eastAsia="zh-CN"/>
              </w:rPr>
              <w:t>30日</w:t>
            </w:r>
            <w:r>
              <w:rPr>
                <w:rFonts w:hint="default"/>
                <w:color w:val="auto"/>
                <w:highlight w:val="none"/>
                <w:lang w:val="en-US" w:eastAsia="zh-CN"/>
              </w:rPr>
              <w:t>发布的《202</w:t>
            </w:r>
            <w:r>
              <w:rPr>
                <w:rFonts w:hint="eastAsia"/>
                <w:color w:val="auto"/>
                <w:highlight w:val="none"/>
                <w:lang w:val="en-US" w:eastAsia="zh-CN"/>
              </w:rPr>
              <w:t>4</w:t>
            </w:r>
            <w:r>
              <w:rPr>
                <w:rFonts w:hint="default"/>
                <w:color w:val="auto"/>
                <w:highlight w:val="none"/>
                <w:lang w:val="en-US" w:eastAsia="zh-CN"/>
              </w:rPr>
              <w:t>年重庆市生态环境状况公报》</w:t>
            </w:r>
            <w:r>
              <w:rPr>
                <w:color w:val="auto"/>
                <w:highlight w:val="none"/>
              </w:rPr>
              <w:t>中</w:t>
            </w:r>
            <w:r>
              <w:rPr>
                <w:rFonts w:hint="eastAsia"/>
                <w:color w:val="auto"/>
                <w:highlight w:val="none"/>
              </w:rPr>
              <w:t>“长江干流重庆段水质为优，20个监测断面水质均为</w:t>
            </w:r>
            <w:r>
              <w:rPr>
                <w:rFonts w:hint="eastAsia"/>
                <w:color w:val="auto"/>
                <w:highlight w:val="none"/>
                <w:lang w:eastAsia="zh-CN"/>
              </w:rPr>
              <w:t>Ⅱ类</w:t>
            </w:r>
            <w:r>
              <w:rPr>
                <w:rFonts w:hint="eastAsia"/>
                <w:color w:val="auto"/>
                <w:highlight w:val="none"/>
              </w:rPr>
              <w:t>”的描述，项目所在区域地表水环境状况较好，符合</w:t>
            </w:r>
            <w:r>
              <w:rPr>
                <w:color w:val="auto"/>
                <w:highlight w:val="none"/>
              </w:rPr>
              <w:t>《地表水环境质量标准》（GB3838-2002）Ⅱ类标准要求</w:t>
            </w:r>
            <w:r>
              <w:rPr>
                <w:rFonts w:hint="eastAsia"/>
                <w:color w:val="auto"/>
                <w:highlight w:val="none"/>
              </w:rPr>
              <w:t>。</w:t>
            </w:r>
          </w:p>
          <w:p w14:paraId="7395412D">
            <w:pPr>
              <w:pStyle w:val="2"/>
              <w:numPr>
                <w:ilvl w:val="0"/>
                <w:numId w:val="6"/>
              </w:numPr>
              <w:spacing w:before="156"/>
              <w:rPr>
                <w:color w:val="auto"/>
                <w:highlight w:val="none"/>
              </w:rPr>
            </w:pPr>
            <w:r>
              <w:rPr>
                <w:rFonts w:hint="eastAsia"/>
                <w:color w:val="auto"/>
                <w:highlight w:val="none"/>
              </w:rPr>
              <w:t>声环境质量现状</w:t>
            </w:r>
          </w:p>
          <w:p w14:paraId="3757FD8C">
            <w:pPr>
              <w:pStyle w:val="18"/>
              <w:rPr>
                <w:color w:val="auto"/>
                <w:highlight w:val="none"/>
              </w:rPr>
            </w:pPr>
            <w:r>
              <w:rPr>
                <w:rFonts w:hint="eastAsia"/>
                <w:color w:val="auto"/>
                <w:highlight w:val="none"/>
                <w:lang w:eastAsia="zh-CN"/>
              </w:rPr>
              <w:t>扩建项目</w:t>
            </w:r>
            <w:r>
              <w:rPr>
                <w:rFonts w:hint="eastAsia"/>
                <w:color w:val="auto"/>
                <w:highlight w:val="none"/>
              </w:rPr>
              <w:t>位于重庆市西彭工业园区西彭组团</w:t>
            </w:r>
            <w:r>
              <w:rPr>
                <w:rFonts w:hint="eastAsia"/>
                <w:color w:val="auto"/>
                <w:highlight w:val="none"/>
                <w:lang w:val="en-US" w:eastAsia="zh-CN"/>
              </w:rPr>
              <w:t>A</w:t>
            </w:r>
            <w:r>
              <w:rPr>
                <w:rFonts w:hint="eastAsia"/>
                <w:color w:val="auto"/>
                <w:highlight w:val="none"/>
              </w:rPr>
              <w:t>标准分区，周边均为工业企业，厂界外周边50米范围无声环境保护目标，根据《建设项目环境影响报告表编制技术指南（污染影响类）（试行）》，可不进行声环境质量现状监测。</w:t>
            </w:r>
          </w:p>
          <w:p w14:paraId="635D548D">
            <w:pPr>
              <w:pStyle w:val="2"/>
              <w:numPr>
                <w:ilvl w:val="0"/>
                <w:numId w:val="6"/>
              </w:numPr>
              <w:spacing w:before="156"/>
              <w:rPr>
                <w:color w:val="auto"/>
                <w:highlight w:val="none"/>
              </w:rPr>
            </w:pPr>
            <w:r>
              <w:rPr>
                <w:rFonts w:hint="eastAsia"/>
                <w:color w:val="auto"/>
                <w:highlight w:val="none"/>
              </w:rPr>
              <w:t>生态环境质量现状</w:t>
            </w:r>
          </w:p>
          <w:p w14:paraId="280E71A5">
            <w:pPr>
              <w:pStyle w:val="18"/>
              <w:rPr>
                <w:color w:val="auto"/>
                <w:highlight w:val="none"/>
              </w:rPr>
            </w:pPr>
            <w:r>
              <w:rPr>
                <w:rFonts w:hint="eastAsia"/>
                <w:color w:val="auto"/>
                <w:highlight w:val="none"/>
                <w:lang w:eastAsia="zh-CN"/>
              </w:rPr>
              <w:t>扩建项目</w:t>
            </w:r>
            <w:r>
              <w:rPr>
                <w:rFonts w:hint="eastAsia"/>
                <w:color w:val="auto"/>
                <w:highlight w:val="none"/>
              </w:rPr>
              <w:t>不属于产业园区外新增用地建设项目，</w:t>
            </w:r>
            <w:r>
              <w:rPr>
                <w:color w:val="auto"/>
                <w:highlight w:val="none"/>
              </w:rPr>
              <w:t>可不进行生态现状调查。</w:t>
            </w:r>
          </w:p>
          <w:p w14:paraId="5A840D8E">
            <w:pPr>
              <w:pStyle w:val="2"/>
              <w:numPr>
                <w:ilvl w:val="0"/>
                <w:numId w:val="6"/>
              </w:numPr>
              <w:spacing w:before="156"/>
              <w:rPr>
                <w:color w:val="auto"/>
                <w:highlight w:val="none"/>
              </w:rPr>
            </w:pPr>
            <w:r>
              <w:rPr>
                <w:rFonts w:hint="eastAsia"/>
                <w:color w:val="auto"/>
                <w:highlight w:val="none"/>
              </w:rPr>
              <w:t>电磁辐射质量现状</w:t>
            </w:r>
          </w:p>
          <w:p w14:paraId="2C4B4354">
            <w:pPr>
              <w:pStyle w:val="18"/>
              <w:rPr>
                <w:color w:val="auto"/>
                <w:highlight w:val="none"/>
              </w:rPr>
            </w:pPr>
            <w:r>
              <w:rPr>
                <w:rFonts w:hint="eastAsia"/>
                <w:color w:val="auto"/>
                <w:highlight w:val="none"/>
                <w:lang w:eastAsia="zh-CN"/>
              </w:rPr>
              <w:t>扩建项目</w:t>
            </w:r>
            <w:r>
              <w:rPr>
                <w:rFonts w:hint="eastAsia"/>
                <w:color w:val="auto"/>
                <w:highlight w:val="none"/>
              </w:rPr>
              <w:t>不属于广播电台、差转台、电视塔台、卫星地球上行站、雷达等电磁辐射类项目，可不进行电磁辐射现状调查。</w:t>
            </w:r>
          </w:p>
          <w:p w14:paraId="4D2B86AE">
            <w:pPr>
              <w:pStyle w:val="2"/>
              <w:numPr>
                <w:ilvl w:val="0"/>
                <w:numId w:val="6"/>
              </w:numPr>
              <w:spacing w:before="156"/>
              <w:rPr>
                <w:color w:val="auto"/>
                <w:highlight w:val="none"/>
              </w:rPr>
            </w:pPr>
            <w:r>
              <w:rPr>
                <w:rFonts w:hint="eastAsia"/>
                <w:color w:val="auto"/>
                <w:highlight w:val="none"/>
              </w:rPr>
              <w:t>地下水、土壤环境质量现状</w:t>
            </w:r>
          </w:p>
          <w:p w14:paraId="05D495C9">
            <w:pPr>
              <w:pStyle w:val="18"/>
              <w:rPr>
                <w:color w:val="auto"/>
                <w:highlight w:val="none"/>
              </w:rPr>
            </w:pPr>
            <w:r>
              <w:rPr>
                <w:rFonts w:hint="eastAsia"/>
                <w:color w:val="auto"/>
                <w:highlight w:val="none"/>
              </w:rPr>
              <w:t>项目位于工业园区内，厂房场地已硬化，项目厂界外500m范围内无地下水集中式饮用水水源和热水、矿泉水、温泉等特殊地下水资源</w:t>
            </w:r>
            <w:r>
              <w:rPr>
                <w:rFonts w:hint="eastAsia"/>
                <w:color w:val="auto"/>
                <w:highlight w:val="none"/>
                <w:lang w:eastAsia="zh-CN"/>
              </w:rPr>
              <w:t>。</w:t>
            </w:r>
            <w:r>
              <w:rPr>
                <w:rFonts w:hint="eastAsia"/>
                <w:color w:val="auto"/>
                <w:highlight w:val="none"/>
              </w:rPr>
              <w:t>项目油料区、</w:t>
            </w:r>
            <w:r>
              <w:rPr>
                <w:rFonts w:hint="eastAsia"/>
                <w:color w:val="auto"/>
                <w:highlight w:val="none"/>
                <w:lang w:eastAsia="zh-CN"/>
              </w:rPr>
              <w:t>危险废物贮存点</w:t>
            </w:r>
            <w:r>
              <w:rPr>
                <w:rFonts w:hint="eastAsia"/>
                <w:color w:val="auto"/>
                <w:highlight w:val="none"/>
              </w:rPr>
              <w:t>重点防渗设置</w:t>
            </w:r>
            <w:r>
              <w:rPr>
                <w:rFonts w:hint="eastAsia"/>
                <w:color w:val="auto"/>
                <w:highlight w:val="none"/>
                <w:lang w:eastAsia="zh-CN"/>
              </w:rPr>
              <w:t>，</w:t>
            </w:r>
            <w:r>
              <w:rPr>
                <w:rFonts w:hint="eastAsia"/>
                <w:color w:val="auto"/>
                <w:highlight w:val="none"/>
              </w:rPr>
              <w:t>基本不存在土壤、地下水环境污染途径。</w:t>
            </w:r>
          </w:p>
        </w:tc>
      </w:tr>
      <w:tr w14:paraId="097CC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350" w:type="pct"/>
            <w:vAlign w:val="center"/>
          </w:tcPr>
          <w:p w14:paraId="440270A5">
            <w:pPr>
              <w:pStyle w:val="24"/>
              <w:spacing w:before="93" w:after="93"/>
              <w:rPr>
                <w:rFonts w:cs="宋体"/>
                <w:b/>
                <w:bCs/>
                <w:color w:val="auto"/>
                <w:highlight w:val="none"/>
              </w:rPr>
            </w:pPr>
            <w:r>
              <w:rPr>
                <w:rFonts w:hint="eastAsia"/>
                <w:b/>
                <w:bCs/>
                <w:color w:val="auto"/>
                <w:highlight w:val="none"/>
              </w:rPr>
              <w:t>环境保护目标</w:t>
            </w:r>
          </w:p>
        </w:tc>
        <w:tc>
          <w:tcPr>
            <w:tcW w:w="4649" w:type="pct"/>
            <w:vAlign w:val="center"/>
          </w:tcPr>
          <w:p w14:paraId="360076CC">
            <w:pPr>
              <w:pStyle w:val="18"/>
              <w:bidi w:val="0"/>
              <w:rPr>
                <w:color w:val="auto"/>
                <w:highlight w:val="none"/>
              </w:rPr>
            </w:pPr>
            <w:r>
              <w:rPr>
                <w:rFonts w:hint="eastAsia"/>
                <w:color w:val="auto"/>
                <w:highlight w:val="none"/>
                <w:lang w:eastAsia="zh-CN"/>
              </w:rPr>
              <w:t>扩建项目</w:t>
            </w:r>
            <w:r>
              <w:rPr>
                <w:rFonts w:hint="eastAsia"/>
                <w:color w:val="auto"/>
                <w:highlight w:val="none"/>
              </w:rPr>
              <w:t>位于西彭工业园区西彭组团</w:t>
            </w:r>
            <w:r>
              <w:rPr>
                <w:rFonts w:hint="eastAsia"/>
                <w:color w:val="auto"/>
                <w:highlight w:val="none"/>
                <w:lang w:val="en-US" w:eastAsia="zh-CN"/>
              </w:rPr>
              <w:t>A</w:t>
            </w:r>
            <w:r>
              <w:rPr>
                <w:rFonts w:hint="eastAsia"/>
                <w:color w:val="auto"/>
                <w:highlight w:val="none"/>
              </w:rPr>
              <w:t>标准分区</w:t>
            </w:r>
            <w:r>
              <w:rPr>
                <w:rFonts w:hint="eastAsia"/>
                <w:color w:val="auto"/>
                <w:highlight w:val="none"/>
                <w:lang w:val="en-US" w:eastAsia="zh-CN"/>
              </w:rPr>
              <w:t>，项目</w:t>
            </w:r>
            <w:r>
              <w:rPr>
                <w:rFonts w:hint="eastAsia"/>
                <w:color w:val="auto"/>
                <w:highlight w:val="none"/>
              </w:rPr>
              <w:t>周边均为工业企业</w:t>
            </w:r>
            <w:r>
              <w:rPr>
                <w:rFonts w:hint="eastAsia"/>
                <w:color w:val="auto"/>
                <w:highlight w:val="none"/>
                <w:lang w:eastAsia="zh-CN"/>
              </w:rPr>
              <w:t>，</w:t>
            </w:r>
            <w:r>
              <w:rPr>
                <w:rFonts w:hint="eastAsia"/>
                <w:color w:val="auto"/>
                <w:highlight w:val="none"/>
              </w:rPr>
              <w:t>项目外环境关系示意图详见附图3，项目外环境关系详见</w:t>
            </w:r>
            <w:r>
              <w:rPr>
                <w:rFonts w:hint="eastAsia"/>
                <w:color w:val="auto"/>
                <w:highlight w:val="none"/>
                <w:lang w:eastAsia="zh-CN"/>
              </w:rPr>
              <w:fldChar w:fldCharType="begin"/>
            </w:r>
            <w:r>
              <w:rPr>
                <w:rFonts w:hint="eastAsia"/>
                <w:color w:val="auto"/>
                <w:highlight w:val="none"/>
                <w:lang w:eastAsia="zh-CN"/>
              </w:rPr>
              <w:instrText xml:space="preserve"> REF _Ref28077 \h </w:instrText>
            </w:r>
            <w:r>
              <w:rPr>
                <w:rFonts w:hint="eastAsia"/>
                <w:color w:val="auto"/>
                <w:highlight w:val="none"/>
                <w:lang w:eastAsia="zh-CN"/>
              </w:rPr>
              <w:fldChar w:fldCharType="separate"/>
            </w:r>
            <w:r>
              <w:rPr>
                <w:color w:val="auto"/>
                <w:highlight w:val="none"/>
              </w:rPr>
              <w:t>表3-3</w:t>
            </w:r>
            <w:r>
              <w:rPr>
                <w:rFonts w:hint="eastAsia"/>
                <w:color w:val="auto"/>
                <w:highlight w:val="none"/>
                <w:lang w:eastAsia="zh-CN"/>
              </w:rPr>
              <w:fldChar w:fldCharType="end"/>
            </w:r>
            <w:r>
              <w:rPr>
                <w:rFonts w:hint="eastAsia"/>
                <w:color w:val="auto"/>
                <w:highlight w:val="none"/>
              </w:rPr>
              <w:t>。</w:t>
            </w:r>
          </w:p>
          <w:p w14:paraId="45333FEF">
            <w:pPr>
              <w:pStyle w:val="19"/>
              <w:spacing w:before="156"/>
              <w:rPr>
                <w:color w:val="auto"/>
                <w:highlight w:val="none"/>
              </w:rPr>
            </w:pPr>
            <w:bookmarkStart w:id="26" w:name="_Ref28077"/>
            <w:r>
              <w:rPr>
                <w:color w:val="auto"/>
                <w:highlight w:val="none"/>
              </w:rPr>
              <w:t>表3-</w:t>
            </w:r>
            <w:r>
              <w:rPr>
                <w:color w:val="auto"/>
                <w:highlight w:val="none"/>
              </w:rPr>
              <w:fldChar w:fldCharType="begin"/>
            </w:r>
            <w:r>
              <w:rPr>
                <w:color w:val="auto"/>
                <w:highlight w:val="none"/>
              </w:rPr>
              <w:instrText xml:space="preserve"> SEQ 表3- \* ARABIC </w:instrText>
            </w:r>
            <w:r>
              <w:rPr>
                <w:color w:val="auto"/>
                <w:highlight w:val="none"/>
              </w:rPr>
              <w:fldChar w:fldCharType="separate"/>
            </w:r>
            <w:r>
              <w:rPr>
                <w:color w:val="auto"/>
                <w:highlight w:val="none"/>
              </w:rPr>
              <w:t>3</w:t>
            </w:r>
            <w:r>
              <w:rPr>
                <w:color w:val="auto"/>
                <w:highlight w:val="none"/>
              </w:rPr>
              <w:fldChar w:fldCharType="end"/>
            </w:r>
            <w:bookmarkEnd w:id="26"/>
            <w:r>
              <w:rPr>
                <w:rFonts w:hint="eastAsia"/>
                <w:color w:val="auto"/>
                <w:highlight w:val="none"/>
              </w:rPr>
              <w:t xml:space="preserve">  项目外环境关系一览表</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2953"/>
              <w:gridCol w:w="682"/>
              <w:gridCol w:w="1527"/>
              <w:gridCol w:w="2505"/>
            </w:tblGrid>
            <w:tr w14:paraId="3C406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8" w:type="pct"/>
                  <w:vAlign w:val="center"/>
                </w:tcPr>
                <w:p w14:paraId="43CE705A">
                  <w:pPr>
                    <w:pStyle w:val="20"/>
                    <w:spacing w:before="31"/>
                    <w:rPr>
                      <w:b/>
                      <w:bCs/>
                      <w:color w:val="auto"/>
                      <w:highlight w:val="none"/>
                    </w:rPr>
                  </w:pPr>
                  <w:r>
                    <w:rPr>
                      <w:rFonts w:hint="eastAsia"/>
                      <w:b/>
                      <w:bCs/>
                      <w:color w:val="auto"/>
                      <w:highlight w:val="none"/>
                    </w:rPr>
                    <w:t>序号</w:t>
                  </w:r>
                </w:p>
              </w:tc>
              <w:tc>
                <w:tcPr>
                  <w:tcW w:w="1772" w:type="pct"/>
                  <w:vAlign w:val="center"/>
                </w:tcPr>
                <w:p w14:paraId="29544C7D">
                  <w:pPr>
                    <w:pStyle w:val="20"/>
                    <w:spacing w:before="31"/>
                    <w:rPr>
                      <w:b/>
                      <w:bCs/>
                      <w:color w:val="auto"/>
                      <w:highlight w:val="none"/>
                    </w:rPr>
                  </w:pPr>
                  <w:r>
                    <w:rPr>
                      <w:rFonts w:hint="eastAsia"/>
                      <w:b/>
                      <w:bCs/>
                      <w:color w:val="auto"/>
                      <w:highlight w:val="none"/>
                    </w:rPr>
                    <w:t>名称</w:t>
                  </w:r>
                </w:p>
              </w:tc>
              <w:tc>
                <w:tcPr>
                  <w:tcW w:w="409" w:type="pct"/>
                  <w:vAlign w:val="center"/>
                </w:tcPr>
                <w:p w14:paraId="6F31E34F">
                  <w:pPr>
                    <w:pStyle w:val="20"/>
                    <w:spacing w:before="31"/>
                    <w:rPr>
                      <w:b/>
                      <w:bCs/>
                      <w:color w:val="auto"/>
                      <w:highlight w:val="none"/>
                    </w:rPr>
                  </w:pPr>
                  <w:r>
                    <w:rPr>
                      <w:rFonts w:hint="eastAsia"/>
                      <w:b/>
                      <w:bCs/>
                      <w:color w:val="auto"/>
                      <w:highlight w:val="none"/>
                    </w:rPr>
                    <w:t>方位</w:t>
                  </w:r>
                </w:p>
              </w:tc>
              <w:tc>
                <w:tcPr>
                  <w:tcW w:w="916" w:type="pct"/>
                  <w:vAlign w:val="center"/>
                </w:tcPr>
                <w:p w14:paraId="0C0D724F">
                  <w:pPr>
                    <w:pStyle w:val="20"/>
                    <w:spacing w:before="31"/>
                    <w:rPr>
                      <w:b/>
                      <w:bCs/>
                      <w:color w:val="auto"/>
                      <w:highlight w:val="none"/>
                    </w:rPr>
                  </w:pPr>
                  <w:r>
                    <w:rPr>
                      <w:rFonts w:hint="eastAsia"/>
                      <w:b/>
                      <w:bCs/>
                      <w:color w:val="auto"/>
                      <w:highlight w:val="none"/>
                    </w:rPr>
                    <w:t>距离厂界距离</w:t>
                  </w:r>
                </w:p>
              </w:tc>
              <w:tc>
                <w:tcPr>
                  <w:tcW w:w="1503" w:type="pct"/>
                  <w:vAlign w:val="center"/>
                </w:tcPr>
                <w:p w14:paraId="64D4BEC5">
                  <w:pPr>
                    <w:pStyle w:val="20"/>
                    <w:spacing w:before="31"/>
                    <w:rPr>
                      <w:b/>
                      <w:bCs/>
                      <w:color w:val="auto"/>
                      <w:highlight w:val="none"/>
                    </w:rPr>
                  </w:pPr>
                  <w:r>
                    <w:rPr>
                      <w:rFonts w:hint="eastAsia"/>
                      <w:b/>
                      <w:bCs/>
                      <w:color w:val="auto"/>
                      <w:highlight w:val="none"/>
                    </w:rPr>
                    <w:t>备注</w:t>
                  </w:r>
                </w:p>
              </w:tc>
            </w:tr>
            <w:tr w14:paraId="368AC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8" w:type="pct"/>
                  <w:vAlign w:val="center"/>
                </w:tcPr>
                <w:p w14:paraId="51871EF3">
                  <w:pPr>
                    <w:pStyle w:val="20"/>
                    <w:spacing w:before="31"/>
                    <w:rPr>
                      <w:color w:val="auto"/>
                      <w:highlight w:val="none"/>
                    </w:rPr>
                  </w:pPr>
                  <w:r>
                    <w:rPr>
                      <w:rFonts w:hint="eastAsia"/>
                      <w:color w:val="auto"/>
                      <w:highlight w:val="none"/>
                    </w:rPr>
                    <w:t>1</w:t>
                  </w:r>
                </w:p>
              </w:tc>
              <w:tc>
                <w:tcPr>
                  <w:tcW w:w="1772" w:type="pct"/>
                  <w:vAlign w:val="center"/>
                </w:tcPr>
                <w:p w14:paraId="7E621B23">
                  <w:pPr>
                    <w:pStyle w:val="20"/>
                    <w:spacing w:before="31"/>
                    <w:rPr>
                      <w:color w:val="auto"/>
                      <w:highlight w:val="none"/>
                    </w:rPr>
                  </w:pPr>
                  <w:r>
                    <w:rPr>
                      <w:rFonts w:hint="eastAsia"/>
                      <w:color w:val="auto"/>
                      <w:highlight w:val="none"/>
                    </w:rPr>
                    <w:t>重庆捷和铝业有限公司</w:t>
                  </w:r>
                </w:p>
              </w:tc>
              <w:tc>
                <w:tcPr>
                  <w:tcW w:w="409" w:type="pct"/>
                  <w:vAlign w:val="center"/>
                </w:tcPr>
                <w:p w14:paraId="13F581B1">
                  <w:pPr>
                    <w:pStyle w:val="20"/>
                    <w:spacing w:before="31"/>
                    <w:rPr>
                      <w:color w:val="auto"/>
                      <w:highlight w:val="none"/>
                    </w:rPr>
                  </w:pPr>
                  <w:r>
                    <w:rPr>
                      <w:rFonts w:hint="eastAsia"/>
                      <w:color w:val="auto"/>
                      <w:highlight w:val="none"/>
                    </w:rPr>
                    <w:t>N</w:t>
                  </w:r>
                </w:p>
              </w:tc>
              <w:tc>
                <w:tcPr>
                  <w:tcW w:w="916" w:type="pct"/>
                  <w:vAlign w:val="center"/>
                </w:tcPr>
                <w:p w14:paraId="55109C25">
                  <w:pPr>
                    <w:pStyle w:val="20"/>
                    <w:spacing w:before="31"/>
                    <w:rPr>
                      <w:rFonts w:hint="default" w:eastAsia="宋体"/>
                      <w:color w:val="auto"/>
                      <w:highlight w:val="none"/>
                      <w:lang w:val="en-US" w:eastAsia="zh-CN"/>
                    </w:rPr>
                  </w:pPr>
                  <w:r>
                    <w:rPr>
                      <w:rFonts w:hint="eastAsia"/>
                      <w:color w:val="auto"/>
                      <w:highlight w:val="none"/>
                      <w:lang w:val="en-US" w:eastAsia="zh-CN"/>
                    </w:rPr>
                    <w:t>40m</w:t>
                  </w:r>
                </w:p>
              </w:tc>
              <w:tc>
                <w:tcPr>
                  <w:tcW w:w="1503" w:type="pct"/>
                  <w:vAlign w:val="center"/>
                </w:tcPr>
                <w:p w14:paraId="713F2A55">
                  <w:pPr>
                    <w:pStyle w:val="20"/>
                    <w:bidi w:val="0"/>
                    <w:rPr>
                      <w:rFonts w:hint="default"/>
                      <w:color w:val="auto"/>
                      <w:highlight w:val="none"/>
                      <w:lang w:val="en-US" w:eastAsia="zh-CN"/>
                    </w:rPr>
                  </w:pPr>
                  <w:r>
                    <w:rPr>
                      <w:rFonts w:hint="default"/>
                      <w:color w:val="auto"/>
                      <w:highlight w:val="none"/>
                      <w:lang w:val="en-US" w:eastAsia="zh-CN"/>
                    </w:rPr>
                    <w:t>铝材及铝合金制品制造</w:t>
                  </w:r>
                </w:p>
              </w:tc>
            </w:tr>
            <w:tr w14:paraId="30C7C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8" w:type="pct"/>
                  <w:vAlign w:val="center"/>
                </w:tcPr>
                <w:p w14:paraId="216EDA32">
                  <w:pPr>
                    <w:pStyle w:val="20"/>
                    <w:spacing w:before="31"/>
                    <w:rPr>
                      <w:rFonts w:hint="eastAsia" w:eastAsia="宋体"/>
                      <w:color w:val="auto"/>
                      <w:highlight w:val="none"/>
                      <w:lang w:val="en-US" w:eastAsia="zh-CN"/>
                    </w:rPr>
                  </w:pPr>
                  <w:r>
                    <w:rPr>
                      <w:rFonts w:hint="eastAsia"/>
                      <w:color w:val="auto"/>
                      <w:highlight w:val="none"/>
                      <w:lang w:val="en-US" w:eastAsia="zh-CN"/>
                    </w:rPr>
                    <w:t>2</w:t>
                  </w:r>
                </w:p>
              </w:tc>
              <w:tc>
                <w:tcPr>
                  <w:tcW w:w="1772" w:type="pct"/>
                  <w:vAlign w:val="center"/>
                </w:tcPr>
                <w:p w14:paraId="3C1D0DFC">
                  <w:pPr>
                    <w:pStyle w:val="20"/>
                    <w:spacing w:before="31"/>
                    <w:rPr>
                      <w:rFonts w:hint="default" w:eastAsia="宋体"/>
                      <w:color w:val="auto"/>
                      <w:highlight w:val="none"/>
                      <w:lang w:val="en-US" w:eastAsia="zh-CN"/>
                    </w:rPr>
                  </w:pPr>
                  <w:r>
                    <w:rPr>
                      <w:rFonts w:hint="eastAsia"/>
                      <w:color w:val="auto"/>
                      <w:highlight w:val="none"/>
                      <w:lang w:val="en-US" w:eastAsia="zh-CN"/>
                    </w:rPr>
                    <w:t>金康路</w:t>
                  </w:r>
                </w:p>
              </w:tc>
              <w:tc>
                <w:tcPr>
                  <w:tcW w:w="409" w:type="pct"/>
                  <w:vAlign w:val="center"/>
                </w:tcPr>
                <w:p w14:paraId="75EC7725">
                  <w:pPr>
                    <w:pStyle w:val="20"/>
                    <w:spacing w:before="31"/>
                    <w:rPr>
                      <w:rFonts w:hint="eastAsia" w:eastAsia="宋体"/>
                      <w:color w:val="auto"/>
                      <w:highlight w:val="none"/>
                      <w:lang w:val="en-US" w:eastAsia="zh-CN"/>
                    </w:rPr>
                  </w:pPr>
                  <w:r>
                    <w:rPr>
                      <w:rFonts w:hint="eastAsia"/>
                      <w:color w:val="auto"/>
                      <w:highlight w:val="none"/>
                      <w:lang w:val="en-US" w:eastAsia="zh-CN"/>
                    </w:rPr>
                    <w:t>N</w:t>
                  </w:r>
                </w:p>
              </w:tc>
              <w:tc>
                <w:tcPr>
                  <w:tcW w:w="916" w:type="pct"/>
                  <w:vAlign w:val="center"/>
                </w:tcPr>
                <w:p w14:paraId="138749C3">
                  <w:pPr>
                    <w:pStyle w:val="20"/>
                    <w:spacing w:before="31"/>
                    <w:rPr>
                      <w:rFonts w:hint="default"/>
                      <w:color w:val="auto"/>
                      <w:highlight w:val="none"/>
                      <w:lang w:val="en-US" w:eastAsia="zh-CN"/>
                    </w:rPr>
                  </w:pPr>
                  <w:r>
                    <w:rPr>
                      <w:rFonts w:hint="eastAsia"/>
                      <w:color w:val="auto"/>
                      <w:highlight w:val="none"/>
                      <w:lang w:val="en-US" w:eastAsia="zh-CN"/>
                    </w:rPr>
                    <w:t>10m</w:t>
                  </w:r>
                </w:p>
              </w:tc>
              <w:tc>
                <w:tcPr>
                  <w:tcW w:w="1503" w:type="pct"/>
                  <w:vAlign w:val="center"/>
                </w:tcPr>
                <w:p w14:paraId="450ED1AC">
                  <w:pPr>
                    <w:pStyle w:val="20"/>
                    <w:bidi w:val="0"/>
                    <w:rPr>
                      <w:rFonts w:hint="default"/>
                      <w:color w:val="auto"/>
                      <w:highlight w:val="none"/>
                      <w:lang w:val="en-US" w:eastAsia="zh-CN"/>
                    </w:rPr>
                  </w:pPr>
                  <w:r>
                    <w:rPr>
                      <w:rFonts w:hint="eastAsia"/>
                      <w:color w:val="auto"/>
                      <w:highlight w:val="none"/>
                      <w:lang w:val="en-US" w:eastAsia="zh-CN"/>
                    </w:rPr>
                    <w:t>普通道路</w:t>
                  </w:r>
                </w:p>
              </w:tc>
            </w:tr>
            <w:tr w14:paraId="16D28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8" w:type="pct"/>
                  <w:shd w:val="clear" w:color="auto" w:fill="auto"/>
                  <w:vAlign w:val="center"/>
                </w:tcPr>
                <w:p w14:paraId="73DA1C59">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3</w:t>
                  </w:r>
                </w:p>
              </w:tc>
              <w:tc>
                <w:tcPr>
                  <w:tcW w:w="1772" w:type="pct"/>
                  <w:vAlign w:val="center"/>
                </w:tcPr>
                <w:p w14:paraId="34D1F321">
                  <w:pPr>
                    <w:pStyle w:val="20"/>
                    <w:spacing w:before="31"/>
                    <w:rPr>
                      <w:rFonts w:hint="eastAsia"/>
                      <w:color w:val="auto"/>
                      <w:highlight w:val="none"/>
                      <w:lang w:val="en-US" w:eastAsia="zh-CN"/>
                    </w:rPr>
                  </w:pPr>
                  <w:r>
                    <w:rPr>
                      <w:rFonts w:hint="eastAsia"/>
                      <w:color w:val="auto"/>
                      <w:highlight w:val="none"/>
                      <w:lang w:val="en-US" w:eastAsia="zh-CN"/>
                    </w:rPr>
                    <w:t>重庆正合印务有限公司</w:t>
                  </w:r>
                </w:p>
              </w:tc>
              <w:tc>
                <w:tcPr>
                  <w:tcW w:w="409" w:type="pct"/>
                  <w:vAlign w:val="center"/>
                </w:tcPr>
                <w:p w14:paraId="67D3800A">
                  <w:pPr>
                    <w:pStyle w:val="20"/>
                    <w:spacing w:before="31"/>
                    <w:rPr>
                      <w:rFonts w:hint="default"/>
                      <w:color w:val="auto"/>
                      <w:highlight w:val="none"/>
                      <w:lang w:val="en-US" w:eastAsia="zh-CN"/>
                    </w:rPr>
                  </w:pPr>
                  <w:r>
                    <w:rPr>
                      <w:rFonts w:hint="eastAsia"/>
                      <w:color w:val="auto"/>
                      <w:highlight w:val="none"/>
                      <w:lang w:val="en-US" w:eastAsia="zh-CN"/>
                    </w:rPr>
                    <w:t>NE</w:t>
                  </w:r>
                </w:p>
              </w:tc>
              <w:tc>
                <w:tcPr>
                  <w:tcW w:w="916" w:type="pct"/>
                  <w:vAlign w:val="center"/>
                </w:tcPr>
                <w:p w14:paraId="1A034FEC">
                  <w:pPr>
                    <w:pStyle w:val="20"/>
                    <w:spacing w:before="31"/>
                    <w:rPr>
                      <w:rFonts w:hint="default"/>
                      <w:color w:val="auto"/>
                      <w:highlight w:val="none"/>
                      <w:lang w:val="en-US" w:eastAsia="zh-CN"/>
                    </w:rPr>
                  </w:pPr>
                  <w:r>
                    <w:rPr>
                      <w:rFonts w:hint="eastAsia"/>
                      <w:color w:val="auto"/>
                      <w:highlight w:val="none"/>
                      <w:lang w:val="en-US" w:eastAsia="zh-CN"/>
                    </w:rPr>
                    <w:t>52m</w:t>
                  </w:r>
                </w:p>
              </w:tc>
              <w:tc>
                <w:tcPr>
                  <w:tcW w:w="1503" w:type="pct"/>
                  <w:vAlign w:val="center"/>
                </w:tcPr>
                <w:p w14:paraId="2A3B242D">
                  <w:pPr>
                    <w:pStyle w:val="20"/>
                    <w:bidi w:val="0"/>
                    <w:rPr>
                      <w:rFonts w:hint="eastAsia"/>
                      <w:color w:val="auto"/>
                      <w:highlight w:val="none"/>
                      <w:lang w:val="en-US" w:eastAsia="zh-CN"/>
                    </w:rPr>
                  </w:pPr>
                  <w:r>
                    <w:rPr>
                      <w:rFonts w:hint="eastAsia"/>
                      <w:color w:val="auto"/>
                      <w:highlight w:val="none"/>
                      <w:lang w:val="en-US" w:eastAsia="zh-CN"/>
                    </w:rPr>
                    <w:t>纸板纸箱包装印刷</w:t>
                  </w:r>
                </w:p>
              </w:tc>
            </w:tr>
            <w:tr w14:paraId="611C7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8" w:type="pct"/>
                  <w:shd w:val="clear" w:color="auto" w:fill="auto"/>
                  <w:vAlign w:val="center"/>
                </w:tcPr>
                <w:p w14:paraId="61595F38">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4</w:t>
                  </w:r>
                </w:p>
              </w:tc>
              <w:tc>
                <w:tcPr>
                  <w:tcW w:w="1772" w:type="pct"/>
                  <w:vAlign w:val="center"/>
                </w:tcPr>
                <w:p w14:paraId="5EDCB068">
                  <w:pPr>
                    <w:pStyle w:val="20"/>
                    <w:spacing w:before="31"/>
                    <w:rPr>
                      <w:rFonts w:hint="eastAsia"/>
                      <w:color w:val="auto"/>
                      <w:highlight w:val="none"/>
                    </w:rPr>
                  </w:pPr>
                  <w:r>
                    <w:rPr>
                      <w:rFonts w:hint="eastAsia"/>
                      <w:color w:val="auto"/>
                      <w:highlight w:val="none"/>
                    </w:rPr>
                    <w:t>重庆西南铝铝材生产开发股份有限公司</w:t>
                  </w:r>
                </w:p>
              </w:tc>
              <w:tc>
                <w:tcPr>
                  <w:tcW w:w="409" w:type="pct"/>
                  <w:vAlign w:val="center"/>
                </w:tcPr>
                <w:p w14:paraId="1109508B">
                  <w:pPr>
                    <w:pStyle w:val="20"/>
                    <w:spacing w:before="31"/>
                    <w:rPr>
                      <w:rFonts w:hint="eastAsia"/>
                      <w:color w:val="auto"/>
                      <w:highlight w:val="none"/>
                      <w:lang w:val="en-US" w:eastAsia="zh-CN"/>
                    </w:rPr>
                  </w:pPr>
                  <w:r>
                    <w:rPr>
                      <w:rFonts w:hint="eastAsia"/>
                      <w:color w:val="auto"/>
                      <w:highlight w:val="none"/>
                      <w:lang w:val="en-US" w:eastAsia="zh-CN"/>
                    </w:rPr>
                    <w:t>E</w:t>
                  </w:r>
                </w:p>
              </w:tc>
              <w:tc>
                <w:tcPr>
                  <w:tcW w:w="916" w:type="pct"/>
                  <w:vAlign w:val="center"/>
                </w:tcPr>
                <w:p w14:paraId="18D0C98B">
                  <w:pPr>
                    <w:pStyle w:val="20"/>
                    <w:spacing w:before="31"/>
                    <w:rPr>
                      <w:rFonts w:hint="default"/>
                      <w:color w:val="auto"/>
                      <w:highlight w:val="none"/>
                      <w:lang w:val="en-US" w:eastAsia="zh-CN"/>
                    </w:rPr>
                  </w:pPr>
                  <w:r>
                    <w:rPr>
                      <w:rFonts w:hint="eastAsia"/>
                      <w:color w:val="auto"/>
                      <w:highlight w:val="none"/>
                      <w:lang w:val="en-US" w:eastAsia="zh-CN"/>
                    </w:rPr>
                    <w:t>18m</w:t>
                  </w:r>
                </w:p>
              </w:tc>
              <w:tc>
                <w:tcPr>
                  <w:tcW w:w="1503" w:type="pct"/>
                  <w:vAlign w:val="center"/>
                </w:tcPr>
                <w:p w14:paraId="6677A6E9">
                  <w:pPr>
                    <w:pStyle w:val="20"/>
                    <w:bidi w:val="0"/>
                    <w:rPr>
                      <w:rFonts w:hint="default"/>
                      <w:color w:val="auto"/>
                      <w:highlight w:val="none"/>
                    </w:rPr>
                  </w:pPr>
                  <w:r>
                    <w:rPr>
                      <w:color w:val="auto"/>
                      <w:highlight w:val="none"/>
                    </w:rPr>
                    <w:t>铝制品研发制造</w:t>
                  </w:r>
                </w:p>
              </w:tc>
            </w:tr>
            <w:tr w14:paraId="3751B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8" w:type="pct"/>
                  <w:shd w:val="clear" w:color="auto" w:fill="auto"/>
                  <w:vAlign w:val="center"/>
                </w:tcPr>
                <w:p w14:paraId="3567BCB0">
                  <w:pPr>
                    <w:pStyle w:val="20"/>
                    <w:spacing w:before="31"/>
                    <w:rPr>
                      <w:rFonts w:ascii="Times New Roman" w:hAnsi="Times New Roman" w:eastAsia="宋体" w:cs="宋体"/>
                      <w:color w:val="auto"/>
                      <w:kern w:val="2"/>
                      <w:sz w:val="21"/>
                      <w:szCs w:val="21"/>
                      <w:highlight w:val="none"/>
                      <w:lang w:val="en-US" w:eastAsia="zh-CN" w:bidi="ar-SA"/>
                    </w:rPr>
                  </w:pPr>
                  <w:r>
                    <w:rPr>
                      <w:rFonts w:hint="eastAsia"/>
                      <w:color w:val="auto"/>
                      <w:highlight w:val="none"/>
                    </w:rPr>
                    <w:t>5</w:t>
                  </w:r>
                </w:p>
              </w:tc>
              <w:tc>
                <w:tcPr>
                  <w:tcW w:w="1772" w:type="pct"/>
                  <w:vAlign w:val="center"/>
                </w:tcPr>
                <w:p w14:paraId="6787B399">
                  <w:pPr>
                    <w:pStyle w:val="20"/>
                    <w:spacing w:before="31"/>
                    <w:rPr>
                      <w:color w:val="auto"/>
                      <w:highlight w:val="none"/>
                    </w:rPr>
                  </w:pPr>
                  <w:r>
                    <w:rPr>
                      <w:rFonts w:hint="eastAsia"/>
                      <w:color w:val="auto"/>
                      <w:highlight w:val="none"/>
                    </w:rPr>
                    <w:t>重庆耀勇减震器有限公司</w:t>
                  </w:r>
                </w:p>
              </w:tc>
              <w:tc>
                <w:tcPr>
                  <w:tcW w:w="409" w:type="pct"/>
                  <w:vAlign w:val="center"/>
                </w:tcPr>
                <w:p w14:paraId="4354A043">
                  <w:pPr>
                    <w:pStyle w:val="20"/>
                    <w:spacing w:before="31"/>
                    <w:rPr>
                      <w:rFonts w:hint="eastAsia" w:eastAsia="宋体"/>
                      <w:color w:val="auto"/>
                      <w:highlight w:val="none"/>
                      <w:lang w:val="en-US" w:eastAsia="zh-CN"/>
                    </w:rPr>
                  </w:pPr>
                  <w:r>
                    <w:rPr>
                      <w:rFonts w:hint="eastAsia"/>
                      <w:color w:val="auto"/>
                      <w:highlight w:val="none"/>
                      <w:lang w:val="en-US" w:eastAsia="zh-CN"/>
                    </w:rPr>
                    <w:t>S</w:t>
                  </w:r>
                </w:p>
              </w:tc>
              <w:tc>
                <w:tcPr>
                  <w:tcW w:w="916" w:type="pct"/>
                  <w:vAlign w:val="center"/>
                </w:tcPr>
                <w:p w14:paraId="28F469F5">
                  <w:pPr>
                    <w:pStyle w:val="20"/>
                    <w:spacing w:before="31"/>
                    <w:rPr>
                      <w:rFonts w:hint="default" w:eastAsia="宋体"/>
                      <w:color w:val="auto"/>
                      <w:highlight w:val="none"/>
                      <w:lang w:val="en-US" w:eastAsia="zh-CN"/>
                    </w:rPr>
                  </w:pPr>
                  <w:r>
                    <w:rPr>
                      <w:rFonts w:hint="eastAsia"/>
                      <w:color w:val="auto"/>
                      <w:highlight w:val="none"/>
                      <w:lang w:val="en-US" w:eastAsia="zh-CN"/>
                    </w:rPr>
                    <w:t>18m</w:t>
                  </w:r>
                </w:p>
              </w:tc>
              <w:tc>
                <w:tcPr>
                  <w:tcW w:w="1503" w:type="pct"/>
                  <w:vAlign w:val="center"/>
                </w:tcPr>
                <w:p w14:paraId="3E572759">
                  <w:pPr>
                    <w:pStyle w:val="20"/>
                    <w:bidi w:val="0"/>
                    <w:rPr>
                      <w:rFonts w:hint="default"/>
                      <w:color w:val="auto"/>
                      <w:highlight w:val="none"/>
                      <w:lang w:val="en-US" w:eastAsia="zh-CN"/>
                    </w:rPr>
                  </w:pPr>
                  <w:r>
                    <w:rPr>
                      <w:rFonts w:hint="eastAsia"/>
                      <w:color w:val="auto"/>
                      <w:highlight w:val="none"/>
                      <w:lang w:val="en-US" w:eastAsia="zh-CN"/>
                    </w:rPr>
                    <w:t>汽摩零部件及机械制造</w:t>
                  </w:r>
                </w:p>
              </w:tc>
            </w:tr>
            <w:tr w14:paraId="32C10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8" w:type="pct"/>
                  <w:shd w:val="clear" w:color="auto" w:fill="auto"/>
                  <w:vAlign w:val="center"/>
                </w:tcPr>
                <w:p w14:paraId="0AA80BAC">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6</w:t>
                  </w:r>
                </w:p>
              </w:tc>
              <w:tc>
                <w:tcPr>
                  <w:tcW w:w="1772" w:type="pct"/>
                  <w:vAlign w:val="center"/>
                </w:tcPr>
                <w:p w14:paraId="28E9FC57">
                  <w:pPr>
                    <w:pStyle w:val="20"/>
                    <w:spacing w:before="31"/>
                    <w:rPr>
                      <w:rFonts w:hint="default" w:eastAsia="宋体"/>
                      <w:color w:val="auto"/>
                      <w:highlight w:val="none"/>
                      <w:lang w:val="en-US" w:eastAsia="zh-CN"/>
                    </w:rPr>
                  </w:pPr>
                  <w:r>
                    <w:rPr>
                      <w:rFonts w:hint="eastAsia"/>
                      <w:color w:val="auto"/>
                      <w:highlight w:val="none"/>
                      <w:lang w:val="en-US" w:eastAsia="zh-CN"/>
                    </w:rPr>
                    <w:t>重庆岭欧环务科技有限公司</w:t>
                  </w:r>
                </w:p>
              </w:tc>
              <w:tc>
                <w:tcPr>
                  <w:tcW w:w="409" w:type="pct"/>
                  <w:vAlign w:val="center"/>
                </w:tcPr>
                <w:p w14:paraId="450D2CAA">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W</w:t>
                  </w:r>
                </w:p>
              </w:tc>
              <w:tc>
                <w:tcPr>
                  <w:tcW w:w="916" w:type="pct"/>
                  <w:vAlign w:val="center"/>
                </w:tcPr>
                <w:p w14:paraId="096C2884">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紧临</w:t>
                  </w:r>
                </w:p>
              </w:tc>
              <w:tc>
                <w:tcPr>
                  <w:tcW w:w="1503" w:type="pct"/>
                  <w:vAlign w:val="center"/>
                </w:tcPr>
                <w:p w14:paraId="222AEDC9">
                  <w:pPr>
                    <w:pStyle w:val="20"/>
                    <w:bidi w:val="0"/>
                    <w:rPr>
                      <w:rFonts w:hint="default"/>
                      <w:color w:val="auto"/>
                      <w:highlight w:val="none"/>
                      <w:lang w:val="en-US" w:eastAsia="zh-CN"/>
                    </w:rPr>
                  </w:pPr>
                  <w:r>
                    <w:rPr>
                      <w:rFonts w:hint="eastAsia"/>
                      <w:color w:val="auto"/>
                      <w:highlight w:val="none"/>
                      <w:lang w:val="en-US" w:eastAsia="zh-CN"/>
                    </w:rPr>
                    <w:t>危废收集</w:t>
                  </w:r>
                </w:p>
              </w:tc>
            </w:tr>
            <w:tr w14:paraId="7BBDD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8" w:type="pct"/>
                  <w:shd w:val="clear" w:color="auto" w:fill="auto"/>
                  <w:vAlign w:val="center"/>
                </w:tcPr>
                <w:p w14:paraId="0B25853B">
                  <w:pPr>
                    <w:pStyle w:val="20"/>
                    <w:spacing w:before="31"/>
                    <w:rPr>
                      <w:rFonts w:hint="default"/>
                      <w:color w:val="auto"/>
                      <w:highlight w:val="none"/>
                      <w:lang w:val="en-US" w:eastAsia="zh-CN"/>
                    </w:rPr>
                  </w:pPr>
                  <w:r>
                    <w:rPr>
                      <w:rFonts w:hint="eastAsia"/>
                      <w:color w:val="auto"/>
                      <w:highlight w:val="none"/>
                      <w:lang w:val="en-US" w:eastAsia="zh-CN"/>
                    </w:rPr>
                    <w:t>7</w:t>
                  </w:r>
                </w:p>
              </w:tc>
              <w:tc>
                <w:tcPr>
                  <w:tcW w:w="1772" w:type="pct"/>
                  <w:shd w:val="clear" w:color="auto" w:fill="auto"/>
                  <w:vAlign w:val="center"/>
                </w:tcPr>
                <w:p w14:paraId="76EF2FAF">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重庆岭欧环保科技有限公司</w:t>
                  </w:r>
                </w:p>
              </w:tc>
              <w:tc>
                <w:tcPr>
                  <w:tcW w:w="409" w:type="pct"/>
                  <w:shd w:val="clear" w:color="auto" w:fill="auto"/>
                  <w:vAlign w:val="center"/>
                </w:tcPr>
                <w:p w14:paraId="15BB8CB1">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W</w:t>
                  </w:r>
                </w:p>
              </w:tc>
              <w:tc>
                <w:tcPr>
                  <w:tcW w:w="916" w:type="pct"/>
                  <w:vAlign w:val="center"/>
                </w:tcPr>
                <w:p w14:paraId="645336AF">
                  <w:pPr>
                    <w:pStyle w:val="20"/>
                    <w:spacing w:before="31"/>
                    <w:rPr>
                      <w:rFonts w:hint="default"/>
                      <w:color w:val="auto"/>
                      <w:highlight w:val="none"/>
                      <w:lang w:val="en-US" w:eastAsia="zh-CN"/>
                    </w:rPr>
                  </w:pPr>
                  <w:r>
                    <w:rPr>
                      <w:rFonts w:hint="eastAsia"/>
                      <w:color w:val="auto"/>
                      <w:highlight w:val="none"/>
                      <w:lang w:val="en-US" w:eastAsia="zh-CN"/>
                    </w:rPr>
                    <w:t>40m</w:t>
                  </w:r>
                </w:p>
              </w:tc>
              <w:tc>
                <w:tcPr>
                  <w:tcW w:w="1503" w:type="pct"/>
                  <w:vAlign w:val="center"/>
                </w:tcPr>
                <w:p w14:paraId="62F8115F">
                  <w:pPr>
                    <w:pStyle w:val="20"/>
                    <w:bidi w:val="0"/>
                    <w:rPr>
                      <w:rFonts w:hint="default"/>
                      <w:color w:val="auto"/>
                      <w:highlight w:val="none"/>
                      <w:lang w:val="en-US" w:eastAsia="zh-CN"/>
                    </w:rPr>
                  </w:pPr>
                  <w:r>
                    <w:rPr>
                      <w:rFonts w:hint="default"/>
                      <w:color w:val="auto"/>
                      <w:highlight w:val="none"/>
                      <w:lang w:val="en-US" w:eastAsia="zh-CN"/>
                    </w:rPr>
                    <w:t>废电路板收集贮存利用</w:t>
                  </w:r>
                </w:p>
              </w:tc>
            </w:tr>
            <w:tr w14:paraId="3325D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8" w:type="pct"/>
                  <w:shd w:val="clear" w:color="auto" w:fill="auto"/>
                  <w:vAlign w:val="center"/>
                </w:tcPr>
                <w:p w14:paraId="7A7061A6">
                  <w:pPr>
                    <w:pStyle w:val="20"/>
                    <w:spacing w:before="31"/>
                    <w:rPr>
                      <w:rFonts w:hint="default"/>
                      <w:color w:val="auto"/>
                      <w:highlight w:val="none"/>
                      <w:lang w:val="en-US" w:eastAsia="zh-CN"/>
                    </w:rPr>
                  </w:pPr>
                  <w:r>
                    <w:rPr>
                      <w:rFonts w:hint="eastAsia"/>
                      <w:color w:val="auto"/>
                      <w:highlight w:val="none"/>
                      <w:lang w:val="en-US" w:eastAsia="zh-CN"/>
                    </w:rPr>
                    <w:t>8</w:t>
                  </w:r>
                </w:p>
              </w:tc>
              <w:tc>
                <w:tcPr>
                  <w:tcW w:w="1772" w:type="pct"/>
                  <w:shd w:val="clear" w:color="auto" w:fill="auto"/>
                  <w:vAlign w:val="center"/>
                </w:tcPr>
                <w:p w14:paraId="2F2F24FD">
                  <w:pPr>
                    <w:pStyle w:val="20"/>
                    <w:spacing w:before="31"/>
                    <w:rPr>
                      <w:rFonts w:hint="eastAsia"/>
                      <w:color w:val="auto"/>
                      <w:highlight w:val="none"/>
                    </w:rPr>
                  </w:pPr>
                  <w:r>
                    <w:rPr>
                      <w:rFonts w:hint="eastAsia"/>
                      <w:color w:val="auto"/>
                      <w:highlight w:val="none"/>
                    </w:rPr>
                    <w:t>重庆驭颂科技发展公司</w:t>
                  </w:r>
                </w:p>
              </w:tc>
              <w:tc>
                <w:tcPr>
                  <w:tcW w:w="409" w:type="pct"/>
                  <w:shd w:val="clear" w:color="auto" w:fill="auto"/>
                  <w:vAlign w:val="center"/>
                </w:tcPr>
                <w:p w14:paraId="417315E0">
                  <w:pPr>
                    <w:pStyle w:val="20"/>
                    <w:spacing w:before="31"/>
                    <w:rPr>
                      <w:rFonts w:hint="eastAsia"/>
                      <w:color w:val="auto"/>
                      <w:highlight w:val="none"/>
                      <w:lang w:val="en-US" w:eastAsia="zh-CN"/>
                    </w:rPr>
                  </w:pPr>
                  <w:r>
                    <w:rPr>
                      <w:rFonts w:hint="eastAsia"/>
                      <w:color w:val="auto"/>
                      <w:highlight w:val="none"/>
                      <w:lang w:val="en-US" w:eastAsia="zh-CN"/>
                    </w:rPr>
                    <w:t>W</w:t>
                  </w:r>
                </w:p>
              </w:tc>
              <w:tc>
                <w:tcPr>
                  <w:tcW w:w="916" w:type="pct"/>
                  <w:vAlign w:val="center"/>
                </w:tcPr>
                <w:p w14:paraId="1169D0AB">
                  <w:pPr>
                    <w:pStyle w:val="20"/>
                    <w:spacing w:before="31"/>
                    <w:rPr>
                      <w:rFonts w:hint="default"/>
                      <w:color w:val="auto"/>
                      <w:highlight w:val="none"/>
                      <w:lang w:val="en-US" w:eastAsia="zh-CN"/>
                    </w:rPr>
                  </w:pPr>
                  <w:r>
                    <w:rPr>
                      <w:rFonts w:hint="eastAsia"/>
                      <w:color w:val="auto"/>
                      <w:highlight w:val="none"/>
                      <w:lang w:val="en-US" w:eastAsia="zh-CN"/>
                    </w:rPr>
                    <w:t>75m</w:t>
                  </w:r>
                </w:p>
              </w:tc>
              <w:tc>
                <w:tcPr>
                  <w:tcW w:w="1503" w:type="pct"/>
                  <w:vAlign w:val="center"/>
                </w:tcPr>
                <w:p w14:paraId="4B065C7A">
                  <w:pPr>
                    <w:pStyle w:val="20"/>
                    <w:bidi w:val="0"/>
                    <w:rPr>
                      <w:rFonts w:hint="default"/>
                      <w:color w:val="auto"/>
                      <w:highlight w:val="none"/>
                      <w:lang w:val="en-US" w:eastAsia="zh-CN"/>
                    </w:rPr>
                  </w:pPr>
                  <w:r>
                    <w:rPr>
                      <w:rFonts w:hint="eastAsia"/>
                      <w:color w:val="auto"/>
                      <w:highlight w:val="none"/>
                      <w:lang w:val="en-US" w:eastAsia="zh-CN"/>
                    </w:rPr>
                    <w:t>驾考科目三运营</w:t>
                  </w:r>
                </w:p>
              </w:tc>
            </w:tr>
          </w:tbl>
          <w:p w14:paraId="2C9DB342">
            <w:pPr>
              <w:pStyle w:val="2"/>
              <w:numPr>
                <w:ilvl w:val="0"/>
                <w:numId w:val="7"/>
              </w:numPr>
              <w:spacing w:before="156"/>
              <w:rPr>
                <w:color w:val="auto"/>
                <w:highlight w:val="none"/>
              </w:rPr>
            </w:pPr>
            <w:r>
              <w:rPr>
                <w:rFonts w:hint="eastAsia"/>
                <w:color w:val="auto"/>
                <w:highlight w:val="none"/>
              </w:rPr>
              <w:t>大气环境保护目标</w:t>
            </w:r>
          </w:p>
          <w:p w14:paraId="51C520AB">
            <w:pPr>
              <w:pStyle w:val="18"/>
              <w:rPr>
                <w:color w:val="auto"/>
                <w:highlight w:val="none"/>
              </w:rPr>
            </w:pPr>
            <w:r>
              <w:rPr>
                <w:rFonts w:hint="eastAsia"/>
                <w:color w:val="auto"/>
                <w:highlight w:val="none"/>
                <w:lang w:eastAsia="zh-CN"/>
              </w:rPr>
              <w:t>扩建项目</w:t>
            </w:r>
            <w:r>
              <w:rPr>
                <w:rFonts w:hint="eastAsia"/>
                <w:color w:val="auto"/>
                <w:highlight w:val="none"/>
              </w:rPr>
              <w:t>厂界外500m范围内大气环境保护目标见</w:t>
            </w:r>
            <w:r>
              <w:rPr>
                <w:rFonts w:hint="eastAsia"/>
                <w:color w:val="auto"/>
                <w:highlight w:val="none"/>
              </w:rPr>
              <w:fldChar w:fldCharType="begin"/>
            </w:r>
            <w:r>
              <w:rPr>
                <w:rFonts w:hint="eastAsia"/>
                <w:color w:val="auto"/>
                <w:highlight w:val="none"/>
              </w:rPr>
              <w:instrText xml:space="preserve"> REF _Ref20130 \h </w:instrText>
            </w:r>
            <w:r>
              <w:rPr>
                <w:rFonts w:hint="eastAsia"/>
                <w:color w:val="auto"/>
                <w:highlight w:val="none"/>
              </w:rPr>
              <w:fldChar w:fldCharType="separate"/>
            </w:r>
            <w:r>
              <w:rPr>
                <w:color w:val="auto"/>
                <w:highlight w:val="none"/>
              </w:rPr>
              <w:t>表3-4</w:t>
            </w:r>
            <w:r>
              <w:rPr>
                <w:rFonts w:hint="eastAsia"/>
                <w:color w:val="auto"/>
                <w:highlight w:val="none"/>
              </w:rPr>
              <w:fldChar w:fldCharType="end"/>
            </w:r>
            <w:r>
              <w:rPr>
                <w:rFonts w:hint="eastAsia"/>
                <w:color w:val="auto"/>
                <w:highlight w:val="none"/>
              </w:rPr>
              <w:t>。</w:t>
            </w:r>
          </w:p>
          <w:p w14:paraId="697DCAA9">
            <w:pPr>
              <w:pStyle w:val="19"/>
              <w:spacing w:before="156"/>
              <w:rPr>
                <w:color w:val="auto"/>
                <w:highlight w:val="none"/>
              </w:rPr>
            </w:pPr>
            <w:bookmarkStart w:id="27" w:name="_Ref20130"/>
            <w:r>
              <w:rPr>
                <w:color w:val="auto"/>
                <w:highlight w:val="none"/>
              </w:rPr>
              <w:t>表3-</w:t>
            </w:r>
            <w:r>
              <w:rPr>
                <w:color w:val="auto"/>
                <w:highlight w:val="none"/>
              </w:rPr>
              <w:fldChar w:fldCharType="begin"/>
            </w:r>
            <w:r>
              <w:rPr>
                <w:color w:val="auto"/>
                <w:highlight w:val="none"/>
              </w:rPr>
              <w:instrText xml:space="preserve"> SEQ 表3- \* ARABIC </w:instrText>
            </w:r>
            <w:r>
              <w:rPr>
                <w:color w:val="auto"/>
                <w:highlight w:val="none"/>
              </w:rPr>
              <w:fldChar w:fldCharType="separate"/>
            </w:r>
            <w:r>
              <w:rPr>
                <w:color w:val="auto"/>
                <w:highlight w:val="none"/>
              </w:rPr>
              <w:t>4</w:t>
            </w:r>
            <w:r>
              <w:rPr>
                <w:color w:val="auto"/>
                <w:highlight w:val="none"/>
              </w:rPr>
              <w:fldChar w:fldCharType="end"/>
            </w:r>
            <w:bookmarkEnd w:id="27"/>
            <w:r>
              <w:rPr>
                <w:rFonts w:hint="eastAsia"/>
                <w:color w:val="auto"/>
                <w:highlight w:val="none"/>
              </w:rPr>
              <w:t xml:space="preserve">  大气环境保护目标一览表</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10"/>
              <w:gridCol w:w="1877"/>
              <w:gridCol w:w="1016"/>
              <w:gridCol w:w="957"/>
              <w:gridCol w:w="1027"/>
              <w:gridCol w:w="1073"/>
              <w:gridCol w:w="747"/>
              <w:gridCol w:w="470"/>
              <w:gridCol w:w="756"/>
            </w:tblGrid>
            <w:tr w14:paraId="47C58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46" w:type="pct"/>
                  <w:vMerge w:val="restart"/>
                  <w:tcMar>
                    <w:top w:w="0" w:type="dxa"/>
                    <w:left w:w="57" w:type="dxa"/>
                    <w:bottom w:w="0" w:type="dxa"/>
                    <w:right w:w="57" w:type="dxa"/>
                  </w:tcMar>
                  <w:vAlign w:val="center"/>
                </w:tcPr>
                <w:p w14:paraId="765674AC">
                  <w:pPr>
                    <w:pStyle w:val="20"/>
                    <w:spacing w:before="31"/>
                    <w:rPr>
                      <w:b/>
                      <w:bCs/>
                      <w:color w:val="auto"/>
                      <w:highlight w:val="none"/>
                    </w:rPr>
                  </w:pPr>
                  <w:r>
                    <w:rPr>
                      <w:rFonts w:hint="eastAsia"/>
                      <w:b/>
                      <w:bCs/>
                      <w:color w:val="auto"/>
                      <w:highlight w:val="none"/>
                    </w:rPr>
                    <w:t>序号</w:t>
                  </w:r>
                </w:p>
              </w:tc>
              <w:tc>
                <w:tcPr>
                  <w:tcW w:w="1125" w:type="pct"/>
                  <w:vMerge w:val="restart"/>
                  <w:tcMar>
                    <w:top w:w="0" w:type="dxa"/>
                    <w:left w:w="57" w:type="dxa"/>
                    <w:bottom w:w="0" w:type="dxa"/>
                    <w:right w:w="57" w:type="dxa"/>
                  </w:tcMar>
                  <w:vAlign w:val="center"/>
                </w:tcPr>
                <w:p w14:paraId="49828A33">
                  <w:pPr>
                    <w:pStyle w:val="20"/>
                    <w:spacing w:before="31"/>
                    <w:rPr>
                      <w:b/>
                      <w:bCs/>
                      <w:color w:val="auto"/>
                      <w:highlight w:val="none"/>
                    </w:rPr>
                  </w:pPr>
                  <w:r>
                    <w:rPr>
                      <w:rFonts w:hint="eastAsia"/>
                      <w:b/>
                      <w:bCs/>
                      <w:color w:val="auto"/>
                      <w:highlight w:val="none"/>
                    </w:rPr>
                    <w:t>名称</w:t>
                  </w:r>
                </w:p>
              </w:tc>
              <w:tc>
                <w:tcPr>
                  <w:tcW w:w="1183" w:type="pct"/>
                  <w:gridSpan w:val="2"/>
                  <w:tcMar>
                    <w:top w:w="0" w:type="dxa"/>
                    <w:left w:w="57" w:type="dxa"/>
                    <w:bottom w:w="0" w:type="dxa"/>
                    <w:right w:w="57" w:type="dxa"/>
                  </w:tcMar>
                  <w:vAlign w:val="center"/>
                </w:tcPr>
                <w:p w14:paraId="3E3F8B10">
                  <w:pPr>
                    <w:pStyle w:val="20"/>
                    <w:spacing w:before="31"/>
                    <w:rPr>
                      <w:b/>
                      <w:bCs/>
                      <w:color w:val="auto"/>
                      <w:highlight w:val="none"/>
                    </w:rPr>
                  </w:pPr>
                  <w:r>
                    <w:rPr>
                      <w:rFonts w:hint="eastAsia"/>
                      <w:b/>
                      <w:bCs/>
                      <w:color w:val="auto"/>
                      <w:highlight w:val="none"/>
                    </w:rPr>
                    <w:t>坐标（以厂房中心为原点）</w:t>
                  </w:r>
                </w:p>
              </w:tc>
              <w:tc>
                <w:tcPr>
                  <w:tcW w:w="616" w:type="pct"/>
                  <w:vMerge w:val="restart"/>
                  <w:tcMar>
                    <w:top w:w="0" w:type="dxa"/>
                    <w:left w:w="57" w:type="dxa"/>
                    <w:bottom w:w="0" w:type="dxa"/>
                    <w:right w:w="57" w:type="dxa"/>
                  </w:tcMar>
                  <w:vAlign w:val="center"/>
                </w:tcPr>
                <w:p w14:paraId="6B12E34A">
                  <w:pPr>
                    <w:pStyle w:val="20"/>
                    <w:spacing w:before="31"/>
                    <w:rPr>
                      <w:b/>
                      <w:bCs/>
                      <w:color w:val="auto"/>
                      <w:highlight w:val="none"/>
                    </w:rPr>
                  </w:pPr>
                  <w:r>
                    <w:rPr>
                      <w:rFonts w:hint="eastAsia"/>
                      <w:b/>
                      <w:bCs/>
                      <w:color w:val="auto"/>
                      <w:highlight w:val="none"/>
                    </w:rPr>
                    <w:t>保护对象</w:t>
                  </w:r>
                </w:p>
              </w:tc>
              <w:tc>
                <w:tcPr>
                  <w:tcW w:w="643" w:type="pct"/>
                  <w:vMerge w:val="restart"/>
                  <w:tcMar>
                    <w:top w:w="0" w:type="dxa"/>
                    <w:left w:w="57" w:type="dxa"/>
                    <w:bottom w:w="0" w:type="dxa"/>
                    <w:right w:w="57" w:type="dxa"/>
                  </w:tcMar>
                  <w:vAlign w:val="center"/>
                </w:tcPr>
                <w:p w14:paraId="54C49C16">
                  <w:pPr>
                    <w:pStyle w:val="20"/>
                    <w:spacing w:before="31"/>
                    <w:rPr>
                      <w:b/>
                      <w:bCs/>
                      <w:color w:val="auto"/>
                      <w:highlight w:val="none"/>
                    </w:rPr>
                  </w:pPr>
                  <w:r>
                    <w:rPr>
                      <w:rFonts w:hint="eastAsia"/>
                      <w:b/>
                      <w:bCs/>
                      <w:color w:val="auto"/>
                      <w:highlight w:val="none"/>
                    </w:rPr>
                    <w:t>保护内容</w:t>
                  </w:r>
                </w:p>
              </w:tc>
              <w:tc>
                <w:tcPr>
                  <w:tcW w:w="448" w:type="pct"/>
                  <w:vMerge w:val="restart"/>
                  <w:tcMar>
                    <w:top w:w="0" w:type="dxa"/>
                    <w:left w:w="57" w:type="dxa"/>
                    <w:bottom w:w="0" w:type="dxa"/>
                    <w:right w:w="57" w:type="dxa"/>
                  </w:tcMar>
                  <w:vAlign w:val="center"/>
                </w:tcPr>
                <w:p w14:paraId="674D8216">
                  <w:pPr>
                    <w:pStyle w:val="20"/>
                    <w:spacing w:before="31"/>
                    <w:rPr>
                      <w:b/>
                      <w:bCs/>
                      <w:color w:val="auto"/>
                      <w:highlight w:val="none"/>
                    </w:rPr>
                  </w:pPr>
                  <w:r>
                    <w:rPr>
                      <w:rFonts w:hint="eastAsia"/>
                      <w:b/>
                      <w:bCs/>
                      <w:color w:val="auto"/>
                      <w:highlight w:val="none"/>
                    </w:rPr>
                    <w:t>环境功能区</w:t>
                  </w:r>
                </w:p>
              </w:tc>
              <w:tc>
                <w:tcPr>
                  <w:tcW w:w="282" w:type="pct"/>
                  <w:vMerge w:val="restart"/>
                  <w:tcMar>
                    <w:top w:w="0" w:type="dxa"/>
                    <w:left w:w="57" w:type="dxa"/>
                    <w:bottom w:w="0" w:type="dxa"/>
                    <w:right w:w="57" w:type="dxa"/>
                  </w:tcMar>
                  <w:vAlign w:val="center"/>
                </w:tcPr>
                <w:p w14:paraId="1B626354">
                  <w:pPr>
                    <w:pStyle w:val="20"/>
                    <w:spacing w:before="31"/>
                    <w:rPr>
                      <w:b/>
                      <w:bCs/>
                      <w:color w:val="auto"/>
                      <w:highlight w:val="none"/>
                    </w:rPr>
                  </w:pPr>
                  <w:r>
                    <w:rPr>
                      <w:rFonts w:hint="eastAsia"/>
                      <w:b/>
                      <w:bCs/>
                      <w:color w:val="auto"/>
                      <w:highlight w:val="none"/>
                    </w:rPr>
                    <w:t>方位</w:t>
                  </w:r>
                </w:p>
              </w:tc>
              <w:tc>
                <w:tcPr>
                  <w:tcW w:w="453" w:type="pct"/>
                  <w:vMerge w:val="restart"/>
                  <w:tcMar>
                    <w:top w:w="0" w:type="dxa"/>
                    <w:left w:w="57" w:type="dxa"/>
                    <w:bottom w:w="0" w:type="dxa"/>
                    <w:right w:w="57" w:type="dxa"/>
                  </w:tcMar>
                  <w:vAlign w:val="center"/>
                </w:tcPr>
                <w:p w14:paraId="1143E96D">
                  <w:pPr>
                    <w:pStyle w:val="20"/>
                    <w:spacing w:before="31"/>
                    <w:rPr>
                      <w:b/>
                      <w:bCs/>
                      <w:color w:val="auto"/>
                      <w:highlight w:val="none"/>
                    </w:rPr>
                  </w:pPr>
                  <w:r>
                    <w:rPr>
                      <w:rFonts w:hint="eastAsia"/>
                      <w:b/>
                      <w:bCs/>
                      <w:color w:val="auto"/>
                      <w:highlight w:val="none"/>
                    </w:rPr>
                    <w:t>与厂界距离</w:t>
                  </w:r>
                </w:p>
              </w:tc>
            </w:tr>
            <w:tr w14:paraId="0139E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46" w:type="pct"/>
                  <w:vMerge w:val="continue"/>
                  <w:tcMar>
                    <w:top w:w="0" w:type="dxa"/>
                    <w:left w:w="57" w:type="dxa"/>
                    <w:bottom w:w="0" w:type="dxa"/>
                    <w:right w:w="57" w:type="dxa"/>
                  </w:tcMar>
                </w:tcPr>
                <w:p w14:paraId="382ED335">
                  <w:pPr>
                    <w:pStyle w:val="20"/>
                    <w:spacing w:before="31"/>
                    <w:rPr>
                      <w:color w:val="auto"/>
                      <w:highlight w:val="none"/>
                    </w:rPr>
                  </w:pPr>
                </w:p>
              </w:tc>
              <w:tc>
                <w:tcPr>
                  <w:tcW w:w="1125" w:type="pct"/>
                  <w:vMerge w:val="continue"/>
                  <w:tcMar>
                    <w:top w:w="0" w:type="dxa"/>
                    <w:left w:w="57" w:type="dxa"/>
                    <w:bottom w:w="0" w:type="dxa"/>
                    <w:right w:w="57" w:type="dxa"/>
                  </w:tcMar>
                </w:tcPr>
                <w:p w14:paraId="53363EB7">
                  <w:pPr>
                    <w:pStyle w:val="20"/>
                    <w:spacing w:before="31"/>
                    <w:rPr>
                      <w:color w:val="auto"/>
                      <w:highlight w:val="none"/>
                    </w:rPr>
                  </w:pPr>
                </w:p>
              </w:tc>
              <w:tc>
                <w:tcPr>
                  <w:tcW w:w="609" w:type="pct"/>
                  <w:tcMar>
                    <w:top w:w="0" w:type="dxa"/>
                    <w:left w:w="57" w:type="dxa"/>
                    <w:bottom w:w="0" w:type="dxa"/>
                    <w:right w:w="57" w:type="dxa"/>
                  </w:tcMar>
                  <w:vAlign w:val="center"/>
                </w:tcPr>
                <w:p w14:paraId="56187ADC">
                  <w:pPr>
                    <w:pStyle w:val="20"/>
                    <w:spacing w:before="31"/>
                    <w:rPr>
                      <w:b/>
                      <w:bCs/>
                      <w:color w:val="auto"/>
                      <w:highlight w:val="none"/>
                    </w:rPr>
                  </w:pPr>
                  <w:r>
                    <w:rPr>
                      <w:rFonts w:hint="eastAsia"/>
                      <w:b/>
                      <w:bCs/>
                      <w:color w:val="auto"/>
                      <w:highlight w:val="none"/>
                    </w:rPr>
                    <w:t>X</w:t>
                  </w:r>
                </w:p>
              </w:tc>
              <w:tc>
                <w:tcPr>
                  <w:tcW w:w="574" w:type="pct"/>
                  <w:tcMar>
                    <w:top w:w="0" w:type="dxa"/>
                    <w:left w:w="57" w:type="dxa"/>
                    <w:bottom w:w="0" w:type="dxa"/>
                    <w:right w:w="57" w:type="dxa"/>
                  </w:tcMar>
                  <w:vAlign w:val="center"/>
                </w:tcPr>
                <w:p w14:paraId="3990F098">
                  <w:pPr>
                    <w:pStyle w:val="20"/>
                    <w:spacing w:before="31"/>
                    <w:rPr>
                      <w:b/>
                      <w:bCs/>
                      <w:color w:val="auto"/>
                      <w:highlight w:val="none"/>
                    </w:rPr>
                  </w:pPr>
                  <w:r>
                    <w:rPr>
                      <w:rFonts w:hint="eastAsia"/>
                      <w:b/>
                      <w:bCs/>
                      <w:color w:val="auto"/>
                      <w:highlight w:val="none"/>
                    </w:rPr>
                    <w:t>Y</w:t>
                  </w:r>
                </w:p>
              </w:tc>
              <w:tc>
                <w:tcPr>
                  <w:tcW w:w="616" w:type="pct"/>
                  <w:vMerge w:val="continue"/>
                  <w:tcMar>
                    <w:top w:w="0" w:type="dxa"/>
                    <w:left w:w="57" w:type="dxa"/>
                    <w:bottom w:w="0" w:type="dxa"/>
                    <w:right w:w="57" w:type="dxa"/>
                  </w:tcMar>
                  <w:vAlign w:val="center"/>
                </w:tcPr>
                <w:p w14:paraId="6946EF26">
                  <w:pPr>
                    <w:pStyle w:val="20"/>
                    <w:spacing w:before="31"/>
                    <w:rPr>
                      <w:color w:val="auto"/>
                      <w:highlight w:val="none"/>
                    </w:rPr>
                  </w:pPr>
                </w:p>
              </w:tc>
              <w:tc>
                <w:tcPr>
                  <w:tcW w:w="643" w:type="pct"/>
                  <w:vMerge w:val="continue"/>
                  <w:tcMar>
                    <w:top w:w="0" w:type="dxa"/>
                    <w:left w:w="57" w:type="dxa"/>
                    <w:bottom w:w="0" w:type="dxa"/>
                    <w:right w:w="57" w:type="dxa"/>
                  </w:tcMar>
                  <w:vAlign w:val="center"/>
                </w:tcPr>
                <w:p w14:paraId="0A5CC8AB">
                  <w:pPr>
                    <w:pStyle w:val="20"/>
                    <w:spacing w:before="31"/>
                    <w:rPr>
                      <w:color w:val="auto"/>
                      <w:highlight w:val="none"/>
                    </w:rPr>
                  </w:pPr>
                </w:p>
              </w:tc>
              <w:tc>
                <w:tcPr>
                  <w:tcW w:w="448" w:type="pct"/>
                  <w:vMerge w:val="continue"/>
                  <w:tcMar>
                    <w:top w:w="0" w:type="dxa"/>
                    <w:left w:w="57" w:type="dxa"/>
                    <w:bottom w:w="0" w:type="dxa"/>
                    <w:right w:w="57" w:type="dxa"/>
                  </w:tcMar>
                  <w:vAlign w:val="center"/>
                </w:tcPr>
                <w:p w14:paraId="057C5867">
                  <w:pPr>
                    <w:pStyle w:val="20"/>
                    <w:spacing w:before="31"/>
                    <w:rPr>
                      <w:color w:val="auto"/>
                      <w:highlight w:val="none"/>
                    </w:rPr>
                  </w:pPr>
                </w:p>
              </w:tc>
              <w:tc>
                <w:tcPr>
                  <w:tcW w:w="282" w:type="pct"/>
                  <w:vMerge w:val="continue"/>
                  <w:tcMar>
                    <w:top w:w="0" w:type="dxa"/>
                    <w:left w:w="57" w:type="dxa"/>
                    <w:bottom w:w="0" w:type="dxa"/>
                    <w:right w:w="57" w:type="dxa"/>
                  </w:tcMar>
                  <w:vAlign w:val="center"/>
                </w:tcPr>
                <w:p w14:paraId="13F95FC5">
                  <w:pPr>
                    <w:pStyle w:val="20"/>
                    <w:spacing w:before="31"/>
                    <w:rPr>
                      <w:color w:val="auto"/>
                      <w:highlight w:val="none"/>
                    </w:rPr>
                  </w:pPr>
                </w:p>
              </w:tc>
              <w:tc>
                <w:tcPr>
                  <w:tcW w:w="453" w:type="pct"/>
                  <w:vMerge w:val="continue"/>
                  <w:tcMar>
                    <w:top w:w="0" w:type="dxa"/>
                    <w:left w:w="57" w:type="dxa"/>
                    <w:bottom w:w="0" w:type="dxa"/>
                    <w:right w:w="57" w:type="dxa"/>
                  </w:tcMar>
                  <w:vAlign w:val="center"/>
                </w:tcPr>
                <w:p w14:paraId="6634A119">
                  <w:pPr>
                    <w:pStyle w:val="20"/>
                    <w:spacing w:before="31"/>
                    <w:rPr>
                      <w:color w:val="auto"/>
                      <w:highlight w:val="none"/>
                    </w:rPr>
                  </w:pPr>
                </w:p>
              </w:tc>
            </w:tr>
            <w:tr w14:paraId="408C8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46" w:type="pct"/>
                  <w:tcMar>
                    <w:top w:w="0" w:type="dxa"/>
                    <w:left w:w="57" w:type="dxa"/>
                    <w:bottom w:w="0" w:type="dxa"/>
                    <w:right w:w="57" w:type="dxa"/>
                  </w:tcMar>
                  <w:vAlign w:val="center"/>
                </w:tcPr>
                <w:p w14:paraId="2735342D">
                  <w:pPr>
                    <w:pStyle w:val="20"/>
                    <w:spacing w:before="31"/>
                    <w:rPr>
                      <w:color w:val="auto"/>
                      <w:highlight w:val="none"/>
                    </w:rPr>
                  </w:pPr>
                  <w:r>
                    <w:rPr>
                      <w:rFonts w:hint="eastAsia"/>
                      <w:color w:val="auto"/>
                      <w:highlight w:val="none"/>
                    </w:rPr>
                    <w:t>1</w:t>
                  </w:r>
                </w:p>
              </w:tc>
              <w:tc>
                <w:tcPr>
                  <w:tcW w:w="1125" w:type="pct"/>
                  <w:tcMar>
                    <w:top w:w="0" w:type="dxa"/>
                    <w:left w:w="57" w:type="dxa"/>
                    <w:bottom w:w="0" w:type="dxa"/>
                    <w:right w:w="57" w:type="dxa"/>
                  </w:tcMar>
                  <w:vAlign w:val="center"/>
                </w:tcPr>
                <w:p w14:paraId="402664C1">
                  <w:pPr>
                    <w:pStyle w:val="20"/>
                    <w:spacing w:before="31"/>
                    <w:rPr>
                      <w:rFonts w:hint="default" w:eastAsia="宋体"/>
                      <w:color w:val="auto"/>
                      <w:highlight w:val="none"/>
                      <w:lang w:val="en-US" w:eastAsia="zh-CN"/>
                    </w:rPr>
                  </w:pPr>
                  <w:r>
                    <w:rPr>
                      <w:rFonts w:hint="eastAsia"/>
                      <w:color w:val="auto"/>
                      <w:highlight w:val="none"/>
                      <w:lang w:val="en-US" w:eastAsia="zh-CN"/>
                    </w:rPr>
                    <w:t>西江悦小区一期</w:t>
                  </w:r>
                </w:p>
              </w:tc>
              <w:tc>
                <w:tcPr>
                  <w:tcW w:w="609" w:type="pct"/>
                  <w:tcMar>
                    <w:top w:w="0" w:type="dxa"/>
                    <w:left w:w="57" w:type="dxa"/>
                    <w:bottom w:w="0" w:type="dxa"/>
                    <w:right w:w="57" w:type="dxa"/>
                  </w:tcMar>
                  <w:vAlign w:val="center"/>
                </w:tcPr>
                <w:p w14:paraId="2520070D">
                  <w:pPr>
                    <w:pStyle w:val="20"/>
                    <w:spacing w:before="31"/>
                    <w:rPr>
                      <w:rFonts w:hint="default" w:eastAsia="宋体"/>
                      <w:color w:val="auto"/>
                      <w:highlight w:val="none"/>
                      <w:lang w:val="en-US" w:eastAsia="zh-CN"/>
                    </w:rPr>
                  </w:pPr>
                  <w:r>
                    <w:rPr>
                      <w:rFonts w:hint="eastAsia"/>
                      <w:color w:val="auto"/>
                      <w:highlight w:val="none"/>
                      <w:lang w:val="en-US" w:eastAsia="zh-CN"/>
                    </w:rPr>
                    <w:t>280</w:t>
                  </w:r>
                </w:p>
              </w:tc>
              <w:tc>
                <w:tcPr>
                  <w:tcW w:w="574" w:type="pct"/>
                  <w:tcMar>
                    <w:top w:w="0" w:type="dxa"/>
                    <w:left w:w="57" w:type="dxa"/>
                    <w:bottom w:w="0" w:type="dxa"/>
                    <w:right w:w="57" w:type="dxa"/>
                  </w:tcMar>
                  <w:vAlign w:val="center"/>
                </w:tcPr>
                <w:p w14:paraId="54574AF7">
                  <w:pPr>
                    <w:pStyle w:val="20"/>
                    <w:spacing w:before="31"/>
                    <w:rPr>
                      <w:rFonts w:hint="eastAsia" w:eastAsia="宋体"/>
                      <w:color w:val="auto"/>
                      <w:highlight w:val="none"/>
                      <w:lang w:eastAsia="zh-CN"/>
                    </w:rPr>
                  </w:pPr>
                  <w:r>
                    <w:rPr>
                      <w:rFonts w:hint="eastAsia"/>
                      <w:color w:val="auto"/>
                      <w:highlight w:val="none"/>
                      <w:lang w:val="en-US" w:eastAsia="zh-CN"/>
                    </w:rPr>
                    <w:t>0</w:t>
                  </w:r>
                </w:p>
              </w:tc>
              <w:tc>
                <w:tcPr>
                  <w:tcW w:w="616" w:type="pct"/>
                  <w:tcMar>
                    <w:top w:w="0" w:type="dxa"/>
                    <w:left w:w="57" w:type="dxa"/>
                    <w:bottom w:w="0" w:type="dxa"/>
                    <w:right w:w="57" w:type="dxa"/>
                  </w:tcMar>
                  <w:vAlign w:val="center"/>
                </w:tcPr>
                <w:p w14:paraId="12F0F9AB">
                  <w:pPr>
                    <w:pStyle w:val="20"/>
                    <w:spacing w:before="31"/>
                    <w:rPr>
                      <w:rFonts w:hint="default" w:eastAsia="宋体"/>
                      <w:color w:val="auto"/>
                      <w:highlight w:val="none"/>
                      <w:lang w:val="en-US" w:eastAsia="zh-CN"/>
                    </w:rPr>
                  </w:pPr>
                  <w:r>
                    <w:rPr>
                      <w:rFonts w:hint="default" w:eastAsia="宋体"/>
                      <w:color w:val="auto"/>
                      <w:highlight w:val="none"/>
                      <w:lang w:val="en-US" w:eastAsia="zh-CN"/>
                    </w:rPr>
                    <w:t>居住区</w:t>
                  </w:r>
                </w:p>
              </w:tc>
              <w:tc>
                <w:tcPr>
                  <w:tcW w:w="643" w:type="pct"/>
                  <w:tcMar>
                    <w:top w:w="0" w:type="dxa"/>
                    <w:left w:w="57" w:type="dxa"/>
                    <w:bottom w:w="0" w:type="dxa"/>
                    <w:right w:w="57" w:type="dxa"/>
                  </w:tcMar>
                  <w:vAlign w:val="center"/>
                </w:tcPr>
                <w:p w14:paraId="4D30DA70">
                  <w:pPr>
                    <w:pStyle w:val="20"/>
                    <w:spacing w:before="31"/>
                    <w:rPr>
                      <w:rFonts w:hint="default" w:eastAsia="宋体"/>
                      <w:color w:val="auto"/>
                      <w:highlight w:val="none"/>
                      <w:lang w:val="en-US" w:eastAsia="zh-CN"/>
                    </w:rPr>
                  </w:pPr>
                  <w:r>
                    <w:rPr>
                      <w:rFonts w:hint="eastAsia"/>
                      <w:color w:val="auto"/>
                      <w:highlight w:val="none"/>
                    </w:rPr>
                    <w:t>约</w:t>
                  </w:r>
                  <w:r>
                    <w:rPr>
                      <w:rFonts w:hint="eastAsia"/>
                      <w:color w:val="auto"/>
                      <w:highlight w:val="none"/>
                      <w:lang w:val="en-US" w:eastAsia="zh-CN"/>
                    </w:rPr>
                    <w:t>600人</w:t>
                  </w:r>
                </w:p>
              </w:tc>
              <w:tc>
                <w:tcPr>
                  <w:tcW w:w="448" w:type="pct"/>
                  <w:vMerge w:val="restart"/>
                  <w:tcMar>
                    <w:top w:w="0" w:type="dxa"/>
                    <w:left w:w="57" w:type="dxa"/>
                    <w:bottom w:w="0" w:type="dxa"/>
                    <w:right w:w="57" w:type="dxa"/>
                  </w:tcMar>
                  <w:vAlign w:val="center"/>
                </w:tcPr>
                <w:p w14:paraId="79ECDB45">
                  <w:pPr>
                    <w:pStyle w:val="20"/>
                    <w:spacing w:before="31"/>
                    <w:rPr>
                      <w:color w:val="auto"/>
                      <w:highlight w:val="none"/>
                    </w:rPr>
                  </w:pPr>
                  <w:r>
                    <w:rPr>
                      <w:rFonts w:hint="eastAsia"/>
                      <w:color w:val="auto"/>
                      <w:highlight w:val="none"/>
                    </w:rPr>
                    <w:t>环境空气二类区</w:t>
                  </w:r>
                </w:p>
              </w:tc>
              <w:tc>
                <w:tcPr>
                  <w:tcW w:w="282" w:type="pct"/>
                  <w:tcMar>
                    <w:top w:w="0" w:type="dxa"/>
                    <w:left w:w="57" w:type="dxa"/>
                    <w:bottom w:w="0" w:type="dxa"/>
                    <w:right w:w="57" w:type="dxa"/>
                  </w:tcMar>
                  <w:vAlign w:val="center"/>
                </w:tcPr>
                <w:p w14:paraId="37539F89">
                  <w:pPr>
                    <w:pStyle w:val="20"/>
                    <w:spacing w:before="31"/>
                    <w:rPr>
                      <w:rFonts w:hint="eastAsia" w:eastAsia="宋体"/>
                      <w:color w:val="auto"/>
                      <w:highlight w:val="none"/>
                      <w:lang w:eastAsia="zh-CN"/>
                    </w:rPr>
                  </w:pPr>
                  <w:r>
                    <w:rPr>
                      <w:rFonts w:hint="eastAsia"/>
                      <w:color w:val="auto"/>
                      <w:highlight w:val="none"/>
                      <w:lang w:val="en-US" w:eastAsia="zh-CN"/>
                    </w:rPr>
                    <w:t>E</w:t>
                  </w:r>
                </w:p>
              </w:tc>
              <w:tc>
                <w:tcPr>
                  <w:tcW w:w="453" w:type="pct"/>
                  <w:tcMar>
                    <w:top w:w="0" w:type="dxa"/>
                    <w:left w:w="57" w:type="dxa"/>
                    <w:bottom w:w="0" w:type="dxa"/>
                    <w:right w:w="57" w:type="dxa"/>
                  </w:tcMar>
                  <w:vAlign w:val="center"/>
                </w:tcPr>
                <w:p w14:paraId="69A12448">
                  <w:pPr>
                    <w:pStyle w:val="20"/>
                    <w:spacing w:before="31"/>
                    <w:rPr>
                      <w:color w:val="auto"/>
                      <w:highlight w:val="none"/>
                    </w:rPr>
                  </w:pPr>
                  <w:r>
                    <w:rPr>
                      <w:rFonts w:hint="eastAsia"/>
                      <w:color w:val="auto"/>
                      <w:highlight w:val="none"/>
                      <w:lang w:val="en-US" w:eastAsia="zh-CN"/>
                    </w:rPr>
                    <w:t>265</w:t>
                  </w:r>
                  <w:r>
                    <w:rPr>
                      <w:rFonts w:hint="eastAsia"/>
                      <w:color w:val="auto"/>
                      <w:highlight w:val="none"/>
                    </w:rPr>
                    <w:t>m</w:t>
                  </w:r>
                </w:p>
              </w:tc>
            </w:tr>
            <w:tr w14:paraId="46A7B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46" w:type="pct"/>
                  <w:tcMar>
                    <w:top w:w="0" w:type="dxa"/>
                    <w:left w:w="57" w:type="dxa"/>
                    <w:bottom w:w="0" w:type="dxa"/>
                    <w:right w:w="57" w:type="dxa"/>
                  </w:tcMar>
                  <w:vAlign w:val="center"/>
                </w:tcPr>
                <w:p w14:paraId="6FC408EF">
                  <w:pPr>
                    <w:pStyle w:val="20"/>
                    <w:spacing w:before="31"/>
                    <w:rPr>
                      <w:color w:val="auto"/>
                      <w:highlight w:val="none"/>
                    </w:rPr>
                  </w:pPr>
                  <w:r>
                    <w:rPr>
                      <w:rFonts w:hint="eastAsia"/>
                      <w:color w:val="auto"/>
                      <w:highlight w:val="none"/>
                    </w:rPr>
                    <w:t>2</w:t>
                  </w:r>
                </w:p>
              </w:tc>
              <w:tc>
                <w:tcPr>
                  <w:tcW w:w="1125" w:type="pct"/>
                  <w:tcMar>
                    <w:top w:w="0" w:type="dxa"/>
                    <w:left w:w="57" w:type="dxa"/>
                    <w:bottom w:w="0" w:type="dxa"/>
                    <w:right w:w="57" w:type="dxa"/>
                  </w:tcMar>
                  <w:vAlign w:val="center"/>
                </w:tcPr>
                <w:p w14:paraId="1002A313">
                  <w:pPr>
                    <w:pStyle w:val="20"/>
                    <w:spacing w:before="31"/>
                    <w:rPr>
                      <w:color w:val="auto"/>
                      <w:highlight w:val="none"/>
                    </w:rPr>
                  </w:pPr>
                  <w:r>
                    <w:rPr>
                      <w:rFonts w:hint="eastAsia"/>
                      <w:color w:val="auto"/>
                      <w:highlight w:val="none"/>
                      <w:lang w:val="en-US" w:eastAsia="zh-CN"/>
                    </w:rPr>
                    <w:t>西江悦小区二期</w:t>
                  </w:r>
                </w:p>
              </w:tc>
              <w:tc>
                <w:tcPr>
                  <w:tcW w:w="609" w:type="pct"/>
                  <w:tcMar>
                    <w:top w:w="0" w:type="dxa"/>
                    <w:left w:w="57" w:type="dxa"/>
                    <w:bottom w:w="0" w:type="dxa"/>
                    <w:right w:w="57" w:type="dxa"/>
                  </w:tcMar>
                  <w:vAlign w:val="center"/>
                </w:tcPr>
                <w:p w14:paraId="729C16CB">
                  <w:pPr>
                    <w:pStyle w:val="20"/>
                    <w:spacing w:before="31"/>
                    <w:rPr>
                      <w:rFonts w:hint="default" w:eastAsia="宋体"/>
                      <w:color w:val="auto"/>
                      <w:highlight w:val="none"/>
                      <w:lang w:val="en-US" w:eastAsia="zh-CN"/>
                    </w:rPr>
                  </w:pPr>
                  <w:r>
                    <w:rPr>
                      <w:rFonts w:hint="eastAsia"/>
                      <w:color w:val="auto"/>
                      <w:highlight w:val="none"/>
                      <w:lang w:val="en-US" w:eastAsia="zh-CN"/>
                    </w:rPr>
                    <w:t>300</w:t>
                  </w:r>
                </w:p>
              </w:tc>
              <w:tc>
                <w:tcPr>
                  <w:tcW w:w="574" w:type="pct"/>
                  <w:tcMar>
                    <w:top w:w="0" w:type="dxa"/>
                    <w:left w:w="57" w:type="dxa"/>
                    <w:bottom w:w="0" w:type="dxa"/>
                    <w:right w:w="57" w:type="dxa"/>
                  </w:tcMar>
                  <w:vAlign w:val="center"/>
                </w:tcPr>
                <w:p w14:paraId="0B99602C">
                  <w:pPr>
                    <w:pStyle w:val="20"/>
                    <w:spacing w:before="31"/>
                    <w:rPr>
                      <w:rFonts w:hint="default" w:eastAsia="宋体"/>
                      <w:color w:val="auto"/>
                      <w:highlight w:val="none"/>
                      <w:lang w:val="en-US" w:eastAsia="zh-CN"/>
                    </w:rPr>
                  </w:pPr>
                  <w:r>
                    <w:rPr>
                      <w:rFonts w:hint="eastAsia"/>
                      <w:color w:val="auto"/>
                      <w:highlight w:val="none"/>
                      <w:lang w:val="en-US" w:eastAsia="zh-CN"/>
                    </w:rPr>
                    <w:t>-200</w:t>
                  </w:r>
                </w:p>
              </w:tc>
              <w:tc>
                <w:tcPr>
                  <w:tcW w:w="616" w:type="pct"/>
                  <w:tcMar>
                    <w:top w:w="0" w:type="dxa"/>
                    <w:left w:w="57" w:type="dxa"/>
                    <w:bottom w:w="0" w:type="dxa"/>
                    <w:right w:w="57" w:type="dxa"/>
                  </w:tcMar>
                  <w:vAlign w:val="center"/>
                </w:tcPr>
                <w:p w14:paraId="3EE9E38C">
                  <w:pPr>
                    <w:pStyle w:val="20"/>
                    <w:spacing w:before="31"/>
                    <w:rPr>
                      <w:color w:val="auto"/>
                      <w:highlight w:val="none"/>
                    </w:rPr>
                  </w:pPr>
                  <w:r>
                    <w:rPr>
                      <w:rFonts w:hint="default" w:eastAsia="宋体"/>
                      <w:color w:val="auto"/>
                      <w:highlight w:val="none"/>
                      <w:lang w:val="en-US" w:eastAsia="zh-CN"/>
                    </w:rPr>
                    <w:t>居住区</w:t>
                  </w:r>
                </w:p>
              </w:tc>
              <w:tc>
                <w:tcPr>
                  <w:tcW w:w="643" w:type="pct"/>
                  <w:tcMar>
                    <w:top w:w="0" w:type="dxa"/>
                    <w:left w:w="57" w:type="dxa"/>
                    <w:bottom w:w="0" w:type="dxa"/>
                    <w:right w:w="57" w:type="dxa"/>
                  </w:tcMar>
                  <w:vAlign w:val="center"/>
                </w:tcPr>
                <w:p w14:paraId="41B2DC02">
                  <w:pPr>
                    <w:pStyle w:val="20"/>
                    <w:spacing w:before="31"/>
                    <w:rPr>
                      <w:color w:val="auto"/>
                      <w:highlight w:val="none"/>
                    </w:rPr>
                  </w:pPr>
                  <w:r>
                    <w:rPr>
                      <w:rFonts w:hint="eastAsia"/>
                      <w:color w:val="auto"/>
                      <w:highlight w:val="none"/>
                    </w:rPr>
                    <w:t>约</w:t>
                  </w:r>
                  <w:r>
                    <w:rPr>
                      <w:rFonts w:hint="eastAsia"/>
                      <w:color w:val="auto"/>
                      <w:highlight w:val="none"/>
                      <w:lang w:val="en-US" w:eastAsia="zh-CN"/>
                    </w:rPr>
                    <w:t>2000</w:t>
                  </w:r>
                  <w:r>
                    <w:rPr>
                      <w:rFonts w:hint="eastAsia"/>
                      <w:color w:val="auto"/>
                      <w:highlight w:val="none"/>
                    </w:rPr>
                    <w:t>人</w:t>
                  </w:r>
                </w:p>
              </w:tc>
              <w:tc>
                <w:tcPr>
                  <w:tcW w:w="448" w:type="pct"/>
                  <w:vMerge w:val="continue"/>
                  <w:tcMar>
                    <w:top w:w="0" w:type="dxa"/>
                    <w:left w:w="57" w:type="dxa"/>
                    <w:bottom w:w="0" w:type="dxa"/>
                    <w:right w:w="57" w:type="dxa"/>
                  </w:tcMar>
                  <w:vAlign w:val="center"/>
                </w:tcPr>
                <w:p w14:paraId="150D803C">
                  <w:pPr>
                    <w:pStyle w:val="20"/>
                    <w:spacing w:before="31"/>
                    <w:rPr>
                      <w:color w:val="auto"/>
                      <w:highlight w:val="none"/>
                    </w:rPr>
                  </w:pPr>
                </w:p>
              </w:tc>
              <w:tc>
                <w:tcPr>
                  <w:tcW w:w="282" w:type="pct"/>
                  <w:tcMar>
                    <w:top w:w="0" w:type="dxa"/>
                    <w:left w:w="57" w:type="dxa"/>
                    <w:bottom w:w="0" w:type="dxa"/>
                    <w:right w:w="57" w:type="dxa"/>
                  </w:tcMar>
                  <w:vAlign w:val="center"/>
                </w:tcPr>
                <w:p w14:paraId="2DEFFC8F">
                  <w:pPr>
                    <w:pStyle w:val="20"/>
                    <w:spacing w:before="31"/>
                    <w:rPr>
                      <w:color w:val="auto"/>
                      <w:highlight w:val="none"/>
                    </w:rPr>
                  </w:pPr>
                  <w:r>
                    <w:rPr>
                      <w:rFonts w:hint="eastAsia"/>
                      <w:color w:val="auto"/>
                      <w:highlight w:val="none"/>
                    </w:rPr>
                    <w:t>SE</w:t>
                  </w:r>
                </w:p>
              </w:tc>
              <w:tc>
                <w:tcPr>
                  <w:tcW w:w="453" w:type="pct"/>
                  <w:tcMar>
                    <w:top w:w="0" w:type="dxa"/>
                    <w:left w:w="57" w:type="dxa"/>
                    <w:bottom w:w="0" w:type="dxa"/>
                    <w:right w:w="57" w:type="dxa"/>
                  </w:tcMar>
                  <w:vAlign w:val="center"/>
                </w:tcPr>
                <w:p w14:paraId="594F5534">
                  <w:pPr>
                    <w:pStyle w:val="20"/>
                    <w:spacing w:before="31"/>
                    <w:rPr>
                      <w:color w:val="auto"/>
                      <w:highlight w:val="none"/>
                    </w:rPr>
                  </w:pPr>
                  <w:r>
                    <w:rPr>
                      <w:rFonts w:hint="eastAsia"/>
                      <w:color w:val="auto"/>
                      <w:highlight w:val="none"/>
                    </w:rPr>
                    <w:t>3</w:t>
                  </w:r>
                  <w:r>
                    <w:rPr>
                      <w:rFonts w:hint="eastAsia"/>
                      <w:color w:val="auto"/>
                      <w:highlight w:val="none"/>
                      <w:lang w:val="en-US" w:eastAsia="zh-CN"/>
                    </w:rPr>
                    <w:t>0</w:t>
                  </w:r>
                  <w:r>
                    <w:rPr>
                      <w:rFonts w:hint="eastAsia"/>
                      <w:color w:val="auto"/>
                      <w:highlight w:val="none"/>
                    </w:rPr>
                    <w:t>5m</w:t>
                  </w:r>
                </w:p>
              </w:tc>
            </w:tr>
            <w:tr w14:paraId="18AB2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46" w:type="pct"/>
                  <w:tcMar>
                    <w:top w:w="0" w:type="dxa"/>
                    <w:left w:w="57" w:type="dxa"/>
                    <w:bottom w:w="0" w:type="dxa"/>
                    <w:right w:w="57" w:type="dxa"/>
                  </w:tcMar>
                  <w:vAlign w:val="center"/>
                </w:tcPr>
                <w:p w14:paraId="68D33DC0">
                  <w:pPr>
                    <w:pStyle w:val="20"/>
                    <w:spacing w:before="31"/>
                    <w:rPr>
                      <w:color w:val="auto"/>
                      <w:highlight w:val="none"/>
                    </w:rPr>
                  </w:pPr>
                  <w:r>
                    <w:rPr>
                      <w:rFonts w:hint="eastAsia"/>
                      <w:color w:val="auto"/>
                      <w:highlight w:val="none"/>
                    </w:rPr>
                    <w:t>3</w:t>
                  </w:r>
                </w:p>
              </w:tc>
              <w:tc>
                <w:tcPr>
                  <w:tcW w:w="1125" w:type="pct"/>
                  <w:tcMar>
                    <w:top w:w="0" w:type="dxa"/>
                    <w:left w:w="57" w:type="dxa"/>
                    <w:bottom w:w="0" w:type="dxa"/>
                    <w:right w:w="57" w:type="dxa"/>
                  </w:tcMar>
                  <w:vAlign w:val="center"/>
                </w:tcPr>
                <w:p w14:paraId="1DCBCB73">
                  <w:pPr>
                    <w:pStyle w:val="20"/>
                    <w:spacing w:before="31"/>
                    <w:rPr>
                      <w:rFonts w:hint="default" w:eastAsia="宋体"/>
                      <w:color w:val="auto"/>
                      <w:highlight w:val="none"/>
                      <w:lang w:val="en-US" w:eastAsia="zh-CN"/>
                    </w:rPr>
                  </w:pPr>
                  <w:r>
                    <w:rPr>
                      <w:rFonts w:hint="eastAsia"/>
                      <w:color w:val="auto"/>
                      <w:highlight w:val="none"/>
                      <w:lang w:val="en-US" w:eastAsia="zh-CN"/>
                    </w:rPr>
                    <w:t>西彭园区实验小学</w:t>
                  </w:r>
                </w:p>
              </w:tc>
              <w:tc>
                <w:tcPr>
                  <w:tcW w:w="609" w:type="pct"/>
                  <w:tcMar>
                    <w:top w:w="0" w:type="dxa"/>
                    <w:left w:w="57" w:type="dxa"/>
                    <w:bottom w:w="0" w:type="dxa"/>
                    <w:right w:w="57" w:type="dxa"/>
                  </w:tcMar>
                  <w:vAlign w:val="center"/>
                </w:tcPr>
                <w:p w14:paraId="19CFE84E">
                  <w:pPr>
                    <w:pStyle w:val="20"/>
                    <w:spacing w:before="31"/>
                    <w:rPr>
                      <w:rFonts w:hint="default" w:eastAsia="宋体"/>
                      <w:color w:val="auto"/>
                      <w:highlight w:val="none"/>
                      <w:lang w:val="en-US" w:eastAsia="zh-CN"/>
                    </w:rPr>
                  </w:pPr>
                  <w:r>
                    <w:rPr>
                      <w:rFonts w:hint="eastAsia"/>
                      <w:color w:val="auto"/>
                      <w:highlight w:val="none"/>
                      <w:lang w:val="en-US" w:eastAsia="zh-CN"/>
                    </w:rPr>
                    <w:t>315</w:t>
                  </w:r>
                </w:p>
              </w:tc>
              <w:tc>
                <w:tcPr>
                  <w:tcW w:w="574" w:type="pct"/>
                  <w:tcMar>
                    <w:top w:w="0" w:type="dxa"/>
                    <w:left w:w="57" w:type="dxa"/>
                    <w:bottom w:w="0" w:type="dxa"/>
                    <w:right w:w="57" w:type="dxa"/>
                  </w:tcMar>
                  <w:vAlign w:val="center"/>
                </w:tcPr>
                <w:p w14:paraId="5AA171E1">
                  <w:pPr>
                    <w:pStyle w:val="20"/>
                    <w:spacing w:before="31"/>
                    <w:rPr>
                      <w:rFonts w:hint="default" w:eastAsia="宋体"/>
                      <w:color w:val="auto"/>
                      <w:highlight w:val="none"/>
                      <w:lang w:val="en-US" w:eastAsia="zh-CN"/>
                    </w:rPr>
                  </w:pPr>
                  <w:r>
                    <w:rPr>
                      <w:rFonts w:hint="eastAsia"/>
                      <w:color w:val="auto"/>
                      <w:highlight w:val="none"/>
                      <w:lang w:val="en-US" w:eastAsia="zh-CN"/>
                    </w:rPr>
                    <w:t>310</w:t>
                  </w:r>
                </w:p>
              </w:tc>
              <w:tc>
                <w:tcPr>
                  <w:tcW w:w="616" w:type="pct"/>
                  <w:tcMar>
                    <w:top w:w="0" w:type="dxa"/>
                    <w:left w:w="57" w:type="dxa"/>
                    <w:bottom w:w="0" w:type="dxa"/>
                    <w:right w:w="57" w:type="dxa"/>
                  </w:tcMar>
                  <w:vAlign w:val="center"/>
                </w:tcPr>
                <w:p w14:paraId="4F742FEF">
                  <w:pPr>
                    <w:pStyle w:val="20"/>
                    <w:bidi w:val="0"/>
                    <w:rPr>
                      <w:color w:val="auto"/>
                      <w:highlight w:val="none"/>
                    </w:rPr>
                  </w:pPr>
                  <w:r>
                    <w:rPr>
                      <w:color w:val="auto"/>
                      <w:highlight w:val="none"/>
                      <w:lang w:val="en-US" w:eastAsia="zh-CN"/>
                    </w:rPr>
                    <w:t>文化区</w:t>
                  </w:r>
                </w:p>
              </w:tc>
              <w:tc>
                <w:tcPr>
                  <w:tcW w:w="643" w:type="pct"/>
                  <w:tcMar>
                    <w:top w:w="0" w:type="dxa"/>
                    <w:left w:w="57" w:type="dxa"/>
                    <w:bottom w:w="0" w:type="dxa"/>
                    <w:right w:w="57" w:type="dxa"/>
                  </w:tcMar>
                  <w:vAlign w:val="center"/>
                </w:tcPr>
                <w:p w14:paraId="30F3CC89">
                  <w:pPr>
                    <w:pStyle w:val="20"/>
                    <w:bidi w:val="0"/>
                    <w:rPr>
                      <w:rFonts w:hint="default" w:eastAsia="宋体"/>
                      <w:color w:val="auto"/>
                      <w:highlight w:val="none"/>
                      <w:lang w:val="en-US" w:eastAsia="zh-CN"/>
                    </w:rPr>
                  </w:pPr>
                  <w:r>
                    <w:rPr>
                      <w:rFonts w:hint="eastAsia"/>
                      <w:color w:val="auto"/>
                      <w:highlight w:val="none"/>
                      <w:lang w:val="en-US" w:eastAsia="zh-CN"/>
                    </w:rPr>
                    <w:t>约1600人</w:t>
                  </w:r>
                </w:p>
              </w:tc>
              <w:tc>
                <w:tcPr>
                  <w:tcW w:w="448" w:type="pct"/>
                  <w:vMerge w:val="continue"/>
                  <w:tcMar>
                    <w:top w:w="0" w:type="dxa"/>
                    <w:left w:w="57" w:type="dxa"/>
                    <w:bottom w:w="0" w:type="dxa"/>
                    <w:right w:w="57" w:type="dxa"/>
                  </w:tcMar>
                  <w:vAlign w:val="center"/>
                </w:tcPr>
                <w:p w14:paraId="68EC106C">
                  <w:pPr>
                    <w:pStyle w:val="20"/>
                    <w:spacing w:before="31"/>
                    <w:rPr>
                      <w:color w:val="auto"/>
                      <w:highlight w:val="none"/>
                    </w:rPr>
                  </w:pPr>
                </w:p>
              </w:tc>
              <w:tc>
                <w:tcPr>
                  <w:tcW w:w="282" w:type="pct"/>
                  <w:tcMar>
                    <w:top w:w="0" w:type="dxa"/>
                    <w:left w:w="57" w:type="dxa"/>
                    <w:bottom w:w="0" w:type="dxa"/>
                    <w:right w:w="57" w:type="dxa"/>
                  </w:tcMar>
                  <w:vAlign w:val="center"/>
                </w:tcPr>
                <w:p w14:paraId="777C9B10">
                  <w:pPr>
                    <w:pStyle w:val="20"/>
                    <w:spacing w:before="31"/>
                    <w:rPr>
                      <w:color w:val="auto"/>
                      <w:highlight w:val="none"/>
                    </w:rPr>
                  </w:pPr>
                  <w:r>
                    <w:rPr>
                      <w:rFonts w:hint="eastAsia"/>
                      <w:color w:val="auto"/>
                      <w:highlight w:val="none"/>
                      <w:lang w:val="en-US" w:eastAsia="zh-CN"/>
                    </w:rPr>
                    <w:t>N</w:t>
                  </w:r>
                  <w:r>
                    <w:rPr>
                      <w:rFonts w:hint="eastAsia"/>
                      <w:color w:val="auto"/>
                      <w:highlight w:val="none"/>
                    </w:rPr>
                    <w:t>E</w:t>
                  </w:r>
                </w:p>
              </w:tc>
              <w:tc>
                <w:tcPr>
                  <w:tcW w:w="453" w:type="pct"/>
                  <w:tcMar>
                    <w:top w:w="0" w:type="dxa"/>
                    <w:left w:w="57" w:type="dxa"/>
                    <w:bottom w:w="0" w:type="dxa"/>
                    <w:right w:w="57" w:type="dxa"/>
                  </w:tcMar>
                  <w:vAlign w:val="center"/>
                </w:tcPr>
                <w:p w14:paraId="3E5EFD0D">
                  <w:pPr>
                    <w:pStyle w:val="20"/>
                    <w:spacing w:before="31"/>
                    <w:rPr>
                      <w:color w:val="auto"/>
                      <w:highlight w:val="none"/>
                    </w:rPr>
                  </w:pPr>
                  <w:r>
                    <w:rPr>
                      <w:rFonts w:hint="eastAsia"/>
                      <w:color w:val="auto"/>
                      <w:highlight w:val="none"/>
                    </w:rPr>
                    <w:t>3</w:t>
                  </w:r>
                  <w:r>
                    <w:rPr>
                      <w:rFonts w:hint="eastAsia"/>
                      <w:color w:val="auto"/>
                      <w:highlight w:val="none"/>
                      <w:lang w:val="en-US" w:eastAsia="zh-CN"/>
                    </w:rPr>
                    <w:t>8</w:t>
                  </w:r>
                  <w:r>
                    <w:rPr>
                      <w:rFonts w:hint="eastAsia"/>
                      <w:color w:val="auto"/>
                      <w:highlight w:val="none"/>
                    </w:rPr>
                    <w:t>0m</w:t>
                  </w:r>
                </w:p>
              </w:tc>
            </w:tr>
          </w:tbl>
          <w:p w14:paraId="101D4F12">
            <w:pPr>
              <w:pStyle w:val="2"/>
              <w:numPr>
                <w:ilvl w:val="0"/>
                <w:numId w:val="7"/>
              </w:numPr>
              <w:spacing w:before="156"/>
              <w:rPr>
                <w:color w:val="auto"/>
                <w:highlight w:val="none"/>
              </w:rPr>
            </w:pPr>
            <w:r>
              <w:rPr>
                <w:rFonts w:hint="eastAsia"/>
                <w:color w:val="auto"/>
                <w:highlight w:val="none"/>
              </w:rPr>
              <w:t>声环境保护目标</w:t>
            </w:r>
          </w:p>
          <w:p w14:paraId="44FE04C2">
            <w:pPr>
              <w:pStyle w:val="18"/>
              <w:rPr>
                <w:color w:val="auto"/>
                <w:highlight w:val="none"/>
              </w:rPr>
            </w:pPr>
            <w:r>
              <w:rPr>
                <w:rFonts w:hint="eastAsia"/>
                <w:color w:val="auto"/>
                <w:highlight w:val="none"/>
                <w:lang w:eastAsia="zh-CN"/>
              </w:rPr>
              <w:t>扩建项目</w:t>
            </w:r>
            <w:r>
              <w:rPr>
                <w:rFonts w:hint="eastAsia"/>
                <w:color w:val="auto"/>
                <w:highlight w:val="none"/>
              </w:rPr>
              <w:t>厂界外50m范围内无声环境保护目标。</w:t>
            </w:r>
          </w:p>
          <w:p w14:paraId="5E07721D">
            <w:pPr>
              <w:pStyle w:val="2"/>
              <w:numPr>
                <w:ilvl w:val="0"/>
                <w:numId w:val="7"/>
              </w:numPr>
              <w:spacing w:before="156"/>
              <w:rPr>
                <w:color w:val="auto"/>
                <w:highlight w:val="none"/>
              </w:rPr>
            </w:pPr>
            <w:r>
              <w:rPr>
                <w:rFonts w:hint="eastAsia"/>
                <w:color w:val="auto"/>
                <w:highlight w:val="none"/>
              </w:rPr>
              <w:t>地下水环境保护目标</w:t>
            </w:r>
          </w:p>
          <w:p w14:paraId="243D0672">
            <w:pPr>
              <w:pStyle w:val="18"/>
              <w:rPr>
                <w:color w:val="auto"/>
                <w:highlight w:val="none"/>
              </w:rPr>
            </w:pPr>
            <w:r>
              <w:rPr>
                <w:rFonts w:hint="eastAsia"/>
                <w:color w:val="auto"/>
                <w:highlight w:val="none"/>
              </w:rPr>
              <w:t>厂界外500m范围内无地下水集中式饮用水水源和热水、矿泉水、温泉等特殊地下水资源。</w:t>
            </w:r>
          </w:p>
          <w:p w14:paraId="33007319">
            <w:pPr>
              <w:pStyle w:val="2"/>
              <w:numPr>
                <w:ilvl w:val="0"/>
                <w:numId w:val="7"/>
              </w:numPr>
              <w:spacing w:before="156"/>
              <w:rPr>
                <w:color w:val="auto"/>
                <w:highlight w:val="none"/>
              </w:rPr>
            </w:pPr>
            <w:r>
              <w:rPr>
                <w:rFonts w:hint="eastAsia"/>
                <w:color w:val="auto"/>
                <w:highlight w:val="none"/>
              </w:rPr>
              <w:t>生态环境保护目标</w:t>
            </w:r>
          </w:p>
          <w:p w14:paraId="45298112">
            <w:pPr>
              <w:pStyle w:val="18"/>
              <w:rPr>
                <w:color w:val="auto"/>
                <w:highlight w:val="none"/>
              </w:rPr>
            </w:pPr>
            <w:r>
              <w:rPr>
                <w:rFonts w:hint="eastAsia"/>
                <w:color w:val="auto"/>
                <w:highlight w:val="none"/>
                <w:lang w:eastAsia="zh-CN"/>
              </w:rPr>
              <w:t>扩建项目</w:t>
            </w:r>
            <w:r>
              <w:rPr>
                <w:color w:val="auto"/>
                <w:highlight w:val="none"/>
              </w:rPr>
              <w:t>不属于产业园区外新增用地建设项目。</w:t>
            </w:r>
          </w:p>
        </w:tc>
      </w:tr>
      <w:tr w14:paraId="52ED9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50" w:type="pct"/>
            <w:vAlign w:val="center"/>
          </w:tcPr>
          <w:p w14:paraId="4CA89B9E">
            <w:pPr>
              <w:pStyle w:val="24"/>
              <w:spacing w:before="93" w:after="93"/>
              <w:rPr>
                <w:rFonts w:cs="宋体"/>
                <w:b/>
                <w:bCs/>
                <w:color w:val="auto"/>
                <w:highlight w:val="none"/>
              </w:rPr>
            </w:pPr>
            <w:r>
              <w:rPr>
                <w:rFonts w:hint="eastAsia"/>
                <w:b/>
                <w:bCs/>
                <w:color w:val="auto"/>
                <w:highlight w:val="none"/>
              </w:rPr>
              <w:t>污染物排放控制标准</w:t>
            </w:r>
          </w:p>
        </w:tc>
        <w:tc>
          <w:tcPr>
            <w:tcW w:w="4649" w:type="pct"/>
            <w:vAlign w:val="center"/>
          </w:tcPr>
          <w:p w14:paraId="5996CA65">
            <w:pPr>
              <w:pStyle w:val="2"/>
              <w:numPr>
                <w:ilvl w:val="0"/>
                <w:numId w:val="8"/>
              </w:numPr>
              <w:spacing w:before="156"/>
              <w:rPr>
                <w:color w:val="auto"/>
                <w:highlight w:val="none"/>
              </w:rPr>
            </w:pPr>
            <w:r>
              <w:rPr>
                <w:rFonts w:hint="eastAsia"/>
                <w:color w:val="auto"/>
                <w:highlight w:val="none"/>
              </w:rPr>
              <w:t>大气污染物排放标准</w:t>
            </w:r>
          </w:p>
          <w:p w14:paraId="18583155">
            <w:pPr>
              <w:pStyle w:val="3"/>
              <w:bidi w:val="0"/>
              <w:rPr>
                <w:rFonts w:hint="default"/>
                <w:color w:val="auto"/>
                <w:highlight w:val="none"/>
                <w:lang w:val="en-US" w:eastAsia="zh-CN"/>
              </w:rPr>
            </w:pPr>
            <w:r>
              <w:rPr>
                <w:rFonts w:hint="eastAsia"/>
                <w:color w:val="auto"/>
                <w:highlight w:val="none"/>
                <w:lang w:val="en-US" w:eastAsia="zh-CN"/>
              </w:rPr>
              <w:t>1</w:t>
            </w:r>
            <w:r>
              <w:rPr>
                <w:rFonts w:hint="eastAsia"/>
                <w:color w:val="auto"/>
                <w:highlight w:val="none"/>
              </w:rPr>
              <w:t>）</w:t>
            </w:r>
            <w:r>
              <w:rPr>
                <w:rFonts w:hint="eastAsia"/>
                <w:color w:val="auto"/>
                <w:highlight w:val="none"/>
                <w:lang w:val="en-US" w:eastAsia="zh-CN"/>
              </w:rPr>
              <w:t>废气有组织排放标准</w:t>
            </w:r>
          </w:p>
          <w:p w14:paraId="4E5CBEC4">
            <w:pPr>
              <w:pStyle w:val="18"/>
              <w:bidi w:val="0"/>
              <w:rPr>
                <w:rFonts w:hint="eastAsia"/>
                <w:color w:val="auto"/>
                <w:highlight w:val="none"/>
              </w:rPr>
            </w:pPr>
            <w:r>
              <w:rPr>
                <w:rFonts w:hint="eastAsia"/>
                <w:color w:val="auto"/>
                <w:highlight w:val="none"/>
              </w:rPr>
              <w:t>本项目位于重庆市</w:t>
            </w:r>
            <w:r>
              <w:rPr>
                <w:rFonts w:hint="eastAsia"/>
                <w:color w:val="auto"/>
                <w:highlight w:val="none"/>
                <w:lang w:val="en-US" w:eastAsia="zh-CN"/>
              </w:rPr>
              <w:t>九龙坡区</w:t>
            </w:r>
            <w:r>
              <w:rPr>
                <w:rFonts w:hint="eastAsia"/>
                <w:color w:val="auto"/>
                <w:highlight w:val="none"/>
              </w:rPr>
              <w:t>，项目</w:t>
            </w:r>
            <w:r>
              <w:rPr>
                <w:rFonts w:hint="eastAsia"/>
                <w:color w:val="auto"/>
                <w:highlight w:val="none"/>
                <w:lang w:val="en-US" w:eastAsia="zh-CN"/>
              </w:rPr>
              <w:t>注塑</w:t>
            </w:r>
            <w:r>
              <w:rPr>
                <w:rFonts w:hint="eastAsia"/>
                <w:color w:val="auto"/>
                <w:highlight w:val="none"/>
              </w:rPr>
              <w:t>产生的注塑</w:t>
            </w:r>
            <w:r>
              <w:rPr>
                <w:color w:val="auto"/>
                <w:highlight w:val="none"/>
              </w:rPr>
              <w:t>废气</w:t>
            </w:r>
            <w:r>
              <w:rPr>
                <w:rFonts w:hint="eastAsia"/>
                <w:color w:val="auto"/>
                <w:highlight w:val="none"/>
              </w:rPr>
              <w:t>执行</w:t>
            </w:r>
            <w:r>
              <w:rPr>
                <w:color w:val="auto"/>
                <w:highlight w:val="none"/>
              </w:rPr>
              <w:t>《合成树脂工业污染物排放标准》（</w:t>
            </w:r>
            <w:r>
              <w:rPr>
                <w:rFonts w:hint="eastAsia"/>
                <w:color w:val="auto"/>
                <w:highlight w:val="none"/>
              </w:rPr>
              <w:t>GB31572-2015，含2024年修改单</w:t>
            </w:r>
            <w:r>
              <w:rPr>
                <w:rFonts w:hint="eastAsia"/>
                <w:color w:val="auto"/>
                <w:highlight w:val="none"/>
                <w:lang w:eastAsia="zh-CN"/>
              </w:rPr>
              <w:t>）</w:t>
            </w:r>
            <w:r>
              <w:rPr>
                <w:color w:val="auto"/>
                <w:highlight w:val="none"/>
              </w:rPr>
              <w:t>中表5特别排放限值</w:t>
            </w:r>
            <w:r>
              <w:rPr>
                <w:rFonts w:hint="eastAsia"/>
                <w:color w:val="auto"/>
                <w:highlight w:val="none"/>
              </w:rPr>
              <w:t>。</w:t>
            </w:r>
          </w:p>
          <w:p w14:paraId="45E867F7">
            <w:pPr>
              <w:pStyle w:val="18"/>
              <w:bidi w:val="0"/>
              <w:rPr>
                <w:rFonts w:hint="eastAsia"/>
                <w:color w:val="auto"/>
                <w:highlight w:val="none"/>
                <w:lang w:val="en-US" w:eastAsia="zh-CN"/>
              </w:rPr>
            </w:pPr>
            <w:r>
              <w:rPr>
                <w:rFonts w:hint="eastAsia"/>
                <w:color w:val="auto"/>
                <w:highlight w:val="none"/>
              </w:rPr>
              <w:t>臭气浓度</w:t>
            </w:r>
            <w:r>
              <w:rPr>
                <w:rFonts w:hint="eastAsia"/>
                <w:color w:val="auto"/>
                <w:highlight w:val="none"/>
                <w:lang w:val="en-US" w:eastAsia="zh-CN"/>
              </w:rPr>
              <w:t>作为监控因子，</w:t>
            </w:r>
            <w:r>
              <w:rPr>
                <w:rFonts w:hint="eastAsia"/>
                <w:color w:val="auto"/>
                <w:highlight w:val="none"/>
              </w:rPr>
              <w:t>执行《恶臭污染物排放标准》（</w:t>
            </w:r>
            <w:r>
              <w:rPr>
                <w:color w:val="auto"/>
                <w:highlight w:val="none"/>
              </w:rPr>
              <w:t>GB14554-1993</w:t>
            </w:r>
            <w:r>
              <w:rPr>
                <w:rFonts w:hint="eastAsia"/>
                <w:color w:val="auto"/>
                <w:highlight w:val="none"/>
              </w:rPr>
              <w:t>）二级标准</w:t>
            </w:r>
          </w:p>
          <w:p w14:paraId="717EA314">
            <w:pPr>
              <w:pStyle w:val="18"/>
              <w:rPr>
                <w:rFonts w:hint="eastAsia"/>
                <w:color w:val="auto"/>
                <w:sz w:val="24"/>
                <w:highlight w:val="none"/>
                <w:lang w:eastAsia="zh-CN"/>
              </w:rPr>
            </w:pPr>
            <w:r>
              <w:rPr>
                <w:rFonts w:hint="eastAsia"/>
                <w:color w:val="auto"/>
                <w:sz w:val="24"/>
                <w:highlight w:val="none"/>
              </w:rPr>
              <w:t>厂房外无组织排放非甲烷总烃执行</w:t>
            </w:r>
            <w:r>
              <w:rPr>
                <w:color w:val="auto"/>
                <w:sz w:val="24"/>
                <w:highlight w:val="none"/>
              </w:rPr>
              <w:t>《挥发性有机物无组织排放控制标准》（GB37822-2019）标准特别排放限值</w:t>
            </w:r>
            <w:r>
              <w:rPr>
                <w:rFonts w:hint="eastAsia"/>
                <w:color w:val="auto"/>
                <w:sz w:val="24"/>
                <w:highlight w:val="none"/>
                <w:lang w:eastAsia="zh-CN"/>
              </w:rPr>
              <w:t>。</w:t>
            </w:r>
          </w:p>
          <w:p w14:paraId="7D9E6976">
            <w:pPr>
              <w:pStyle w:val="18"/>
              <w:rPr>
                <w:rFonts w:hint="eastAsia"/>
                <w:color w:val="auto"/>
                <w:highlight w:val="none"/>
                <w:lang w:val="en-US" w:eastAsia="zh-CN"/>
              </w:rPr>
            </w:pPr>
            <w:r>
              <w:rPr>
                <w:rFonts w:hint="eastAsia"/>
                <w:color w:val="auto"/>
                <w:highlight w:val="none"/>
                <w:lang w:val="en-US" w:eastAsia="zh-CN"/>
              </w:rPr>
              <w:t>厂界无组织排放的非甲烷总烃、甲苯、颗粒物执行《合成树脂工业污染物排放标准》（GB31572-2015，含2024年修改单）。</w:t>
            </w:r>
          </w:p>
          <w:p w14:paraId="3DD41AA4">
            <w:pPr>
              <w:pStyle w:val="19"/>
              <w:spacing w:before="156"/>
              <w:rPr>
                <w:rFonts w:hint="eastAsia"/>
                <w:color w:val="auto"/>
                <w:highlight w:val="none"/>
              </w:rPr>
            </w:pPr>
            <w:r>
              <w:rPr>
                <w:color w:val="auto"/>
                <w:highlight w:val="none"/>
              </w:rPr>
              <w:t>表3-</w:t>
            </w:r>
            <w:r>
              <w:rPr>
                <w:color w:val="auto"/>
                <w:highlight w:val="none"/>
              </w:rPr>
              <w:fldChar w:fldCharType="begin"/>
            </w:r>
            <w:r>
              <w:rPr>
                <w:color w:val="auto"/>
                <w:highlight w:val="none"/>
              </w:rPr>
              <w:instrText xml:space="preserve"> SEQ 表3- \* ARABIC </w:instrText>
            </w:r>
            <w:r>
              <w:rPr>
                <w:color w:val="auto"/>
                <w:highlight w:val="none"/>
              </w:rPr>
              <w:fldChar w:fldCharType="separate"/>
            </w:r>
            <w:r>
              <w:rPr>
                <w:color w:val="auto"/>
                <w:highlight w:val="none"/>
              </w:rPr>
              <w:t>5</w:t>
            </w:r>
            <w:r>
              <w:rPr>
                <w:color w:val="auto"/>
                <w:highlight w:val="none"/>
              </w:rPr>
              <w:fldChar w:fldCharType="end"/>
            </w:r>
            <w:r>
              <w:rPr>
                <w:rFonts w:hint="eastAsia"/>
                <w:color w:val="auto"/>
                <w:highlight w:val="none"/>
              </w:rPr>
              <w:t xml:space="preserve">  《合成树脂工业污染物排放标准》（GB31572-2015，含2024年修改单）</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2"/>
              <w:gridCol w:w="2887"/>
              <w:gridCol w:w="2621"/>
            </w:tblGrid>
            <w:tr w14:paraId="3D817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4" w:type="pct"/>
                  <w:noWrap w:val="0"/>
                  <w:vAlign w:val="center"/>
                </w:tcPr>
                <w:p w14:paraId="0F2D6BEF">
                  <w:pPr>
                    <w:pStyle w:val="20"/>
                    <w:bidi w:val="0"/>
                    <w:rPr>
                      <w:b/>
                      <w:bCs/>
                      <w:color w:val="auto"/>
                      <w:highlight w:val="none"/>
                    </w:rPr>
                  </w:pPr>
                  <w:r>
                    <w:rPr>
                      <w:b/>
                      <w:bCs/>
                      <w:color w:val="auto"/>
                      <w:highlight w:val="none"/>
                    </w:rPr>
                    <w:t>污染物</w:t>
                  </w:r>
                </w:p>
              </w:tc>
              <w:tc>
                <w:tcPr>
                  <w:tcW w:w="1733" w:type="pct"/>
                  <w:noWrap w:val="0"/>
                  <w:vAlign w:val="center"/>
                </w:tcPr>
                <w:p w14:paraId="2CB84D2E">
                  <w:pPr>
                    <w:pStyle w:val="20"/>
                    <w:bidi w:val="0"/>
                    <w:rPr>
                      <w:rFonts w:hint="eastAsia" w:eastAsia="宋体"/>
                      <w:b/>
                      <w:bCs/>
                      <w:color w:val="auto"/>
                      <w:highlight w:val="none"/>
                      <w:lang w:eastAsia="zh-CN"/>
                    </w:rPr>
                  </w:pPr>
                  <w:r>
                    <w:rPr>
                      <w:b/>
                      <w:bCs/>
                      <w:color w:val="auto"/>
                      <w:highlight w:val="none"/>
                    </w:rPr>
                    <w:t>大气污染物最高允许排放浓度</w:t>
                  </w:r>
                  <w:r>
                    <w:rPr>
                      <w:rFonts w:hint="eastAsia"/>
                      <w:b/>
                      <w:bCs/>
                      <w:color w:val="auto"/>
                      <w:highlight w:val="none"/>
                      <w:lang w:eastAsia="zh-CN"/>
                    </w:rPr>
                    <w:t>（</w:t>
                  </w:r>
                  <w:r>
                    <w:rPr>
                      <w:b/>
                      <w:bCs/>
                      <w:color w:val="auto"/>
                      <w:highlight w:val="none"/>
                    </w:rPr>
                    <w:t>mg/</w:t>
                  </w:r>
                  <w:r>
                    <w:rPr>
                      <w:rFonts w:hint="eastAsia"/>
                      <w:b/>
                      <w:bCs/>
                      <w:color w:val="auto"/>
                      <w:highlight w:val="none"/>
                    </w:rPr>
                    <w:t>m³</w:t>
                  </w:r>
                  <w:r>
                    <w:rPr>
                      <w:rFonts w:hint="eastAsia"/>
                      <w:b/>
                      <w:bCs/>
                      <w:color w:val="auto"/>
                      <w:highlight w:val="none"/>
                      <w:lang w:eastAsia="zh-CN"/>
                    </w:rPr>
                    <w:t>）</w:t>
                  </w:r>
                </w:p>
              </w:tc>
              <w:tc>
                <w:tcPr>
                  <w:tcW w:w="1572" w:type="pct"/>
                  <w:noWrap w:val="0"/>
                  <w:vAlign w:val="center"/>
                </w:tcPr>
                <w:p w14:paraId="446FFC6D">
                  <w:pPr>
                    <w:pStyle w:val="20"/>
                    <w:bidi w:val="0"/>
                    <w:rPr>
                      <w:b/>
                      <w:bCs/>
                      <w:color w:val="auto"/>
                      <w:highlight w:val="none"/>
                    </w:rPr>
                  </w:pPr>
                  <w:r>
                    <w:rPr>
                      <w:rFonts w:hint="eastAsia"/>
                      <w:b/>
                      <w:bCs/>
                      <w:color w:val="auto"/>
                      <w:szCs w:val="21"/>
                      <w:highlight w:val="none"/>
                    </w:rPr>
                    <w:t>企业边界大气污染物浓度限值</w:t>
                  </w:r>
                  <w:r>
                    <w:rPr>
                      <w:rFonts w:hint="eastAsia"/>
                      <w:b/>
                      <w:bCs/>
                      <w:color w:val="auto"/>
                      <w:highlight w:val="none"/>
                      <w:lang w:eastAsia="zh-CN"/>
                    </w:rPr>
                    <w:t>（</w:t>
                  </w:r>
                  <w:r>
                    <w:rPr>
                      <w:b/>
                      <w:bCs/>
                      <w:color w:val="auto"/>
                      <w:highlight w:val="none"/>
                    </w:rPr>
                    <w:t>mg/</w:t>
                  </w:r>
                  <w:r>
                    <w:rPr>
                      <w:rFonts w:hint="eastAsia"/>
                      <w:b/>
                      <w:bCs/>
                      <w:color w:val="auto"/>
                      <w:highlight w:val="none"/>
                    </w:rPr>
                    <w:t>m³</w:t>
                  </w:r>
                  <w:r>
                    <w:rPr>
                      <w:rFonts w:hint="eastAsia"/>
                      <w:b/>
                      <w:bCs/>
                      <w:color w:val="auto"/>
                      <w:highlight w:val="none"/>
                      <w:lang w:eastAsia="zh-CN"/>
                    </w:rPr>
                    <w:t>）</w:t>
                  </w:r>
                </w:p>
              </w:tc>
            </w:tr>
            <w:tr w14:paraId="02709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4" w:type="pct"/>
                  <w:noWrap w:val="0"/>
                  <w:vAlign w:val="center"/>
                </w:tcPr>
                <w:p w14:paraId="31BD1A8A">
                  <w:pPr>
                    <w:pStyle w:val="20"/>
                    <w:bidi w:val="0"/>
                    <w:rPr>
                      <w:rFonts w:hint="eastAsia"/>
                      <w:color w:val="auto"/>
                      <w:highlight w:val="none"/>
                    </w:rPr>
                  </w:pPr>
                  <w:r>
                    <w:rPr>
                      <w:color w:val="auto"/>
                      <w:highlight w:val="none"/>
                    </w:rPr>
                    <w:t>非甲烷总烃</w:t>
                  </w:r>
                </w:p>
              </w:tc>
              <w:tc>
                <w:tcPr>
                  <w:tcW w:w="1733" w:type="pct"/>
                  <w:noWrap w:val="0"/>
                  <w:vAlign w:val="center"/>
                </w:tcPr>
                <w:p w14:paraId="5B4A40A7">
                  <w:pPr>
                    <w:pStyle w:val="20"/>
                    <w:bidi w:val="0"/>
                    <w:rPr>
                      <w:color w:val="auto"/>
                      <w:highlight w:val="none"/>
                    </w:rPr>
                  </w:pPr>
                  <w:r>
                    <w:rPr>
                      <w:color w:val="auto"/>
                      <w:highlight w:val="none"/>
                    </w:rPr>
                    <w:t>60</w:t>
                  </w:r>
                </w:p>
              </w:tc>
              <w:tc>
                <w:tcPr>
                  <w:tcW w:w="1572" w:type="pct"/>
                  <w:noWrap w:val="0"/>
                  <w:vAlign w:val="center"/>
                </w:tcPr>
                <w:p w14:paraId="376AD3B0">
                  <w:pPr>
                    <w:pStyle w:val="20"/>
                    <w:bidi w:val="0"/>
                    <w:rPr>
                      <w:rFonts w:hint="default" w:eastAsia="宋体"/>
                      <w:color w:val="auto"/>
                      <w:highlight w:val="none"/>
                      <w:lang w:val="en-US" w:eastAsia="zh-CN"/>
                    </w:rPr>
                  </w:pPr>
                  <w:r>
                    <w:rPr>
                      <w:rFonts w:hint="eastAsia"/>
                      <w:color w:val="auto"/>
                      <w:highlight w:val="none"/>
                      <w:lang w:val="en-US" w:eastAsia="zh-CN"/>
                    </w:rPr>
                    <w:t>4.0</w:t>
                  </w:r>
                </w:p>
              </w:tc>
            </w:tr>
            <w:tr w14:paraId="69571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694" w:type="pct"/>
                  <w:noWrap w:val="0"/>
                  <w:vAlign w:val="center"/>
                </w:tcPr>
                <w:p w14:paraId="7B0EA63B">
                  <w:pPr>
                    <w:pStyle w:val="20"/>
                    <w:bidi w:val="0"/>
                    <w:rPr>
                      <w:color w:val="auto"/>
                      <w:highlight w:val="none"/>
                    </w:rPr>
                  </w:pPr>
                  <w:r>
                    <w:rPr>
                      <w:color w:val="auto"/>
                      <w:highlight w:val="none"/>
                    </w:rPr>
                    <w:t>颗粒物</w:t>
                  </w:r>
                </w:p>
              </w:tc>
              <w:tc>
                <w:tcPr>
                  <w:tcW w:w="1733" w:type="pct"/>
                  <w:noWrap w:val="0"/>
                  <w:vAlign w:val="center"/>
                </w:tcPr>
                <w:p w14:paraId="339C4E56">
                  <w:pPr>
                    <w:pStyle w:val="20"/>
                    <w:bidi w:val="0"/>
                    <w:rPr>
                      <w:color w:val="auto"/>
                      <w:highlight w:val="none"/>
                    </w:rPr>
                  </w:pPr>
                  <w:r>
                    <w:rPr>
                      <w:color w:val="auto"/>
                      <w:highlight w:val="none"/>
                    </w:rPr>
                    <w:t>20</w:t>
                  </w:r>
                </w:p>
              </w:tc>
              <w:tc>
                <w:tcPr>
                  <w:tcW w:w="1572" w:type="pct"/>
                  <w:noWrap w:val="0"/>
                  <w:vAlign w:val="center"/>
                </w:tcPr>
                <w:p w14:paraId="675780F9">
                  <w:pPr>
                    <w:pStyle w:val="20"/>
                    <w:bidi w:val="0"/>
                    <w:rPr>
                      <w:rFonts w:hint="default" w:eastAsia="宋体"/>
                      <w:color w:val="auto"/>
                      <w:highlight w:val="none"/>
                      <w:lang w:val="en-US" w:eastAsia="zh-CN"/>
                    </w:rPr>
                  </w:pPr>
                  <w:r>
                    <w:rPr>
                      <w:rFonts w:hint="eastAsia"/>
                      <w:color w:val="auto"/>
                      <w:highlight w:val="none"/>
                      <w:lang w:val="en-US" w:eastAsia="zh-CN"/>
                    </w:rPr>
                    <w:t>1.0</w:t>
                  </w:r>
                </w:p>
              </w:tc>
            </w:tr>
            <w:tr w14:paraId="73CF1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4" w:type="pct"/>
                  <w:noWrap w:val="0"/>
                  <w:vAlign w:val="center"/>
                </w:tcPr>
                <w:p w14:paraId="54407BB9">
                  <w:pPr>
                    <w:pStyle w:val="20"/>
                    <w:bidi w:val="0"/>
                    <w:rPr>
                      <w:color w:val="auto"/>
                      <w:highlight w:val="none"/>
                    </w:rPr>
                  </w:pPr>
                  <w:r>
                    <w:rPr>
                      <w:rFonts w:hint="eastAsia"/>
                      <w:color w:val="auto"/>
                      <w:highlight w:val="none"/>
                    </w:rPr>
                    <w:t>苯乙烯</w:t>
                  </w:r>
                </w:p>
              </w:tc>
              <w:tc>
                <w:tcPr>
                  <w:tcW w:w="1733" w:type="pct"/>
                  <w:noWrap w:val="0"/>
                  <w:vAlign w:val="center"/>
                </w:tcPr>
                <w:p w14:paraId="352199DC">
                  <w:pPr>
                    <w:pStyle w:val="20"/>
                    <w:bidi w:val="0"/>
                    <w:rPr>
                      <w:color w:val="auto"/>
                      <w:highlight w:val="none"/>
                    </w:rPr>
                  </w:pPr>
                  <w:r>
                    <w:rPr>
                      <w:rFonts w:hint="eastAsia"/>
                      <w:color w:val="auto"/>
                      <w:highlight w:val="none"/>
                    </w:rPr>
                    <w:t>20</w:t>
                  </w:r>
                </w:p>
              </w:tc>
              <w:tc>
                <w:tcPr>
                  <w:tcW w:w="1572" w:type="pct"/>
                  <w:noWrap w:val="0"/>
                  <w:vAlign w:val="center"/>
                </w:tcPr>
                <w:p w14:paraId="1AE8B769">
                  <w:pPr>
                    <w:pStyle w:val="20"/>
                    <w:bidi w:val="0"/>
                    <w:rPr>
                      <w:rFonts w:hint="eastAsia" w:eastAsia="宋体"/>
                      <w:color w:val="auto"/>
                      <w:highlight w:val="none"/>
                      <w:lang w:val="en-US" w:eastAsia="zh-CN"/>
                    </w:rPr>
                  </w:pPr>
                  <w:r>
                    <w:rPr>
                      <w:rFonts w:hint="eastAsia"/>
                      <w:color w:val="auto"/>
                      <w:highlight w:val="none"/>
                      <w:lang w:val="en-US" w:eastAsia="zh-CN"/>
                    </w:rPr>
                    <w:t>/</w:t>
                  </w:r>
                </w:p>
              </w:tc>
            </w:tr>
            <w:tr w14:paraId="465C8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4" w:type="pct"/>
                  <w:noWrap w:val="0"/>
                  <w:vAlign w:val="center"/>
                </w:tcPr>
                <w:p w14:paraId="335730C5">
                  <w:pPr>
                    <w:pStyle w:val="20"/>
                    <w:bidi w:val="0"/>
                    <w:rPr>
                      <w:rFonts w:hint="eastAsia"/>
                      <w:color w:val="auto"/>
                      <w:highlight w:val="none"/>
                    </w:rPr>
                  </w:pPr>
                  <w:r>
                    <w:rPr>
                      <w:rFonts w:hint="eastAsia"/>
                      <w:color w:val="auto"/>
                      <w:highlight w:val="none"/>
                    </w:rPr>
                    <w:t>丙烯腈</w:t>
                  </w:r>
                </w:p>
              </w:tc>
              <w:tc>
                <w:tcPr>
                  <w:tcW w:w="1733" w:type="pct"/>
                  <w:noWrap w:val="0"/>
                  <w:vAlign w:val="center"/>
                </w:tcPr>
                <w:p w14:paraId="70C88FC5">
                  <w:pPr>
                    <w:pStyle w:val="20"/>
                    <w:bidi w:val="0"/>
                    <w:rPr>
                      <w:color w:val="auto"/>
                      <w:highlight w:val="none"/>
                    </w:rPr>
                  </w:pPr>
                  <w:r>
                    <w:rPr>
                      <w:rFonts w:hint="eastAsia"/>
                      <w:color w:val="auto"/>
                      <w:highlight w:val="none"/>
                    </w:rPr>
                    <w:t>0.5</w:t>
                  </w:r>
                </w:p>
              </w:tc>
              <w:tc>
                <w:tcPr>
                  <w:tcW w:w="1572" w:type="pct"/>
                  <w:noWrap w:val="0"/>
                  <w:vAlign w:val="center"/>
                </w:tcPr>
                <w:p w14:paraId="179C4EE1">
                  <w:pPr>
                    <w:pStyle w:val="20"/>
                    <w:bidi w:val="0"/>
                    <w:rPr>
                      <w:rFonts w:hint="eastAsia"/>
                      <w:color w:val="auto"/>
                      <w:highlight w:val="none"/>
                      <w:lang w:val="en-US" w:eastAsia="zh-CN"/>
                    </w:rPr>
                  </w:pPr>
                  <w:r>
                    <w:rPr>
                      <w:rFonts w:hint="eastAsia"/>
                      <w:color w:val="auto"/>
                      <w:highlight w:val="none"/>
                      <w:lang w:val="en-US" w:eastAsia="zh-CN"/>
                    </w:rPr>
                    <w:t>/</w:t>
                  </w:r>
                </w:p>
              </w:tc>
            </w:tr>
            <w:tr w14:paraId="3BA62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4" w:type="pct"/>
                  <w:noWrap w:val="0"/>
                  <w:vAlign w:val="center"/>
                </w:tcPr>
                <w:p w14:paraId="2D79E9BC">
                  <w:pPr>
                    <w:pStyle w:val="20"/>
                    <w:bidi w:val="0"/>
                    <w:rPr>
                      <w:rFonts w:hint="eastAsia"/>
                      <w:color w:val="auto"/>
                      <w:highlight w:val="none"/>
                    </w:rPr>
                  </w:pPr>
                  <w:r>
                    <w:rPr>
                      <w:rFonts w:hint="eastAsia"/>
                      <w:color w:val="auto"/>
                      <w:highlight w:val="none"/>
                    </w:rPr>
                    <w:t>1,3-丁二烯①</w:t>
                  </w:r>
                </w:p>
              </w:tc>
              <w:tc>
                <w:tcPr>
                  <w:tcW w:w="1733" w:type="pct"/>
                  <w:noWrap w:val="0"/>
                  <w:vAlign w:val="center"/>
                </w:tcPr>
                <w:p w14:paraId="68DF732E">
                  <w:pPr>
                    <w:pStyle w:val="20"/>
                    <w:bidi w:val="0"/>
                    <w:rPr>
                      <w:rFonts w:hint="eastAsia"/>
                      <w:color w:val="auto"/>
                      <w:highlight w:val="none"/>
                      <w:lang w:val="en-US" w:eastAsia="zh-CN"/>
                    </w:rPr>
                  </w:pPr>
                  <w:r>
                    <w:rPr>
                      <w:rFonts w:hint="eastAsia"/>
                      <w:color w:val="auto"/>
                      <w:highlight w:val="none"/>
                      <w:lang w:val="en-US" w:eastAsia="zh-CN"/>
                    </w:rPr>
                    <w:t>1</w:t>
                  </w:r>
                </w:p>
              </w:tc>
              <w:tc>
                <w:tcPr>
                  <w:tcW w:w="1572" w:type="pct"/>
                  <w:noWrap w:val="0"/>
                  <w:vAlign w:val="center"/>
                </w:tcPr>
                <w:p w14:paraId="045E49A3">
                  <w:pPr>
                    <w:pStyle w:val="20"/>
                    <w:bidi w:val="0"/>
                    <w:rPr>
                      <w:rFonts w:hint="eastAsia"/>
                      <w:color w:val="auto"/>
                      <w:highlight w:val="none"/>
                      <w:lang w:val="en-US" w:eastAsia="zh-CN"/>
                    </w:rPr>
                  </w:pPr>
                  <w:r>
                    <w:rPr>
                      <w:rFonts w:hint="eastAsia"/>
                      <w:color w:val="auto"/>
                      <w:highlight w:val="none"/>
                      <w:lang w:val="en-US" w:eastAsia="zh-CN"/>
                    </w:rPr>
                    <w:t>/</w:t>
                  </w:r>
                </w:p>
              </w:tc>
            </w:tr>
            <w:tr w14:paraId="04E27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4" w:type="pct"/>
                  <w:shd w:val="clear" w:color="auto" w:fill="auto"/>
                  <w:noWrap w:val="0"/>
                  <w:vAlign w:val="center"/>
                </w:tcPr>
                <w:p w14:paraId="011822B2">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甲苯</w:t>
                  </w:r>
                </w:p>
              </w:tc>
              <w:tc>
                <w:tcPr>
                  <w:tcW w:w="1733" w:type="pct"/>
                  <w:shd w:val="clear" w:color="auto" w:fill="auto"/>
                  <w:noWrap w:val="0"/>
                  <w:vAlign w:val="center"/>
                </w:tcPr>
                <w:p w14:paraId="039E6137">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8</w:t>
                  </w:r>
                </w:p>
              </w:tc>
              <w:tc>
                <w:tcPr>
                  <w:tcW w:w="1572" w:type="pct"/>
                  <w:shd w:val="clear" w:color="auto" w:fill="auto"/>
                  <w:noWrap w:val="0"/>
                  <w:vAlign w:val="center"/>
                </w:tcPr>
                <w:p w14:paraId="4931D756">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0.8</w:t>
                  </w:r>
                </w:p>
              </w:tc>
            </w:tr>
            <w:tr w14:paraId="28025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4" w:type="pct"/>
                  <w:shd w:val="clear" w:color="auto" w:fill="auto"/>
                  <w:noWrap w:val="0"/>
                  <w:vAlign w:val="center"/>
                </w:tcPr>
                <w:p w14:paraId="016B1118">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乙苯</w:t>
                  </w:r>
                </w:p>
              </w:tc>
              <w:tc>
                <w:tcPr>
                  <w:tcW w:w="1733" w:type="pct"/>
                  <w:shd w:val="clear" w:color="auto" w:fill="auto"/>
                  <w:noWrap w:val="0"/>
                  <w:vAlign w:val="center"/>
                </w:tcPr>
                <w:p w14:paraId="340C16C1">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50</w:t>
                  </w:r>
                </w:p>
              </w:tc>
              <w:tc>
                <w:tcPr>
                  <w:tcW w:w="1572" w:type="pct"/>
                  <w:shd w:val="clear" w:color="auto" w:fill="auto"/>
                  <w:noWrap w:val="0"/>
                  <w:vAlign w:val="center"/>
                </w:tcPr>
                <w:p w14:paraId="018C8B78">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w:t>
                  </w:r>
                </w:p>
              </w:tc>
            </w:tr>
            <w:tr w14:paraId="3AD00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4" w:type="pct"/>
                  <w:noWrap w:val="0"/>
                  <w:vAlign w:val="center"/>
                </w:tcPr>
                <w:p w14:paraId="69D1A913">
                  <w:pPr>
                    <w:pStyle w:val="20"/>
                    <w:bidi w:val="0"/>
                    <w:rPr>
                      <w:color w:val="auto"/>
                      <w:highlight w:val="none"/>
                    </w:rPr>
                  </w:pPr>
                  <w:r>
                    <w:rPr>
                      <w:rFonts w:hint="eastAsia"/>
                      <w:color w:val="auto"/>
                      <w:highlight w:val="none"/>
                    </w:rPr>
                    <w:t>丙烯酸</w:t>
                  </w:r>
                  <w:r>
                    <w:rPr>
                      <w:rFonts w:hint="default"/>
                      <w:color w:val="auto"/>
                      <w:highlight w:val="none"/>
                    </w:rPr>
                    <w:t>②</w:t>
                  </w:r>
                </w:p>
              </w:tc>
              <w:tc>
                <w:tcPr>
                  <w:tcW w:w="1733" w:type="pct"/>
                  <w:noWrap w:val="0"/>
                  <w:vAlign w:val="center"/>
                </w:tcPr>
                <w:p w14:paraId="04157507">
                  <w:pPr>
                    <w:pStyle w:val="20"/>
                    <w:bidi w:val="0"/>
                    <w:rPr>
                      <w:color w:val="auto"/>
                      <w:highlight w:val="none"/>
                    </w:rPr>
                  </w:pPr>
                  <w:r>
                    <w:rPr>
                      <w:rFonts w:hint="eastAsia"/>
                      <w:color w:val="auto"/>
                      <w:highlight w:val="none"/>
                    </w:rPr>
                    <w:t>10</w:t>
                  </w:r>
                </w:p>
              </w:tc>
              <w:tc>
                <w:tcPr>
                  <w:tcW w:w="1572" w:type="pct"/>
                  <w:noWrap w:val="0"/>
                  <w:vAlign w:val="center"/>
                </w:tcPr>
                <w:p w14:paraId="1AF92EEF">
                  <w:pPr>
                    <w:pStyle w:val="20"/>
                    <w:bidi w:val="0"/>
                    <w:rPr>
                      <w:rFonts w:hint="eastAsia"/>
                      <w:color w:val="auto"/>
                      <w:highlight w:val="none"/>
                      <w:lang w:val="en-US" w:eastAsia="zh-CN"/>
                    </w:rPr>
                  </w:pPr>
                  <w:r>
                    <w:rPr>
                      <w:rFonts w:hint="eastAsia"/>
                      <w:color w:val="auto"/>
                      <w:highlight w:val="none"/>
                      <w:lang w:val="en-US" w:eastAsia="zh-CN"/>
                    </w:rPr>
                    <w:t>/</w:t>
                  </w:r>
                </w:p>
              </w:tc>
            </w:tr>
            <w:tr w14:paraId="37813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4" w:type="pct"/>
                  <w:noWrap w:val="0"/>
                  <w:vAlign w:val="center"/>
                </w:tcPr>
                <w:p w14:paraId="4835E60B">
                  <w:pPr>
                    <w:pStyle w:val="20"/>
                    <w:bidi w:val="0"/>
                    <w:rPr>
                      <w:color w:val="auto"/>
                      <w:highlight w:val="none"/>
                    </w:rPr>
                  </w:pPr>
                  <w:r>
                    <w:rPr>
                      <w:rFonts w:hint="eastAsia"/>
                      <w:color w:val="auto"/>
                      <w:highlight w:val="none"/>
                    </w:rPr>
                    <w:t>丙烯酸甲酯</w:t>
                  </w:r>
                  <w:r>
                    <w:rPr>
                      <w:rFonts w:hint="default"/>
                      <w:color w:val="auto"/>
                      <w:highlight w:val="none"/>
                    </w:rPr>
                    <w:t>③</w:t>
                  </w:r>
                </w:p>
              </w:tc>
              <w:tc>
                <w:tcPr>
                  <w:tcW w:w="1733" w:type="pct"/>
                  <w:noWrap w:val="0"/>
                  <w:vAlign w:val="center"/>
                </w:tcPr>
                <w:p w14:paraId="0E7BCADD">
                  <w:pPr>
                    <w:pStyle w:val="20"/>
                    <w:bidi w:val="0"/>
                    <w:rPr>
                      <w:color w:val="auto"/>
                      <w:highlight w:val="none"/>
                    </w:rPr>
                  </w:pPr>
                  <w:r>
                    <w:rPr>
                      <w:rFonts w:hint="eastAsia"/>
                      <w:color w:val="auto"/>
                      <w:highlight w:val="none"/>
                    </w:rPr>
                    <w:t>20</w:t>
                  </w:r>
                </w:p>
              </w:tc>
              <w:tc>
                <w:tcPr>
                  <w:tcW w:w="1572" w:type="pct"/>
                  <w:noWrap w:val="0"/>
                  <w:vAlign w:val="center"/>
                </w:tcPr>
                <w:p w14:paraId="784B8042">
                  <w:pPr>
                    <w:pStyle w:val="20"/>
                    <w:bidi w:val="0"/>
                    <w:rPr>
                      <w:rFonts w:hint="eastAsia"/>
                      <w:color w:val="auto"/>
                      <w:highlight w:val="none"/>
                      <w:lang w:val="en-US" w:eastAsia="zh-CN"/>
                    </w:rPr>
                  </w:pPr>
                  <w:r>
                    <w:rPr>
                      <w:rFonts w:hint="eastAsia"/>
                      <w:color w:val="auto"/>
                      <w:highlight w:val="none"/>
                      <w:lang w:val="en-US" w:eastAsia="zh-CN"/>
                    </w:rPr>
                    <w:t>/</w:t>
                  </w:r>
                </w:p>
              </w:tc>
            </w:tr>
            <w:tr w14:paraId="76405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4" w:type="pct"/>
                  <w:noWrap w:val="0"/>
                  <w:vAlign w:val="center"/>
                </w:tcPr>
                <w:p w14:paraId="0A6F8E05">
                  <w:pPr>
                    <w:pStyle w:val="20"/>
                    <w:bidi w:val="0"/>
                    <w:rPr>
                      <w:rFonts w:hint="eastAsia"/>
                      <w:color w:val="auto"/>
                      <w:highlight w:val="none"/>
                    </w:rPr>
                  </w:pPr>
                  <w:r>
                    <w:rPr>
                      <w:rFonts w:hint="eastAsia"/>
                      <w:color w:val="auto"/>
                      <w:highlight w:val="none"/>
                    </w:rPr>
                    <w:t>丙烯酸丁酯</w:t>
                  </w:r>
                  <w:r>
                    <w:rPr>
                      <w:rFonts w:hint="default"/>
                      <w:color w:val="auto"/>
                      <w:highlight w:val="none"/>
                    </w:rPr>
                    <w:t>③</w:t>
                  </w:r>
                </w:p>
              </w:tc>
              <w:tc>
                <w:tcPr>
                  <w:tcW w:w="1733" w:type="pct"/>
                  <w:noWrap w:val="0"/>
                  <w:vAlign w:val="center"/>
                </w:tcPr>
                <w:p w14:paraId="29352705">
                  <w:pPr>
                    <w:pStyle w:val="20"/>
                    <w:bidi w:val="0"/>
                    <w:rPr>
                      <w:color w:val="auto"/>
                      <w:highlight w:val="none"/>
                    </w:rPr>
                  </w:pPr>
                  <w:r>
                    <w:rPr>
                      <w:rFonts w:hint="eastAsia"/>
                      <w:color w:val="auto"/>
                      <w:highlight w:val="none"/>
                    </w:rPr>
                    <w:t>20</w:t>
                  </w:r>
                </w:p>
              </w:tc>
              <w:tc>
                <w:tcPr>
                  <w:tcW w:w="1572" w:type="pct"/>
                  <w:noWrap w:val="0"/>
                  <w:vAlign w:val="center"/>
                </w:tcPr>
                <w:p w14:paraId="447A61AA">
                  <w:pPr>
                    <w:pStyle w:val="20"/>
                    <w:bidi w:val="0"/>
                    <w:rPr>
                      <w:rFonts w:hint="eastAsia"/>
                      <w:color w:val="auto"/>
                      <w:highlight w:val="none"/>
                      <w:lang w:val="en-US" w:eastAsia="zh-CN"/>
                    </w:rPr>
                  </w:pPr>
                  <w:r>
                    <w:rPr>
                      <w:rFonts w:hint="eastAsia"/>
                      <w:color w:val="auto"/>
                      <w:highlight w:val="none"/>
                      <w:lang w:val="en-US" w:eastAsia="zh-CN"/>
                    </w:rPr>
                    <w:t>/</w:t>
                  </w:r>
                </w:p>
              </w:tc>
            </w:tr>
            <w:tr w14:paraId="1123D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4" w:type="pct"/>
                  <w:noWrap w:val="0"/>
                  <w:vAlign w:val="center"/>
                </w:tcPr>
                <w:p w14:paraId="7325F30D">
                  <w:pPr>
                    <w:pStyle w:val="20"/>
                    <w:bidi w:val="0"/>
                    <w:rPr>
                      <w:rFonts w:hint="eastAsia"/>
                      <w:color w:val="auto"/>
                      <w:highlight w:val="none"/>
                    </w:rPr>
                  </w:pPr>
                  <w:r>
                    <w:rPr>
                      <w:rFonts w:hint="eastAsia"/>
                      <w:color w:val="auto"/>
                      <w:highlight w:val="none"/>
                    </w:rPr>
                    <w:t>甲基丙烯酸甲酯</w:t>
                  </w:r>
                  <w:r>
                    <w:rPr>
                      <w:rFonts w:hint="default"/>
                      <w:color w:val="auto"/>
                      <w:highlight w:val="none"/>
                    </w:rPr>
                    <w:t>③</w:t>
                  </w:r>
                </w:p>
              </w:tc>
              <w:tc>
                <w:tcPr>
                  <w:tcW w:w="1733" w:type="pct"/>
                  <w:noWrap w:val="0"/>
                  <w:vAlign w:val="center"/>
                </w:tcPr>
                <w:p w14:paraId="3C758957">
                  <w:pPr>
                    <w:pStyle w:val="20"/>
                    <w:bidi w:val="0"/>
                    <w:rPr>
                      <w:color w:val="auto"/>
                      <w:highlight w:val="none"/>
                    </w:rPr>
                  </w:pPr>
                  <w:r>
                    <w:rPr>
                      <w:rFonts w:hint="eastAsia"/>
                      <w:color w:val="auto"/>
                      <w:highlight w:val="none"/>
                    </w:rPr>
                    <w:t>50</w:t>
                  </w:r>
                </w:p>
              </w:tc>
              <w:tc>
                <w:tcPr>
                  <w:tcW w:w="1572" w:type="pct"/>
                  <w:noWrap w:val="0"/>
                  <w:vAlign w:val="center"/>
                </w:tcPr>
                <w:p w14:paraId="16D5B5CE">
                  <w:pPr>
                    <w:pStyle w:val="20"/>
                    <w:bidi w:val="0"/>
                    <w:rPr>
                      <w:rFonts w:hint="eastAsia"/>
                      <w:color w:val="auto"/>
                      <w:highlight w:val="none"/>
                      <w:lang w:val="en-US" w:eastAsia="zh-CN"/>
                    </w:rPr>
                  </w:pPr>
                  <w:r>
                    <w:rPr>
                      <w:rFonts w:hint="eastAsia"/>
                      <w:color w:val="auto"/>
                      <w:highlight w:val="none"/>
                      <w:lang w:val="en-US" w:eastAsia="zh-CN"/>
                    </w:rPr>
                    <w:t>/</w:t>
                  </w:r>
                </w:p>
              </w:tc>
            </w:tr>
            <w:tr w14:paraId="2F3E2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5000" w:type="pct"/>
                  <w:gridSpan w:val="3"/>
                  <w:noWrap w:val="0"/>
                  <w:vAlign w:val="center"/>
                </w:tcPr>
                <w:p w14:paraId="03BF1C06">
                  <w:pPr>
                    <w:pStyle w:val="20"/>
                    <w:bidi w:val="0"/>
                    <w:jc w:val="left"/>
                    <w:rPr>
                      <w:rFonts w:hint="eastAsia"/>
                      <w:color w:val="auto"/>
                      <w:highlight w:val="none"/>
                    </w:rPr>
                  </w:pPr>
                  <w:r>
                    <w:rPr>
                      <w:rFonts w:hint="eastAsia"/>
                      <w:color w:val="auto"/>
                      <w:highlight w:val="none"/>
                      <w:lang w:val="en-US" w:eastAsia="zh-CN"/>
                    </w:rPr>
                    <w:t>注</w:t>
                  </w:r>
                  <w:r>
                    <w:rPr>
                      <w:rFonts w:hint="eastAsia"/>
                      <w:color w:val="auto"/>
                      <w:highlight w:val="none"/>
                    </w:rPr>
                    <w:t>①</w:t>
                  </w:r>
                  <w:r>
                    <w:rPr>
                      <w:rFonts w:hint="eastAsia"/>
                      <w:color w:val="auto"/>
                      <w:highlight w:val="none"/>
                      <w:lang w:val="en-US" w:eastAsia="zh-CN"/>
                    </w:rPr>
                    <w:t>：</w:t>
                  </w:r>
                  <w:r>
                    <w:rPr>
                      <w:rFonts w:hint="eastAsia"/>
                      <w:color w:val="auto"/>
                      <w:highlight w:val="none"/>
                    </w:rPr>
                    <w:t>待国家污染物监测方法标准发布后实施。</w:t>
                  </w:r>
                </w:p>
                <w:p w14:paraId="2FDDE548">
                  <w:pPr>
                    <w:pStyle w:val="20"/>
                    <w:bidi w:val="0"/>
                    <w:jc w:val="left"/>
                    <w:rPr>
                      <w:rFonts w:hint="eastAsia"/>
                      <w:color w:val="auto"/>
                      <w:highlight w:val="none"/>
                      <w:lang w:eastAsia="zh-CN"/>
                    </w:rPr>
                  </w:pPr>
                  <w:r>
                    <w:rPr>
                      <w:rFonts w:hint="eastAsia"/>
                      <w:color w:val="auto"/>
                      <w:highlight w:val="none"/>
                      <w:lang w:val="en-US" w:eastAsia="zh-CN"/>
                    </w:rPr>
                    <w:t>注</w:t>
                  </w:r>
                  <w:r>
                    <w:rPr>
                      <w:rFonts w:hint="default"/>
                      <w:color w:val="auto"/>
                      <w:highlight w:val="none"/>
                    </w:rPr>
                    <w:t>②</w:t>
                  </w:r>
                  <w:r>
                    <w:rPr>
                      <w:rFonts w:hint="eastAsia"/>
                      <w:color w:val="auto"/>
                      <w:highlight w:val="none"/>
                      <w:lang w:val="en-US" w:eastAsia="zh-CN"/>
                    </w:rPr>
                    <w:t>：</w:t>
                  </w:r>
                  <w:r>
                    <w:rPr>
                      <w:rFonts w:hint="eastAsia"/>
                      <w:color w:val="auto"/>
                      <w:highlight w:val="none"/>
                    </w:rPr>
                    <w:t>丙烯酸</w:t>
                  </w:r>
                  <w:r>
                    <w:rPr>
                      <w:rFonts w:hint="eastAsia"/>
                      <w:color w:val="auto"/>
                      <w:highlight w:val="none"/>
                      <w:lang w:val="en-US" w:eastAsia="zh-CN"/>
                    </w:rPr>
                    <w:t>已发布</w:t>
                  </w:r>
                  <w:r>
                    <w:rPr>
                      <w:rFonts w:hint="eastAsia"/>
                      <w:color w:val="auto"/>
                      <w:highlight w:val="none"/>
                    </w:rPr>
                    <w:t>污染物监测方法</w:t>
                  </w:r>
                  <w:r>
                    <w:rPr>
                      <w:rFonts w:hint="eastAsia"/>
                      <w:color w:val="auto"/>
                      <w:highlight w:val="none"/>
                      <w:lang w:eastAsia="zh-CN"/>
                    </w:rPr>
                    <w:t>，《</w:t>
                  </w:r>
                  <w:r>
                    <w:rPr>
                      <w:rFonts w:hint="eastAsia"/>
                      <w:color w:val="auto"/>
                      <w:highlight w:val="none"/>
                    </w:rPr>
                    <w:t>固定污染源废气丙烯酸和甲基丙烯酸的测定</w:t>
                  </w:r>
                  <w:r>
                    <w:rPr>
                      <w:rFonts w:hint="eastAsia"/>
                      <w:color w:val="auto"/>
                      <w:highlight w:val="none"/>
                      <w:lang w:val="en-US" w:eastAsia="zh-CN"/>
                    </w:rPr>
                    <w:t xml:space="preserve"> </w:t>
                  </w:r>
                  <w:r>
                    <w:rPr>
                      <w:rFonts w:hint="eastAsia"/>
                      <w:color w:val="auto"/>
                      <w:highlight w:val="none"/>
                    </w:rPr>
                    <w:t>高效液相色谱法</w:t>
                  </w:r>
                  <w:r>
                    <w:rPr>
                      <w:rFonts w:hint="eastAsia"/>
                      <w:color w:val="auto"/>
                      <w:highlight w:val="none"/>
                      <w:lang w:eastAsia="zh-CN"/>
                    </w:rPr>
                    <w:t>》（</w:t>
                  </w:r>
                  <w:r>
                    <w:rPr>
                      <w:rFonts w:hint="eastAsia"/>
                      <w:color w:val="auto"/>
                      <w:highlight w:val="none"/>
                    </w:rPr>
                    <w:t>HJ1316-2023</w:t>
                  </w:r>
                  <w:r>
                    <w:rPr>
                      <w:rFonts w:hint="eastAsia"/>
                      <w:color w:val="auto"/>
                      <w:highlight w:val="none"/>
                      <w:lang w:eastAsia="zh-CN"/>
                    </w:rPr>
                    <w:t>）；</w:t>
                  </w:r>
                </w:p>
                <w:p w14:paraId="0F1485C6">
                  <w:pPr>
                    <w:pStyle w:val="20"/>
                    <w:bidi w:val="0"/>
                    <w:jc w:val="left"/>
                    <w:rPr>
                      <w:rFonts w:hint="eastAsia"/>
                      <w:color w:val="auto"/>
                      <w:highlight w:val="none"/>
                      <w:lang w:eastAsia="zh-CN"/>
                    </w:rPr>
                  </w:pPr>
                  <w:r>
                    <w:rPr>
                      <w:rFonts w:hint="eastAsia"/>
                      <w:color w:val="auto"/>
                      <w:highlight w:val="none"/>
                      <w:lang w:val="en-US" w:eastAsia="zh-CN"/>
                    </w:rPr>
                    <w:t>注</w:t>
                  </w:r>
                  <w:r>
                    <w:rPr>
                      <w:rFonts w:hint="default"/>
                      <w:color w:val="auto"/>
                      <w:highlight w:val="none"/>
                    </w:rPr>
                    <w:t>③</w:t>
                  </w:r>
                  <w:r>
                    <w:rPr>
                      <w:rFonts w:hint="eastAsia"/>
                      <w:color w:val="auto"/>
                      <w:highlight w:val="none"/>
                      <w:lang w:eastAsia="zh-CN"/>
                    </w:rPr>
                    <w:t>：</w:t>
                  </w:r>
                  <w:r>
                    <w:rPr>
                      <w:rFonts w:hint="eastAsia"/>
                      <w:color w:val="auto"/>
                      <w:highlight w:val="none"/>
                      <w:lang w:val="en-US" w:eastAsia="zh-CN"/>
                    </w:rPr>
                    <w:t>已发布</w:t>
                  </w:r>
                  <w:r>
                    <w:rPr>
                      <w:rFonts w:hint="eastAsia"/>
                      <w:color w:val="auto"/>
                      <w:highlight w:val="none"/>
                    </w:rPr>
                    <w:t>污染物监测方法</w:t>
                  </w:r>
                  <w:r>
                    <w:rPr>
                      <w:rFonts w:hint="eastAsia"/>
                      <w:color w:val="auto"/>
                      <w:highlight w:val="none"/>
                      <w:lang w:eastAsia="zh-CN"/>
                    </w:rPr>
                    <w:t>，《环境空气和废气 6种丙烯酸酯类化合物的测定 气相色谱法》（</w:t>
                  </w:r>
                  <w:r>
                    <w:rPr>
                      <w:rFonts w:hint="eastAsia"/>
                      <w:color w:val="auto"/>
                      <w:highlight w:val="none"/>
                    </w:rPr>
                    <w:t>HJ131</w:t>
                  </w:r>
                  <w:r>
                    <w:rPr>
                      <w:rFonts w:hint="eastAsia"/>
                      <w:color w:val="auto"/>
                      <w:highlight w:val="none"/>
                      <w:lang w:val="en-US" w:eastAsia="zh-CN"/>
                    </w:rPr>
                    <w:t>7</w:t>
                  </w:r>
                  <w:r>
                    <w:rPr>
                      <w:rFonts w:hint="eastAsia"/>
                      <w:color w:val="auto"/>
                      <w:highlight w:val="none"/>
                    </w:rPr>
                    <w:t>-2023</w:t>
                  </w:r>
                  <w:r>
                    <w:rPr>
                      <w:rFonts w:hint="eastAsia"/>
                      <w:color w:val="auto"/>
                      <w:highlight w:val="none"/>
                      <w:lang w:eastAsia="zh-CN"/>
                    </w:rPr>
                    <w:t>）；</w:t>
                  </w:r>
                </w:p>
                <w:p w14:paraId="2FE3424C">
                  <w:pPr>
                    <w:pStyle w:val="20"/>
                    <w:bidi w:val="0"/>
                    <w:jc w:val="left"/>
                    <w:rPr>
                      <w:rFonts w:hint="default"/>
                      <w:color w:val="auto"/>
                      <w:highlight w:val="none"/>
                      <w:lang w:val="en-US" w:eastAsia="zh-CN"/>
                    </w:rPr>
                  </w:pPr>
                  <w:r>
                    <w:rPr>
                      <w:rFonts w:hint="eastAsia"/>
                      <w:color w:val="auto"/>
                      <w:highlight w:val="none"/>
                      <w:lang w:val="en-US" w:eastAsia="zh-CN"/>
                    </w:rPr>
                    <w:t>注：根据《〈合成树脂工业污染物排放标准〉（GB 31572-2015）修改单编制说明》：“单位产品非甲烷总烃排放量是针对单体聚合过程中废气污染物产生特点而制定的。”本项目为塑料制品生产，无需执行单位产品非甲烷总烃排放量限值要求。</w:t>
                  </w:r>
                </w:p>
              </w:tc>
            </w:tr>
          </w:tbl>
          <w:p w14:paraId="0CBF4294">
            <w:pPr>
              <w:pStyle w:val="19"/>
              <w:bidi w:val="0"/>
              <w:rPr>
                <w:rFonts w:hint="eastAsia"/>
                <w:color w:val="auto"/>
                <w:highlight w:val="none"/>
              </w:rPr>
            </w:pPr>
            <w:r>
              <w:rPr>
                <w:color w:val="auto"/>
                <w:highlight w:val="none"/>
              </w:rPr>
              <w:t>表3-</w:t>
            </w:r>
            <w:r>
              <w:rPr>
                <w:color w:val="auto"/>
                <w:highlight w:val="none"/>
              </w:rPr>
              <w:fldChar w:fldCharType="begin"/>
            </w:r>
            <w:r>
              <w:rPr>
                <w:color w:val="auto"/>
                <w:highlight w:val="none"/>
              </w:rPr>
              <w:instrText xml:space="preserve"> SEQ 表3- \* ARABIC </w:instrText>
            </w:r>
            <w:r>
              <w:rPr>
                <w:color w:val="auto"/>
                <w:highlight w:val="none"/>
              </w:rPr>
              <w:fldChar w:fldCharType="separate"/>
            </w:r>
            <w:r>
              <w:rPr>
                <w:color w:val="auto"/>
                <w:highlight w:val="none"/>
              </w:rPr>
              <w:t>6</w:t>
            </w:r>
            <w:r>
              <w:rPr>
                <w:color w:val="auto"/>
                <w:highlight w:val="none"/>
              </w:rPr>
              <w:fldChar w:fldCharType="end"/>
            </w:r>
            <w:r>
              <w:rPr>
                <w:rFonts w:hint="eastAsia"/>
                <w:color w:val="auto"/>
                <w:highlight w:val="none"/>
              </w:rPr>
              <w:t xml:space="preserve">  《恶臭污染物排放标准》（GB14554-93）</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7"/>
              <w:gridCol w:w="1893"/>
              <w:gridCol w:w="2365"/>
              <w:gridCol w:w="2365"/>
            </w:tblGrid>
            <w:tr w14:paraId="519CB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24" w:type="pct"/>
                  <w:tcBorders>
                    <w:tl2br w:val="nil"/>
                    <w:tr2bl w:val="nil"/>
                  </w:tcBorders>
                  <w:tcMar>
                    <w:top w:w="0" w:type="dxa"/>
                    <w:left w:w="57" w:type="dxa"/>
                    <w:bottom w:w="0" w:type="dxa"/>
                    <w:right w:w="57" w:type="dxa"/>
                  </w:tcMar>
                  <w:vAlign w:val="center"/>
                </w:tcPr>
                <w:p w14:paraId="178F2CE1">
                  <w:pPr>
                    <w:pStyle w:val="20"/>
                    <w:spacing w:before="31"/>
                    <w:rPr>
                      <w:b/>
                      <w:bCs/>
                      <w:color w:val="auto"/>
                      <w:highlight w:val="none"/>
                    </w:rPr>
                  </w:pPr>
                  <w:r>
                    <w:rPr>
                      <w:rFonts w:hint="eastAsia"/>
                      <w:b/>
                      <w:bCs/>
                      <w:color w:val="auto"/>
                      <w:highlight w:val="none"/>
                    </w:rPr>
                    <w:t>污染物</w:t>
                  </w:r>
                </w:p>
              </w:tc>
              <w:tc>
                <w:tcPr>
                  <w:tcW w:w="1136" w:type="pct"/>
                  <w:tcBorders>
                    <w:tl2br w:val="nil"/>
                    <w:tr2bl w:val="nil"/>
                  </w:tcBorders>
                  <w:tcMar>
                    <w:top w:w="0" w:type="dxa"/>
                    <w:left w:w="57" w:type="dxa"/>
                    <w:bottom w:w="0" w:type="dxa"/>
                    <w:right w:w="57" w:type="dxa"/>
                  </w:tcMar>
                  <w:vAlign w:val="center"/>
                </w:tcPr>
                <w:p w14:paraId="6DB49605">
                  <w:pPr>
                    <w:pStyle w:val="20"/>
                    <w:spacing w:before="31"/>
                    <w:rPr>
                      <w:rFonts w:hint="default" w:eastAsia="宋体"/>
                      <w:b/>
                      <w:bCs/>
                      <w:color w:val="auto"/>
                      <w:highlight w:val="none"/>
                      <w:lang w:val="en-US" w:eastAsia="zh-CN"/>
                    </w:rPr>
                  </w:pPr>
                  <w:r>
                    <w:rPr>
                      <w:rFonts w:hint="eastAsia"/>
                      <w:b/>
                      <w:bCs/>
                      <w:color w:val="auto"/>
                      <w:highlight w:val="none"/>
                      <w:lang w:val="en-US" w:eastAsia="zh-CN"/>
                    </w:rPr>
                    <w:t>排气筒高度（m）</w:t>
                  </w:r>
                </w:p>
              </w:tc>
              <w:tc>
                <w:tcPr>
                  <w:tcW w:w="1419" w:type="pct"/>
                  <w:tcBorders>
                    <w:tl2br w:val="nil"/>
                    <w:tr2bl w:val="nil"/>
                  </w:tcBorders>
                  <w:tcMar>
                    <w:top w:w="0" w:type="dxa"/>
                    <w:left w:w="57" w:type="dxa"/>
                    <w:bottom w:w="0" w:type="dxa"/>
                    <w:right w:w="57" w:type="dxa"/>
                  </w:tcMar>
                  <w:vAlign w:val="center"/>
                </w:tcPr>
                <w:p w14:paraId="42275BB7">
                  <w:pPr>
                    <w:pStyle w:val="20"/>
                    <w:spacing w:before="31"/>
                    <w:rPr>
                      <w:b/>
                      <w:bCs/>
                      <w:color w:val="auto"/>
                      <w:highlight w:val="none"/>
                    </w:rPr>
                  </w:pPr>
                  <w:r>
                    <w:rPr>
                      <w:rFonts w:hint="eastAsia"/>
                      <w:b/>
                      <w:bCs/>
                      <w:color w:val="auto"/>
                      <w:highlight w:val="none"/>
                    </w:rPr>
                    <w:t>排放标准值</w:t>
                  </w:r>
                  <w:r>
                    <w:rPr>
                      <w:rFonts w:hint="eastAsia"/>
                      <w:b/>
                      <w:bCs/>
                      <w:color w:val="auto"/>
                      <w:highlight w:val="none"/>
                      <w:lang w:val="en-US" w:eastAsia="zh-CN"/>
                    </w:rPr>
                    <w:t>（无量纲）</w:t>
                  </w:r>
                </w:p>
              </w:tc>
              <w:tc>
                <w:tcPr>
                  <w:tcW w:w="1419" w:type="pct"/>
                  <w:tcBorders>
                    <w:tl2br w:val="nil"/>
                    <w:tr2bl w:val="nil"/>
                  </w:tcBorders>
                  <w:tcMar>
                    <w:top w:w="0" w:type="dxa"/>
                    <w:left w:w="57" w:type="dxa"/>
                    <w:bottom w:w="0" w:type="dxa"/>
                    <w:right w:w="57" w:type="dxa"/>
                  </w:tcMar>
                  <w:vAlign w:val="center"/>
                </w:tcPr>
                <w:p w14:paraId="42F5A1E1">
                  <w:pPr>
                    <w:pStyle w:val="20"/>
                    <w:spacing w:before="31"/>
                    <w:rPr>
                      <w:rFonts w:hint="eastAsia" w:eastAsia="宋体"/>
                      <w:b/>
                      <w:bCs/>
                      <w:color w:val="auto"/>
                      <w:highlight w:val="none"/>
                      <w:lang w:val="en-US" w:eastAsia="zh-CN"/>
                    </w:rPr>
                  </w:pPr>
                  <w:r>
                    <w:rPr>
                      <w:rFonts w:hint="eastAsia"/>
                      <w:b/>
                      <w:bCs/>
                      <w:color w:val="auto"/>
                      <w:highlight w:val="none"/>
                      <w:lang w:val="en-US" w:eastAsia="zh-CN"/>
                    </w:rPr>
                    <w:t>厂界无组织（无量纲）</w:t>
                  </w:r>
                </w:p>
              </w:tc>
            </w:tr>
            <w:tr w14:paraId="1AEBB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4" w:type="pct"/>
                  <w:tcBorders>
                    <w:tl2br w:val="nil"/>
                    <w:tr2bl w:val="nil"/>
                  </w:tcBorders>
                  <w:tcMar>
                    <w:top w:w="0" w:type="dxa"/>
                    <w:left w:w="57" w:type="dxa"/>
                    <w:bottom w:w="0" w:type="dxa"/>
                    <w:right w:w="57" w:type="dxa"/>
                  </w:tcMar>
                  <w:vAlign w:val="center"/>
                </w:tcPr>
                <w:p w14:paraId="1E84AD2E">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臭气浓度</w:t>
                  </w:r>
                </w:p>
              </w:tc>
              <w:tc>
                <w:tcPr>
                  <w:tcW w:w="1136" w:type="pct"/>
                  <w:tcBorders>
                    <w:tl2br w:val="nil"/>
                    <w:tr2bl w:val="nil"/>
                  </w:tcBorders>
                  <w:tcMar>
                    <w:top w:w="0" w:type="dxa"/>
                    <w:left w:w="57" w:type="dxa"/>
                    <w:bottom w:w="0" w:type="dxa"/>
                    <w:right w:w="57" w:type="dxa"/>
                  </w:tcMar>
                  <w:vAlign w:val="center"/>
                </w:tcPr>
                <w:p w14:paraId="503F5768">
                  <w:pPr>
                    <w:pStyle w:val="20"/>
                    <w:spacing w:before="31"/>
                    <w:rPr>
                      <w:rFonts w:hint="default"/>
                      <w:color w:val="auto"/>
                      <w:highlight w:val="none"/>
                      <w:lang w:val="en-US" w:eastAsia="zh-CN"/>
                    </w:rPr>
                  </w:pPr>
                  <w:r>
                    <w:rPr>
                      <w:rFonts w:hint="eastAsia"/>
                      <w:color w:val="auto"/>
                      <w:highlight w:val="none"/>
                      <w:lang w:val="en-US" w:eastAsia="zh-CN"/>
                    </w:rPr>
                    <w:t>15</w:t>
                  </w:r>
                </w:p>
              </w:tc>
              <w:tc>
                <w:tcPr>
                  <w:tcW w:w="1419" w:type="pct"/>
                  <w:tcBorders>
                    <w:tl2br w:val="nil"/>
                    <w:tr2bl w:val="nil"/>
                  </w:tcBorders>
                  <w:tcMar>
                    <w:top w:w="0" w:type="dxa"/>
                    <w:left w:w="57" w:type="dxa"/>
                    <w:bottom w:w="0" w:type="dxa"/>
                    <w:right w:w="57" w:type="dxa"/>
                  </w:tcMar>
                  <w:vAlign w:val="center"/>
                </w:tcPr>
                <w:p w14:paraId="3D0F736C">
                  <w:pPr>
                    <w:pStyle w:val="20"/>
                    <w:spacing w:before="31"/>
                    <w:rPr>
                      <w:rFonts w:hint="default" w:eastAsia="宋体"/>
                      <w:color w:val="auto"/>
                      <w:highlight w:val="none"/>
                      <w:lang w:val="en-US" w:eastAsia="zh-CN"/>
                    </w:rPr>
                  </w:pPr>
                  <w:r>
                    <w:rPr>
                      <w:rFonts w:hint="eastAsia" w:eastAsia="宋体"/>
                      <w:color w:val="auto"/>
                      <w:highlight w:val="none"/>
                      <w:lang w:val="en-US" w:eastAsia="zh-CN"/>
                    </w:rPr>
                    <w:t>2000</w:t>
                  </w:r>
                </w:p>
              </w:tc>
              <w:tc>
                <w:tcPr>
                  <w:tcW w:w="1419" w:type="pct"/>
                  <w:tcBorders>
                    <w:tl2br w:val="nil"/>
                    <w:tr2bl w:val="nil"/>
                  </w:tcBorders>
                  <w:tcMar>
                    <w:top w:w="0" w:type="dxa"/>
                    <w:left w:w="57" w:type="dxa"/>
                    <w:bottom w:w="0" w:type="dxa"/>
                    <w:right w:w="57" w:type="dxa"/>
                  </w:tcMar>
                  <w:vAlign w:val="center"/>
                </w:tcPr>
                <w:p w14:paraId="549679D5">
                  <w:pPr>
                    <w:pStyle w:val="20"/>
                    <w:spacing w:before="31"/>
                    <w:rPr>
                      <w:rFonts w:hint="default" w:eastAsia="宋体"/>
                      <w:color w:val="auto"/>
                      <w:highlight w:val="none"/>
                      <w:lang w:val="en-US" w:eastAsia="zh-CN"/>
                    </w:rPr>
                  </w:pPr>
                  <w:r>
                    <w:rPr>
                      <w:rFonts w:hint="eastAsia"/>
                      <w:color w:val="auto"/>
                      <w:highlight w:val="none"/>
                      <w:lang w:val="en-US" w:eastAsia="zh-CN"/>
                    </w:rPr>
                    <w:t>20</w:t>
                  </w:r>
                </w:p>
              </w:tc>
            </w:tr>
          </w:tbl>
          <w:p w14:paraId="274F98B7">
            <w:pPr>
              <w:pStyle w:val="19"/>
              <w:spacing w:before="156"/>
              <w:rPr>
                <w:color w:val="auto"/>
                <w:highlight w:val="none"/>
              </w:rPr>
            </w:pPr>
            <w:bookmarkStart w:id="28" w:name="_Ref2387"/>
            <w:r>
              <w:rPr>
                <w:color w:val="auto"/>
                <w:highlight w:val="none"/>
              </w:rPr>
              <w:t>表3-</w:t>
            </w:r>
            <w:r>
              <w:rPr>
                <w:color w:val="auto"/>
                <w:highlight w:val="none"/>
              </w:rPr>
              <w:fldChar w:fldCharType="begin"/>
            </w:r>
            <w:r>
              <w:rPr>
                <w:color w:val="auto"/>
                <w:highlight w:val="none"/>
              </w:rPr>
              <w:instrText xml:space="preserve"> SEQ 表3- \* ARABIC </w:instrText>
            </w:r>
            <w:r>
              <w:rPr>
                <w:color w:val="auto"/>
                <w:highlight w:val="none"/>
              </w:rPr>
              <w:fldChar w:fldCharType="separate"/>
            </w:r>
            <w:r>
              <w:rPr>
                <w:color w:val="auto"/>
                <w:highlight w:val="none"/>
              </w:rPr>
              <w:t>7</w:t>
            </w:r>
            <w:r>
              <w:rPr>
                <w:color w:val="auto"/>
                <w:highlight w:val="none"/>
              </w:rPr>
              <w:fldChar w:fldCharType="end"/>
            </w:r>
            <w:bookmarkEnd w:id="28"/>
            <w:r>
              <w:rPr>
                <w:rFonts w:hint="eastAsia"/>
                <w:color w:val="auto"/>
                <w:highlight w:val="none"/>
              </w:rPr>
              <w:t xml:space="preserve">  《挥发性有机物无组织排放控制标准》（GB37822-2019）</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5"/>
              <w:gridCol w:w="2172"/>
              <w:gridCol w:w="2628"/>
              <w:gridCol w:w="2135"/>
            </w:tblGrid>
            <w:tr w14:paraId="1FD20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pct"/>
                  <w:vAlign w:val="center"/>
                </w:tcPr>
                <w:p w14:paraId="62AFF193">
                  <w:pPr>
                    <w:pStyle w:val="20"/>
                    <w:spacing w:before="31"/>
                    <w:rPr>
                      <w:color w:val="auto"/>
                      <w:highlight w:val="none"/>
                    </w:rPr>
                  </w:pPr>
                  <w:r>
                    <w:rPr>
                      <w:color w:val="auto"/>
                      <w:highlight w:val="none"/>
                    </w:rPr>
                    <w:t>污染项目</w:t>
                  </w:r>
                </w:p>
              </w:tc>
              <w:tc>
                <w:tcPr>
                  <w:tcW w:w="1303" w:type="pct"/>
                  <w:vAlign w:val="center"/>
                </w:tcPr>
                <w:p w14:paraId="30D616E0">
                  <w:pPr>
                    <w:pStyle w:val="20"/>
                    <w:spacing w:before="31"/>
                    <w:rPr>
                      <w:color w:val="auto"/>
                      <w:highlight w:val="none"/>
                    </w:rPr>
                  </w:pPr>
                  <w:r>
                    <w:rPr>
                      <w:color w:val="auto"/>
                      <w:highlight w:val="none"/>
                    </w:rPr>
                    <w:t>特别排放限</w:t>
                  </w:r>
                  <w:r>
                    <w:rPr>
                      <w:rFonts w:hint="eastAsia"/>
                      <w:color w:val="auto"/>
                      <w:highlight w:val="none"/>
                    </w:rPr>
                    <w:t>值</w:t>
                  </w:r>
                  <w:r>
                    <w:rPr>
                      <w:color w:val="auto"/>
                      <w:highlight w:val="none"/>
                    </w:rPr>
                    <w:t>mg/m</w:t>
                  </w:r>
                  <w:r>
                    <w:rPr>
                      <w:color w:val="auto"/>
                      <w:highlight w:val="none"/>
                      <w:vertAlign w:val="superscript"/>
                    </w:rPr>
                    <w:t>3</w:t>
                  </w:r>
                </w:p>
              </w:tc>
              <w:tc>
                <w:tcPr>
                  <w:tcW w:w="1577" w:type="pct"/>
                  <w:vAlign w:val="center"/>
                </w:tcPr>
                <w:p w14:paraId="5C722429">
                  <w:pPr>
                    <w:pStyle w:val="20"/>
                    <w:spacing w:before="31"/>
                    <w:rPr>
                      <w:color w:val="auto"/>
                      <w:highlight w:val="none"/>
                    </w:rPr>
                  </w:pPr>
                  <w:r>
                    <w:rPr>
                      <w:color w:val="auto"/>
                      <w:highlight w:val="none"/>
                    </w:rPr>
                    <w:t>限值含义</w:t>
                  </w:r>
                </w:p>
              </w:tc>
              <w:tc>
                <w:tcPr>
                  <w:tcW w:w="1281" w:type="pct"/>
                  <w:vAlign w:val="center"/>
                </w:tcPr>
                <w:p w14:paraId="7D5A727B">
                  <w:pPr>
                    <w:pStyle w:val="20"/>
                    <w:spacing w:before="31"/>
                    <w:rPr>
                      <w:color w:val="auto"/>
                      <w:highlight w:val="none"/>
                    </w:rPr>
                  </w:pPr>
                  <w:r>
                    <w:rPr>
                      <w:color w:val="auto"/>
                      <w:highlight w:val="none"/>
                    </w:rPr>
                    <w:t>无组织排放监控位置</w:t>
                  </w:r>
                </w:p>
              </w:tc>
            </w:tr>
            <w:tr w14:paraId="546B6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7" w:type="pct"/>
                  <w:vMerge w:val="restart"/>
                  <w:vAlign w:val="center"/>
                </w:tcPr>
                <w:p w14:paraId="5F4D8E22">
                  <w:pPr>
                    <w:pStyle w:val="20"/>
                    <w:spacing w:before="31"/>
                    <w:rPr>
                      <w:color w:val="auto"/>
                      <w:highlight w:val="none"/>
                    </w:rPr>
                  </w:pPr>
                  <w:r>
                    <w:rPr>
                      <w:color w:val="auto"/>
                      <w:highlight w:val="none"/>
                    </w:rPr>
                    <w:t>非甲烷总烃</w:t>
                  </w:r>
                </w:p>
              </w:tc>
              <w:tc>
                <w:tcPr>
                  <w:tcW w:w="1303" w:type="pct"/>
                  <w:vAlign w:val="center"/>
                </w:tcPr>
                <w:p w14:paraId="394FC475">
                  <w:pPr>
                    <w:pStyle w:val="20"/>
                    <w:spacing w:before="31"/>
                    <w:rPr>
                      <w:color w:val="auto"/>
                      <w:highlight w:val="none"/>
                    </w:rPr>
                  </w:pPr>
                  <w:r>
                    <w:rPr>
                      <w:color w:val="auto"/>
                      <w:highlight w:val="none"/>
                    </w:rPr>
                    <w:t>6</w:t>
                  </w:r>
                </w:p>
              </w:tc>
              <w:tc>
                <w:tcPr>
                  <w:tcW w:w="1577" w:type="pct"/>
                  <w:vAlign w:val="center"/>
                </w:tcPr>
                <w:p w14:paraId="3A850BB6">
                  <w:pPr>
                    <w:pStyle w:val="20"/>
                    <w:spacing w:before="31"/>
                    <w:rPr>
                      <w:color w:val="auto"/>
                      <w:highlight w:val="none"/>
                    </w:rPr>
                  </w:pPr>
                  <w:r>
                    <w:rPr>
                      <w:color w:val="auto"/>
                      <w:highlight w:val="none"/>
                    </w:rPr>
                    <w:t>监控点处1h平均浓度值</w:t>
                  </w:r>
                </w:p>
              </w:tc>
              <w:tc>
                <w:tcPr>
                  <w:tcW w:w="1281" w:type="pct"/>
                  <w:vMerge w:val="restart"/>
                  <w:vAlign w:val="center"/>
                </w:tcPr>
                <w:p w14:paraId="3719D0F0">
                  <w:pPr>
                    <w:pStyle w:val="20"/>
                    <w:spacing w:before="31"/>
                    <w:rPr>
                      <w:color w:val="auto"/>
                      <w:highlight w:val="none"/>
                    </w:rPr>
                  </w:pPr>
                  <w:r>
                    <w:rPr>
                      <w:color w:val="auto"/>
                      <w:highlight w:val="none"/>
                    </w:rPr>
                    <w:t>在厂房外设置监控点</w:t>
                  </w:r>
                </w:p>
              </w:tc>
            </w:tr>
            <w:tr w14:paraId="506A3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7" w:type="pct"/>
                  <w:vMerge w:val="continue"/>
                  <w:vAlign w:val="center"/>
                </w:tcPr>
                <w:p w14:paraId="7A0111E8">
                  <w:pPr>
                    <w:pStyle w:val="20"/>
                    <w:spacing w:before="31"/>
                    <w:rPr>
                      <w:color w:val="auto"/>
                      <w:highlight w:val="none"/>
                    </w:rPr>
                  </w:pPr>
                </w:p>
              </w:tc>
              <w:tc>
                <w:tcPr>
                  <w:tcW w:w="1303" w:type="pct"/>
                  <w:vAlign w:val="center"/>
                </w:tcPr>
                <w:p w14:paraId="0BD98086">
                  <w:pPr>
                    <w:pStyle w:val="20"/>
                    <w:spacing w:before="31"/>
                    <w:rPr>
                      <w:color w:val="auto"/>
                      <w:highlight w:val="none"/>
                    </w:rPr>
                  </w:pPr>
                  <w:r>
                    <w:rPr>
                      <w:color w:val="auto"/>
                      <w:highlight w:val="none"/>
                    </w:rPr>
                    <w:t>20</w:t>
                  </w:r>
                </w:p>
              </w:tc>
              <w:tc>
                <w:tcPr>
                  <w:tcW w:w="1577" w:type="pct"/>
                  <w:vAlign w:val="center"/>
                </w:tcPr>
                <w:p w14:paraId="4BDE7A37">
                  <w:pPr>
                    <w:pStyle w:val="20"/>
                    <w:spacing w:before="31"/>
                    <w:rPr>
                      <w:color w:val="auto"/>
                      <w:highlight w:val="none"/>
                    </w:rPr>
                  </w:pPr>
                  <w:r>
                    <w:rPr>
                      <w:color w:val="auto"/>
                      <w:highlight w:val="none"/>
                    </w:rPr>
                    <w:t>监控点处任意一次浓度值</w:t>
                  </w:r>
                </w:p>
              </w:tc>
              <w:tc>
                <w:tcPr>
                  <w:tcW w:w="1281" w:type="pct"/>
                  <w:vMerge w:val="continue"/>
                  <w:vAlign w:val="center"/>
                </w:tcPr>
                <w:p w14:paraId="036C6408">
                  <w:pPr>
                    <w:pStyle w:val="20"/>
                    <w:spacing w:before="31"/>
                    <w:rPr>
                      <w:color w:val="auto"/>
                      <w:highlight w:val="none"/>
                    </w:rPr>
                  </w:pPr>
                </w:p>
              </w:tc>
            </w:tr>
          </w:tbl>
          <w:p w14:paraId="71A57737">
            <w:pPr>
              <w:pStyle w:val="2"/>
              <w:numPr>
                <w:ilvl w:val="0"/>
                <w:numId w:val="8"/>
              </w:numPr>
              <w:spacing w:before="156"/>
              <w:rPr>
                <w:color w:val="auto"/>
                <w:highlight w:val="none"/>
              </w:rPr>
            </w:pPr>
            <w:r>
              <w:rPr>
                <w:rFonts w:hint="eastAsia"/>
                <w:color w:val="auto"/>
                <w:highlight w:val="none"/>
              </w:rPr>
              <w:t>水污染物排放标准</w:t>
            </w:r>
          </w:p>
          <w:p w14:paraId="122242F5">
            <w:pPr>
              <w:pStyle w:val="18"/>
              <w:bidi w:val="0"/>
              <w:rPr>
                <w:rFonts w:hint="eastAsia"/>
                <w:bCs/>
                <w:color w:val="auto"/>
                <w:sz w:val="24"/>
                <w:highlight w:val="none"/>
                <w:lang w:eastAsia="zh-CN"/>
              </w:rPr>
            </w:pPr>
            <w:r>
              <w:rPr>
                <w:rFonts w:hint="eastAsia"/>
                <w:color w:val="auto"/>
                <w:highlight w:val="none"/>
                <w:lang w:val="en-US" w:eastAsia="zh-CN"/>
              </w:rPr>
              <w:t>项目为塑料制品生产企业，循环冷却水为管道内间接冷却，不与塑料工件直接接触，外排废水包括循环冷却池排水，地面清洁废水，生活废水，为常规污染物，废水进入</w:t>
            </w:r>
            <w:r>
              <w:rPr>
                <w:rFonts w:hint="eastAsia"/>
                <w:color w:val="auto"/>
                <w:highlight w:val="none"/>
              </w:rPr>
              <w:t>西彭工业园区污水处理厂</w:t>
            </w:r>
            <w:r>
              <w:rPr>
                <w:rFonts w:hint="eastAsia"/>
                <w:color w:val="auto"/>
                <w:highlight w:val="none"/>
                <w:lang w:eastAsia="zh-CN"/>
              </w:rPr>
              <w:t>。</w:t>
            </w:r>
            <w:r>
              <w:rPr>
                <w:rFonts w:hint="eastAsia"/>
                <w:color w:val="auto"/>
                <w:highlight w:val="none"/>
                <w:lang w:val="en-US" w:eastAsia="zh-CN"/>
              </w:rPr>
              <w:t>根据</w:t>
            </w:r>
            <w:r>
              <w:rPr>
                <w:bCs/>
                <w:color w:val="auto"/>
                <w:sz w:val="24"/>
                <w:highlight w:val="none"/>
              </w:rPr>
              <w:t>《合成树脂工业污染物排放标准》（GB 31572-2015</w:t>
            </w:r>
            <w:r>
              <w:rPr>
                <w:rFonts w:hint="eastAsia"/>
                <w:bCs/>
                <w:color w:val="auto"/>
                <w:sz w:val="24"/>
                <w:highlight w:val="none"/>
              </w:rPr>
              <w:t>，含2024年修改单</w:t>
            </w:r>
            <w:r>
              <w:rPr>
                <w:bCs/>
                <w:color w:val="auto"/>
                <w:sz w:val="24"/>
                <w:highlight w:val="none"/>
              </w:rPr>
              <w:t>）</w:t>
            </w:r>
            <w:r>
              <w:rPr>
                <w:rFonts w:hint="eastAsia"/>
                <w:bCs/>
                <w:color w:val="auto"/>
                <w:sz w:val="24"/>
                <w:highlight w:val="none"/>
                <w:lang w:eastAsia="zh-CN"/>
              </w:rPr>
              <w:t>，“</w:t>
            </w:r>
            <w:r>
              <w:rPr>
                <w:rFonts w:hint="eastAsia"/>
                <w:bCs/>
                <w:color w:val="auto"/>
                <w:sz w:val="24"/>
                <w:highlight w:val="none"/>
                <w:lang w:val="en-US" w:eastAsia="zh-CN"/>
              </w:rPr>
              <w:t>废水进入园区</w:t>
            </w:r>
            <w:r>
              <w:rPr>
                <w:rFonts w:hint="eastAsia"/>
                <w:bCs/>
                <w:color w:val="auto"/>
                <w:sz w:val="24"/>
                <w:highlight w:val="none"/>
                <w:lang w:eastAsia="zh-CN"/>
              </w:rPr>
              <w:t>污水处理厂执行间接排放限值，未规定限值的污染物项目由企业与园区污水处理厂根据其污水处理能力商定相关标准”。</w:t>
            </w:r>
          </w:p>
          <w:p w14:paraId="31E3DD6E">
            <w:pPr>
              <w:pStyle w:val="18"/>
              <w:bidi w:val="0"/>
              <w:rPr>
                <w:rFonts w:hint="eastAsia"/>
                <w:color w:val="auto"/>
                <w:highlight w:val="none"/>
              </w:rPr>
            </w:pPr>
            <w:r>
              <w:rPr>
                <w:rFonts w:hint="eastAsia"/>
                <w:color w:val="auto"/>
                <w:highlight w:val="none"/>
              </w:rPr>
              <w:t>西彭工业园区污水处理厂</w:t>
            </w:r>
            <w:r>
              <w:rPr>
                <w:rFonts w:hint="eastAsia"/>
                <w:color w:val="auto"/>
                <w:highlight w:val="none"/>
                <w:lang w:val="en-US" w:eastAsia="zh-CN"/>
              </w:rPr>
              <w:t>进入水质执行</w:t>
            </w:r>
            <w:r>
              <w:rPr>
                <w:rFonts w:hint="eastAsia"/>
                <w:color w:val="auto"/>
                <w:highlight w:val="none"/>
              </w:rPr>
              <w:t>《污水综合排放标准》（GB8978-1996）三级标准</w:t>
            </w:r>
            <w:r>
              <w:rPr>
                <w:rFonts w:hint="eastAsia"/>
                <w:color w:val="auto"/>
                <w:highlight w:val="none"/>
                <w:lang w:eastAsia="zh-CN"/>
              </w:rPr>
              <w:t>，</w:t>
            </w:r>
            <w:r>
              <w:rPr>
                <w:rFonts w:hint="eastAsia"/>
                <w:color w:val="auto"/>
                <w:highlight w:val="none"/>
                <w:lang w:val="en-US" w:eastAsia="zh-CN"/>
              </w:rPr>
              <w:t>项目生活污水、地面清洁废水经生化</w:t>
            </w:r>
            <w:r>
              <w:rPr>
                <w:rFonts w:hint="eastAsia"/>
                <w:color w:val="auto"/>
                <w:highlight w:val="none"/>
              </w:rPr>
              <w:t>池处理</w:t>
            </w:r>
            <w:r>
              <w:rPr>
                <w:rFonts w:hint="eastAsia"/>
                <w:color w:val="auto"/>
                <w:highlight w:val="none"/>
                <w:lang w:val="en-US" w:eastAsia="zh-CN"/>
              </w:rPr>
              <w:t>达</w:t>
            </w:r>
            <w:r>
              <w:rPr>
                <w:rFonts w:hint="eastAsia"/>
                <w:color w:val="auto"/>
                <w:highlight w:val="none"/>
              </w:rPr>
              <w:t>《污水综合排放标准》（GB8978-1996）三级标准后</w:t>
            </w:r>
            <w:r>
              <w:rPr>
                <w:rFonts w:hint="eastAsia"/>
                <w:color w:val="auto"/>
                <w:highlight w:val="none"/>
                <w:lang w:val="en-US" w:eastAsia="zh-CN"/>
              </w:rPr>
              <w:t>同循环冷却水经厂区废水排放口进入市政污水管网，</w:t>
            </w:r>
            <w:r>
              <w:rPr>
                <w:rFonts w:hint="eastAsia"/>
                <w:color w:val="auto"/>
                <w:highlight w:val="none"/>
              </w:rPr>
              <w:t>经管网进入西彭工业园区污水处理厂达《污水综合排放标准》（GB8978-1996）一级标准后排入桥头河，最终汇入</w:t>
            </w:r>
            <w:r>
              <w:rPr>
                <w:color w:val="auto"/>
                <w:highlight w:val="none"/>
              </w:rPr>
              <w:t>长江</w:t>
            </w:r>
            <w:r>
              <w:rPr>
                <w:rFonts w:hint="eastAsia"/>
                <w:color w:val="auto"/>
                <w:highlight w:val="none"/>
              </w:rPr>
              <w:t>。（注：西彭工业园区污水处理厂提标改造完成后，出水执行《城镇污水处理厂污染物排放标准》（GB18918-2002）一级A标准，其中COD、NH</w:t>
            </w:r>
            <w:r>
              <w:rPr>
                <w:rFonts w:hint="eastAsia"/>
                <w:color w:val="auto"/>
                <w:highlight w:val="none"/>
                <w:vertAlign w:val="subscript"/>
              </w:rPr>
              <w:t>3</w:t>
            </w:r>
            <w:r>
              <w:rPr>
                <w:rFonts w:hint="eastAsia"/>
                <w:color w:val="auto"/>
                <w:highlight w:val="none"/>
              </w:rPr>
              <w:t>-N、TP达《地表水环境质量标准》（GB3838-2002）</w:t>
            </w:r>
            <w:r>
              <w:rPr>
                <w:rFonts w:hint="eastAsia"/>
                <w:color w:val="auto"/>
                <w:highlight w:val="none"/>
                <w:lang w:eastAsia="zh-CN"/>
              </w:rPr>
              <w:t>Ⅳ类</w:t>
            </w:r>
            <w:r>
              <w:rPr>
                <w:rFonts w:hint="eastAsia"/>
                <w:color w:val="auto"/>
                <w:highlight w:val="none"/>
              </w:rPr>
              <w:t>标准）。具体排放限值见</w:t>
            </w:r>
            <w:r>
              <w:rPr>
                <w:rFonts w:hint="eastAsia"/>
                <w:color w:val="auto"/>
                <w:highlight w:val="none"/>
              </w:rPr>
              <w:fldChar w:fldCharType="begin"/>
            </w:r>
            <w:r>
              <w:rPr>
                <w:rFonts w:hint="eastAsia"/>
                <w:color w:val="auto"/>
                <w:highlight w:val="none"/>
              </w:rPr>
              <w:instrText xml:space="preserve"> REF _Ref20248 \h </w:instrText>
            </w:r>
            <w:r>
              <w:rPr>
                <w:rFonts w:hint="eastAsia"/>
                <w:color w:val="auto"/>
                <w:highlight w:val="none"/>
              </w:rPr>
              <w:fldChar w:fldCharType="separate"/>
            </w:r>
            <w:r>
              <w:rPr>
                <w:color w:val="auto"/>
                <w:highlight w:val="none"/>
              </w:rPr>
              <w:t>表3-8</w:t>
            </w:r>
            <w:r>
              <w:rPr>
                <w:rFonts w:hint="eastAsia"/>
                <w:color w:val="auto"/>
                <w:highlight w:val="none"/>
              </w:rPr>
              <w:fldChar w:fldCharType="end"/>
            </w:r>
            <w:r>
              <w:rPr>
                <w:rFonts w:hint="eastAsia"/>
                <w:color w:val="auto"/>
                <w:highlight w:val="none"/>
              </w:rPr>
              <w:t>。</w:t>
            </w:r>
          </w:p>
          <w:p w14:paraId="444D751F">
            <w:pPr>
              <w:pStyle w:val="19"/>
              <w:spacing w:before="156"/>
              <w:rPr>
                <w:rFonts w:hint="eastAsia"/>
                <w:color w:val="auto"/>
                <w:highlight w:val="none"/>
              </w:rPr>
            </w:pPr>
            <w:bookmarkStart w:id="29" w:name="_Ref20248"/>
            <w:r>
              <w:rPr>
                <w:color w:val="auto"/>
                <w:highlight w:val="none"/>
              </w:rPr>
              <w:t>表3-</w:t>
            </w:r>
            <w:r>
              <w:rPr>
                <w:color w:val="auto"/>
                <w:highlight w:val="none"/>
              </w:rPr>
              <w:fldChar w:fldCharType="begin"/>
            </w:r>
            <w:r>
              <w:rPr>
                <w:color w:val="auto"/>
                <w:highlight w:val="none"/>
              </w:rPr>
              <w:instrText xml:space="preserve"> SEQ 表3- \* ARABIC </w:instrText>
            </w:r>
            <w:r>
              <w:rPr>
                <w:color w:val="auto"/>
                <w:highlight w:val="none"/>
              </w:rPr>
              <w:fldChar w:fldCharType="separate"/>
            </w:r>
            <w:r>
              <w:rPr>
                <w:color w:val="auto"/>
                <w:highlight w:val="none"/>
              </w:rPr>
              <w:t>8</w:t>
            </w:r>
            <w:r>
              <w:rPr>
                <w:color w:val="auto"/>
                <w:highlight w:val="none"/>
              </w:rPr>
              <w:fldChar w:fldCharType="end"/>
            </w:r>
            <w:bookmarkEnd w:id="29"/>
            <w:r>
              <w:rPr>
                <w:rFonts w:hint="eastAsia"/>
                <w:color w:val="auto"/>
                <w:highlight w:val="none"/>
              </w:rPr>
              <w:t xml:space="preserve">  污水排放标准  单位：mg/L</w:t>
            </w:r>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2002"/>
              <w:gridCol w:w="1568"/>
              <w:gridCol w:w="1616"/>
              <w:gridCol w:w="1616"/>
              <w:gridCol w:w="1528"/>
            </w:tblGrid>
            <w:tr w14:paraId="69449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1202" w:type="pct"/>
                  <w:tcBorders>
                    <w:tl2br w:val="single" w:color="auto" w:sz="4" w:space="0"/>
                  </w:tcBorders>
                  <w:tcMar>
                    <w:top w:w="0" w:type="dxa"/>
                    <w:left w:w="57" w:type="dxa"/>
                    <w:bottom w:w="0" w:type="dxa"/>
                    <w:right w:w="57" w:type="dxa"/>
                  </w:tcMar>
                  <w:vAlign w:val="center"/>
                </w:tcPr>
                <w:p w14:paraId="46287869">
                  <w:pPr>
                    <w:pStyle w:val="20"/>
                    <w:bidi w:val="0"/>
                    <w:jc w:val="right"/>
                    <w:rPr>
                      <w:rFonts w:hint="eastAsia"/>
                      <w:b/>
                      <w:bCs/>
                      <w:color w:val="auto"/>
                      <w:highlight w:val="none"/>
                      <w:lang w:val="en-US" w:eastAsia="zh-CN"/>
                    </w:rPr>
                  </w:pPr>
                  <w:r>
                    <w:rPr>
                      <w:rFonts w:hint="eastAsia"/>
                      <w:b/>
                      <w:bCs/>
                      <w:color w:val="auto"/>
                      <w:highlight w:val="none"/>
                      <w:lang w:val="en-US" w:eastAsia="zh-CN"/>
                    </w:rPr>
                    <w:t>执行标准</w:t>
                  </w:r>
                </w:p>
                <w:p w14:paraId="32594C0E">
                  <w:pPr>
                    <w:pStyle w:val="20"/>
                    <w:bidi w:val="0"/>
                    <w:jc w:val="left"/>
                    <w:rPr>
                      <w:rFonts w:hint="eastAsia"/>
                      <w:b/>
                      <w:bCs/>
                      <w:color w:val="auto"/>
                      <w:highlight w:val="none"/>
                      <w:lang w:eastAsia="zh-CN"/>
                    </w:rPr>
                  </w:pPr>
                  <w:r>
                    <w:rPr>
                      <w:rFonts w:hint="eastAsia"/>
                      <w:b/>
                      <w:bCs/>
                      <w:color w:val="auto"/>
                      <w:highlight w:val="none"/>
                      <w:lang w:val="en-US" w:eastAsia="zh-CN"/>
                    </w:rPr>
                    <w:t>污染物</w:t>
                  </w:r>
                </w:p>
              </w:tc>
              <w:tc>
                <w:tcPr>
                  <w:tcW w:w="941" w:type="pct"/>
                  <w:tcMar>
                    <w:top w:w="0" w:type="dxa"/>
                    <w:left w:w="57" w:type="dxa"/>
                    <w:bottom w:w="0" w:type="dxa"/>
                    <w:right w:w="57" w:type="dxa"/>
                  </w:tcMar>
                  <w:vAlign w:val="center"/>
                </w:tcPr>
                <w:p w14:paraId="21909D3F">
                  <w:pPr>
                    <w:pStyle w:val="20"/>
                    <w:bidi w:val="0"/>
                    <w:rPr>
                      <w:b/>
                      <w:bCs/>
                      <w:color w:val="auto"/>
                      <w:highlight w:val="none"/>
                      <w:lang w:val="en-US" w:eastAsia="zh-CN"/>
                    </w:rPr>
                  </w:pPr>
                  <w:r>
                    <w:rPr>
                      <w:b/>
                      <w:bCs/>
                      <w:color w:val="auto"/>
                      <w:highlight w:val="none"/>
                      <w:lang w:val="en-US" w:eastAsia="zh-CN"/>
                    </w:rPr>
                    <w:t>GB8978-1996</w:t>
                  </w:r>
                </w:p>
                <w:p w14:paraId="7E55EC1C">
                  <w:pPr>
                    <w:pStyle w:val="20"/>
                    <w:bidi w:val="0"/>
                    <w:rPr>
                      <w:rFonts w:hint="default"/>
                      <w:b/>
                      <w:bCs/>
                      <w:color w:val="auto"/>
                      <w:highlight w:val="none"/>
                      <w:lang w:val="en-US" w:eastAsia="zh-CN"/>
                    </w:rPr>
                  </w:pPr>
                  <w:r>
                    <w:rPr>
                      <w:b/>
                      <w:bCs/>
                      <w:color w:val="auto"/>
                      <w:highlight w:val="none"/>
                      <w:lang w:val="en-US" w:eastAsia="zh-CN"/>
                    </w:rPr>
                    <w:t>三级标准</w:t>
                  </w:r>
                </w:p>
              </w:tc>
              <w:tc>
                <w:tcPr>
                  <w:tcW w:w="970" w:type="pct"/>
                  <w:tcMar>
                    <w:top w:w="0" w:type="dxa"/>
                    <w:left w:w="57" w:type="dxa"/>
                    <w:bottom w:w="0" w:type="dxa"/>
                    <w:right w:w="57" w:type="dxa"/>
                  </w:tcMar>
                  <w:vAlign w:val="center"/>
                </w:tcPr>
                <w:p w14:paraId="76E88A31">
                  <w:pPr>
                    <w:pStyle w:val="20"/>
                    <w:bidi w:val="0"/>
                    <w:rPr>
                      <w:b/>
                      <w:bCs/>
                      <w:color w:val="auto"/>
                      <w:highlight w:val="none"/>
                      <w:lang w:val="en-US" w:eastAsia="zh-CN"/>
                    </w:rPr>
                  </w:pPr>
                  <w:r>
                    <w:rPr>
                      <w:b/>
                      <w:bCs/>
                      <w:color w:val="auto"/>
                      <w:highlight w:val="none"/>
                      <w:lang w:val="en-US" w:eastAsia="zh-CN"/>
                    </w:rPr>
                    <w:t>GB8978-1996</w:t>
                  </w:r>
                </w:p>
                <w:p w14:paraId="7326E22E">
                  <w:pPr>
                    <w:pStyle w:val="20"/>
                    <w:bidi w:val="0"/>
                    <w:rPr>
                      <w:b/>
                      <w:bCs/>
                      <w:color w:val="auto"/>
                      <w:highlight w:val="none"/>
                      <w:lang w:val="en-US" w:eastAsia="zh-CN"/>
                    </w:rPr>
                  </w:pPr>
                  <w:r>
                    <w:rPr>
                      <w:rFonts w:hint="eastAsia"/>
                      <w:b/>
                      <w:bCs/>
                      <w:color w:val="auto"/>
                      <w:highlight w:val="none"/>
                      <w:lang w:val="en-US" w:eastAsia="zh-CN"/>
                    </w:rPr>
                    <w:t>一</w:t>
                  </w:r>
                  <w:r>
                    <w:rPr>
                      <w:b/>
                      <w:bCs/>
                      <w:color w:val="auto"/>
                      <w:highlight w:val="none"/>
                      <w:lang w:val="en-US" w:eastAsia="zh-CN"/>
                    </w:rPr>
                    <w:t>级标准</w:t>
                  </w:r>
                </w:p>
              </w:tc>
              <w:tc>
                <w:tcPr>
                  <w:tcW w:w="970" w:type="pct"/>
                  <w:tcMar>
                    <w:top w:w="0" w:type="dxa"/>
                    <w:left w:w="57" w:type="dxa"/>
                    <w:bottom w:w="0" w:type="dxa"/>
                    <w:right w:w="57" w:type="dxa"/>
                  </w:tcMar>
                  <w:vAlign w:val="center"/>
                </w:tcPr>
                <w:p w14:paraId="257B29F1">
                  <w:pPr>
                    <w:pStyle w:val="20"/>
                    <w:bidi w:val="0"/>
                    <w:rPr>
                      <w:rFonts w:hint="default"/>
                      <w:b/>
                      <w:bCs/>
                      <w:color w:val="auto"/>
                      <w:highlight w:val="none"/>
                      <w:lang w:val="en-US" w:eastAsia="zh-CN"/>
                    </w:rPr>
                  </w:pPr>
                  <w:r>
                    <w:rPr>
                      <w:b/>
                      <w:bCs/>
                      <w:color w:val="auto"/>
                      <w:highlight w:val="none"/>
                      <w:lang w:val="en-US" w:eastAsia="zh-CN"/>
                    </w:rPr>
                    <w:t>GB18918-2002一级A标准</w:t>
                  </w:r>
                </w:p>
              </w:tc>
              <w:tc>
                <w:tcPr>
                  <w:tcW w:w="916" w:type="pct"/>
                  <w:tcMar>
                    <w:top w:w="0" w:type="dxa"/>
                    <w:left w:w="57" w:type="dxa"/>
                    <w:bottom w:w="0" w:type="dxa"/>
                    <w:right w:w="57" w:type="dxa"/>
                  </w:tcMar>
                  <w:vAlign w:val="center"/>
                </w:tcPr>
                <w:p w14:paraId="1BEF7972">
                  <w:pPr>
                    <w:pStyle w:val="20"/>
                    <w:bidi w:val="0"/>
                    <w:rPr>
                      <w:b/>
                      <w:bCs/>
                      <w:color w:val="auto"/>
                      <w:highlight w:val="none"/>
                      <w:lang w:val="en-US" w:eastAsia="zh-CN"/>
                    </w:rPr>
                  </w:pPr>
                  <w:r>
                    <w:rPr>
                      <w:b/>
                      <w:bCs/>
                      <w:color w:val="auto"/>
                      <w:highlight w:val="none"/>
                      <w:lang w:val="en-US" w:eastAsia="zh-CN"/>
                    </w:rPr>
                    <w:t>GB3838-2002</w:t>
                  </w:r>
                </w:p>
                <w:p w14:paraId="55AE5CE1">
                  <w:pPr>
                    <w:pStyle w:val="20"/>
                    <w:bidi w:val="0"/>
                    <w:rPr>
                      <w:rFonts w:hint="default"/>
                      <w:b/>
                      <w:bCs/>
                      <w:color w:val="auto"/>
                      <w:highlight w:val="none"/>
                      <w:lang w:val="en-US" w:eastAsia="zh-CN"/>
                    </w:rPr>
                  </w:pPr>
                  <w:r>
                    <w:rPr>
                      <w:rFonts w:hint="eastAsia"/>
                      <w:b/>
                      <w:bCs/>
                      <w:color w:val="auto"/>
                      <w:highlight w:val="none"/>
                      <w:lang w:val="en-US" w:eastAsia="zh-CN"/>
                    </w:rPr>
                    <w:t>Ⅳ类</w:t>
                  </w:r>
                  <w:r>
                    <w:rPr>
                      <w:b/>
                      <w:bCs/>
                      <w:color w:val="auto"/>
                      <w:highlight w:val="none"/>
                      <w:lang w:val="en-US" w:eastAsia="zh-CN"/>
                    </w:rPr>
                    <w:t>标准</w:t>
                  </w:r>
                </w:p>
              </w:tc>
            </w:tr>
            <w:tr w14:paraId="49D79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202" w:type="pct"/>
                  <w:tcMar>
                    <w:top w:w="0" w:type="dxa"/>
                    <w:left w:w="57" w:type="dxa"/>
                    <w:bottom w:w="0" w:type="dxa"/>
                    <w:right w:w="57" w:type="dxa"/>
                  </w:tcMar>
                  <w:vAlign w:val="center"/>
                </w:tcPr>
                <w:p w14:paraId="3DB396AC">
                  <w:pPr>
                    <w:pStyle w:val="20"/>
                    <w:bidi w:val="0"/>
                    <w:rPr>
                      <w:rFonts w:hint="eastAsia"/>
                      <w:color w:val="auto"/>
                      <w:highlight w:val="none"/>
                      <w:lang w:val="en-US" w:eastAsia="zh-CN"/>
                    </w:rPr>
                  </w:pPr>
                  <w:r>
                    <w:rPr>
                      <w:rFonts w:hint="default"/>
                      <w:color w:val="auto"/>
                      <w:highlight w:val="none"/>
                      <w:lang w:val="en-US" w:eastAsia="zh-CN"/>
                    </w:rPr>
                    <w:t>pH（无量纲）</w:t>
                  </w:r>
                </w:p>
              </w:tc>
              <w:tc>
                <w:tcPr>
                  <w:tcW w:w="941" w:type="pct"/>
                  <w:tcMar>
                    <w:top w:w="0" w:type="dxa"/>
                    <w:left w:w="57" w:type="dxa"/>
                    <w:bottom w:w="0" w:type="dxa"/>
                    <w:right w:w="57" w:type="dxa"/>
                  </w:tcMar>
                  <w:vAlign w:val="center"/>
                </w:tcPr>
                <w:p w14:paraId="3BB6ED0F">
                  <w:pPr>
                    <w:pStyle w:val="20"/>
                    <w:bidi w:val="0"/>
                    <w:rPr>
                      <w:color w:val="auto"/>
                      <w:highlight w:val="none"/>
                    </w:rPr>
                  </w:pPr>
                  <w:r>
                    <w:rPr>
                      <w:rFonts w:hint="default"/>
                      <w:color w:val="auto"/>
                      <w:highlight w:val="none"/>
                      <w:lang w:val="en-US" w:eastAsia="zh-CN"/>
                    </w:rPr>
                    <w:t>6~9</w:t>
                  </w:r>
                </w:p>
              </w:tc>
              <w:tc>
                <w:tcPr>
                  <w:tcW w:w="970" w:type="pct"/>
                  <w:shd w:val="clear" w:color="auto" w:fill="auto"/>
                  <w:tcMar>
                    <w:top w:w="0" w:type="dxa"/>
                    <w:left w:w="57" w:type="dxa"/>
                    <w:bottom w:w="0" w:type="dxa"/>
                    <w:right w:w="57" w:type="dxa"/>
                  </w:tcMar>
                  <w:vAlign w:val="center"/>
                </w:tcPr>
                <w:p w14:paraId="75D05DEA">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6~9</w:t>
                  </w:r>
                </w:p>
              </w:tc>
              <w:tc>
                <w:tcPr>
                  <w:tcW w:w="970" w:type="pct"/>
                  <w:tcMar>
                    <w:top w:w="0" w:type="dxa"/>
                    <w:left w:w="57" w:type="dxa"/>
                    <w:bottom w:w="0" w:type="dxa"/>
                    <w:right w:w="57" w:type="dxa"/>
                  </w:tcMar>
                  <w:vAlign w:val="center"/>
                </w:tcPr>
                <w:p w14:paraId="048A1708">
                  <w:pPr>
                    <w:pStyle w:val="20"/>
                    <w:bidi w:val="0"/>
                    <w:rPr>
                      <w:color w:val="auto"/>
                      <w:highlight w:val="none"/>
                    </w:rPr>
                  </w:pPr>
                  <w:r>
                    <w:rPr>
                      <w:rFonts w:hint="default"/>
                      <w:color w:val="auto"/>
                      <w:highlight w:val="none"/>
                      <w:lang w:val="en-US" w:eastAsia="zh-CN"/>
                    </w:rPr>
                    <w:t>6~9</w:t>
                  </w:r>
                </w:p>
              </w:tc>
              <w:tc>
                <w:tcPr>
                  <w:tcW w:w="916" w:type="pct"/>
                  <w:tcMar>
                    <w:top w:w="0" w:type="dxa"/>
                    <w:left w:w="57" w:type="dxa"/>
                    <w:bottom w:w="0" w:type="dxa"/>
                    <w:right w:w="57" w:type="dxa"/>
                  </w:tcMar>
                  <w:vAlign w:val="center"/>
                </w:tcPr>
                <w:p w14:paraId="56FE16F3">
                  <w:pPr>
                    <w:pStyle w:val="20"/>
                    <w:bidi w:val="0"/>
                    <w:rPr>
                      <w:color w:val="auto"/>
                      <w:highlight w:val="none"/>
                    </w:rPr>
                  </w:pPr>
                  <w:r>
                    <w:rPr>
                      <w:rFonts w:hint="default"/>
                      <w:color w:val="auto"/>
                      <w:highlight w:val="none"/>
                      <w:lang w:val="en-US" w:eastAsia="zh-CN"/>
                    </w:rPr>
                    <w:t>/</w:t>
                  </w:r>
                </w:p>
              </w:tc>
            </w:tr>
            <w:tr w14:paraId="2C197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202" w:type="pct"/>
                  <w:tcMar>
                    <w:top w:w="0" w:type="dxa"/>
                    <w:left w:w="57" w:type="dxa"/>
                    <w:bottom w:w="0" w:type="dxa"/>
                    <w:right w:w="57" w:type="dxa"/>
                  </w:tcMar>
                  <w:vAlign w:val="center"/>
                </w:tcPr>
                <w:p w14:paraId="423756B3">
                  <w:pPr>
                    <w:pStyle w:val="20"/>
                    <w:bidi w:val="0"/>
                    <w:rPr>
                      <w:rFonts w:hint="eastAsia"/>
                      <w:color w:val="auto"/>
                      <w:highlight w:val="none"/>
                      <w:lang w:val="en-US" w:eastAsia="zh-CN"/>
                    </w:rPr>
                  </w:pPr>
                  <w:r>
                    <w:rPr>
                      <w:color w:val="auto"/>
                      <w:highlight w:val="none"/>
                      <w:lang w:val="en-US" w:eastAsia="zh-CN"/>
                    </w:rPr>
                    <w:t>COD</w:t>
                  </w:r>
                </w:p>
              </w:tc>
              <w:tc>
                <w:tcPr>
                  <w:tcW w:w="941" w:type="pct"/>
                  <w:tcMar>
                    <w:top w:w="0" w:type="dxa"/>
                    <w:left w:w="57" w:type="dxa"/>
                    <w:bottom w:w="0" w:type="dxa"/>
                    <w:right w:w="57" w:type="dxa"/>
                  </w:tcMar>
                  <w:vAlign w:val="center"/>
                </w:tcPr>
                <w:p w14:paraId="22606A80">
                  <w:pPr>
                    <w:pStyle w:val="20"/>
                    <w:bidi w:val="0"/>
                    <w:rPr>
                      <w:color w:val="auto"/>
                      <w:highlight w:val="none"/>
                    </w:rPr>
                  </w:pPr>
                  <w:r>
                    <w:rPr>
                      <w:rFonts w:hint="default"/>
                      <w:color w:val="auto"/>
                      <w:highlight w:val="none"/>
                      <w:lang w:val="en-US" w:eastAsia="zh-CN"/>
                    </w:rPr>
                    <w:t>500</w:t>
                  </w:r>
                </w:p>
              </w:tc>
              <w:tc>
                <w:tcPr>
                  <w:tcW w:w="970" w:type="pct"/>
                  <w:shd w:val="clear" w:color="auto" w:fill="auto"/>
                  <w:tcMar>
                    <w:top w:w="0" w:type="dxa"/>
                    <w:left w:w="57" w:type="dxa"/>
                    <w:bottom w:w="0" w:type="dxa"/>
                    <w:right w:w="57" w:type="dxa"/>
                  </w:tcMar>
                  <w:vAlign w:val="center"/>
                </w:tcPr>
                <w:p w14:paraId="688C02FB">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100</w:t>
                  </w:r>
                </w:p>
              </w:tc>
              <w:tc>
                <w:tcPr>
                  <w:tcW w:w="970" w:type="pct"/>
                  <w:tcMar>
                    <w:top w:w="0" w:type="dxa"/>
                    <w:left w:w="57" w:type="dxa"/>
                    <w:bottom w:w="0" w:type="dxa"/>
                    <w:right w:w="57" w:type="dxa"/>
                  </w:tcMar>
                  <w:vAlign w:val="center"/>
                </w:tcPr>
                <w:p w14:paraId="34247FE4">
                  <w:pPr>
                    <w:pStyle w:val="20"/>
                    <w:bidi w:val="0"/>
                    <w:rPr>
                      <w:color w:val="auto"/>
                      <w:highlight w:val="none"/>
                    </w:rPr>
                  </w:pPr>
                  <w:r>
                    <w:rPr>
                      <w:rFonts w:hint="default"/>
                      <w:color w:val="auto"/>
                      <w:highlight w:val="none"/>
                      <w:lang w:val="en-US" w:eastAsia="zh-CN"/>
                    </w:rPr>
                    <w:t>/</w:t>
                  </w:r>
                </w:p>
              </w:tc>
              <w:tc>
                <w:tcPr>
                  <w:tcW w:w="916" w:type="pct"/>
                  <w:tcMar>
                    <w:top w:w="0" w:type="dxa"/>
                    <w:left w:w="57" w:type="dxa"/>
                    <w:bottom w:w="0" w:type="dxa"/>
                    <w:right w:w="57" w:type="dxa"/>
                  </w:tcMar>
                  <w:vAlign w:val="center"/>
                </w:tcPr>
                <w:p w14:paraId="2B4171CD">
                  <w:pPr>
                    <w:pStyle w:val="20"/>
                    <w:bidi w:val="0"/>
                    <w:rPr>
                      <w:rFonts w:hint="eastAsia"/>
                      <w:color w:val="auto"/>
                      <w:highlight w:val="none"/>
                    </w:rPr>
                  </w:pPr>
                  <w:r>
                    <w:rPr>
                      <w:rFonts w:hint="default"/>
                      <w:color w:val="auto"/>
                      <w:highlight w:val="none"/>
                      <w:lang w:val="en-US" w:eastAsia="zh-CN"/>
                    </w:rPr>
                    <w:t>30</w:t>
                  </w:r>
                </w:p>
              </w:tc>
            </w:tr>
            <w:tr w14:paraId="503D9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202" w:type="pct"/>
                  <w:tcMar>
                    <w:top w:w="0" w:type="dxa"/>
                    <w:left w:w="57" w:type="dxa"/>
                    <w:bottom w:w="0" w:type="dxa"/>
                    <w:right w:w="57" w:type="dxa"/>
                  </w:tcMar>
                  <w:vAlign w:val="center"/>
                </w:tcPr>
                <w:p w14:paraId="7F944D0D">
                  <w:pPr>
                    <w:pStyle w:val="20"/>
                    <w:bidi w:val="0"/>
                    <w:rPr>
                      <w:rFonts w:hint="eastAsia"/>
                      <w:color w:val="auto"/>
                      <w:highlight w:val="none"/>
                      <w:lang w:val="en-US" w:eastAsia="zh-CN"/>
                    </w:rPr>
                  </w:pPr>
                  <w:r>
                    <w:rPr>
                      <w:color w:val="auto"/>
                      <w:highlight w:val="none"/>
                      <w:lang w:val="en-US" w:eastAsia="zh-CN"/>
                    </w:rPr>
                    <w:t>BOD</w:t>
                  </w:r>
                  <w:r>
                    <w:rPr>
                      <w:color w:val="auto"/>
                      <w:highlight w:val="none"/>
                      <w:vertAlign w:val="subscript"/>
                      <w:lang w:val="en-US" w:eastAsia="zh-CN"/>
                    </w:rPr>
                    <w:t>5</w:t>
                  </w:r>
                </w:p>
              </w:tc>
              <w:tc>
                <w:tcPr>
                  <w:tcW w:w="941" w:type="pct"/>
                  <w:tcMar>
                    <w:top w:w="0" w:type="dxa"/>
                    <w:left w:w="57" w:type="dxa"/>
                    <w:bottom w:w="0" w:type="dxa"/>
                    <w:right w:w="57" w:type="dxa"/>
                  </w:tcMar>
                  <w:vAlign w:val="center"/>
                </w:tcPr>
                <w:p w14:paraId="5C6423E1">
                  <w:pPr>
                    <w:pStyle w:val="20"/>
                    <w:bidi w:val="0"/>
                    <w:rPr>
                      <w:color w:val="auto"/>
                      <w:highlight w:val="none"/>
                    </w:rPr>
                  </w:pPr>
                  <w:r>
                    <w:rPr>
                      <w:rFonts w:hint="default"/>
                      <w:color w:val="auto"/>
                      <w:highlight w:val="none"/>
                      <w:lang w:val="en-US" w:eastAsia="zh-CN"/>
                    </w:rPr>
                    <w:t>300</w:t>
                  </w:r>
                </w:p>
              </w:tc>
              <w:tc>
                <w:tcPr>
                  <w:tcW w:w="970" w:type="pct"/>
                  <w:shd w:val="clear" w:color="auto" w:fill="auto"/>
                  <w:tcMar>
                    <w:top w:w="0" w:type="dxa"/>
                    <w:left w:w="57" w:type="dxa"/>
                    <w:bottom w:w="0" w:type="dxa"/>
                    <w:right w:w="57" w:type="dxa"/>
                  </w:tcMar>
                  <w:vAlign w:val="center"/>
                </w:tcPr>
                <w:p w14:paraId="0CF4BDD5">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20</w:t>
                  </w:r>
                </w:p>
              </w:tc>
              <w:tc>
                <w:tcPr>
                  <w:tcW w:w="970" w:type="pct"/>
                  <w:tcMar>
                    <w:top w:w="0" w:type="dxa"/>
                    <w:left w:w="57" w:type="dxa"/>
                    <w:bottom w:w="0" w:type="dxa"/>
                    <w:right w:w="57" w:type="dxa"/>
                  </w:tcMar>
                  <w:vAlign w:val="center"/>
                </w:tcPr>
                <w:p w14:paraId="5E2214F1">
                  <w:pPr>
                    <w:pStyle w:val="20"/>
                    <w:bidi w:val="0"/>
                    <w:rPr>
                      <w:color w:val="auto"/>
                      <w:highlight w:val="none"/>
                    </w:rPr>
                  </w:pPr>
                  <w:r>
                    <w:rPr>
                      <w:rFonts w:hint="default"/>
                      <w:color w:val="auto"/>
                      <w:highlight w:val="none"/>
                      <w:lang w:val="en-US" w:eastAsia="zh-CN"/>
                    </w:rPr>
                    <w:t>10</w:t>
                  </w:r>
                </w:p>
              </w:tc>
              <w:tc>
                <w:tcPr>
                  <w:tcW w:w="916" w:type="pct"/>
                  <w:tcMar>
                    <w:top w:w="0" w:type="dxa"/>
                    <w:left w:w="57" w:type="dxa"/>
                    <w:bottom w:w="0" w:type="dxa"/>
                    <w:right w:w="57" w:type="dxa"/>
                  </w:tcMar>
                  <w:vAlign w:val="center"/>
                </w:tcPr>
                <w:p w14:paraId="4A3919A3">
                  <w:pPr>
                    <w:pStyle w:val="20"/>
                    <w:bidi w:val="0"/>
                    <w:rPr>
                      <w:rFonts w:hint="eastAsia"/>
                      <w:color w:val="auto"/>
                      <w:highlight w:val="none"/>
                    </w:rPr>
                  </w:pPr>
                  <w:r>
                    <w:rPr>
                      <w:rFonts w:hint="default"/>
                      <w:color w:val="auto"/>
                      <w:highlight w:val="none"/>
                      <w:lang w:val="en-US" w:eastAsia="zh-CN"/>
                    </w:rPr>
                    <w:t>/</w:t>
                  </w:r>
                </w:p>
              </w:tc>
            </w:tr>
            <w:tr w14:paraId="27E87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202" w:type="pct"/>
                  <w:tcMar>
                    <w:top w:w="0" w:type="dxa"/>
                    <w:left w:w="57" w:type="dxa"/>
                    <w:bottom w:w="0" w:type="dxa"/>
                    <w:right w:w="57" w:type="dxa"/>
                  </w:tcMar>
                  <w:vAlign w:val="center"/>
                </w:tcPr>
                <w:p w14:paraId="62D92766">
                  <w:pPr>
                    <w:pStyle w:val="20"/>
                    <w:bidi w:val="0"/>
                    <w:rPr>
                      <w:rFonts w:hint="eastAsia"/>
                      <w:color w:val="auto"/>
                      <w:highlight w:val="none"/>
                      <w:lang w:val="en-US" w:eastAsia="zh-CN"/>
                    </w:rPr>
                  </w:pPr>
                  <w:r>
                    <w:rPr>
                      <w:color w:val="auto"/>
                      <w:highlight w:val="none"/>
                      <w:lang w:val="en-US" w:eastAsia="zh-CN"/>
                    </w:rPr>
                    <w:t>SS</w:t>
                  </w:r>
                </w:p>
              </w:tc>
              <w:tc>
                <w:tcPr>
                  <w:tcW w:w="941" w:type="pct"/>
                  <w:tcMar>
                    <w:top w:w="0" w:type="dxa"/>
                    <w:left w:w="57" w:type="dxa"/>
                    <w:bottom w:w="0" w:type="dxa"/>
                    <w:right w:w="57" w:type="dxa"/>
                  </w:tcMar>
                  <w:vAlign w:val="center"/>
                </w:tcPr>
                <w:p w14:paraId="069906AD">
                  <w:pPr>
                    <w:pStyle w:val="20"/>
                    <w:bidi w:val="0"/>
                    <w:rPr>
                      <w:color w:val="auto"/>
                      <w:highlight w:val="none"/>
                    </w:rPr>
                  </w:pPr>
                  <w:r>
                    <w:rPr>
                      <w:rFonts w:hint="default"/>
                      <w:color w:val="auto"/>
                      <w:highlight w:val="none"/>
                      <w:lang w:val="en-US" w:eastAsia="zh-CN"/>
                    </w:rPr>
                    <w:t>400</w:t>
                  </w:r>
                </w:p>
              </w:tc>
              <w:tc>
                <w:tcPr>
                  <w:tcW w:w="970" w:type="pct"/>
                  <w:shd w:val="clear" w:color="auto" w:fill="auto"/>
                  <w:tcMar>
                    <w:top w:w="0" w:type="dxa"/>
                    <w:left w:w="57" w:type="dxa"/>
                    <w:bottom w:w="0" w:type="dxa"/>
                    <w:right w:w="57" w:type="dxa"/>
                  </w:tcMar>
                  <w:vAlign w:val="center"/>
                </w:tcPr>
                <w:p w14:paraId="54C8D5FD">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70</w:t>
                  </w:r>
                </w:p>
              </w:tc>
              <w:tc>
                <w:tcPr>
                  <w:tcW w:w="970" w:type="pct"/>
                  <w:tcMar>
                    <w:top w:w="0" w:type="dxa"/>
                    <w:left w:w="57" w:type="dxa"/>
                    <w:bottom w:w="0" w:type="dxa"/>
                    <w:right w:w="57" w:type="dxa"/>
                  </w:tcMar>
                  <w:vAlign w:val="center"/>
                </w:tcPr>
                <w:p w14:paraId="5A79572E">
                  <w:pPr>
                    <w:pStyle w:val="20"/>
                    <w:bidi w:val="0"/>
                    <w:rPr>
                      <w:color w:val="auto"/>
                      <w:highlight w:val="none"/>
                    </w:rPr>
                  </w:pPr>
                  <w:r>
                    <w:rPr>
                      <w:rFonts w:hint="default"/>
                      <w:color w:val="auto"/>
                      <w:highlight w:val="none"/>
                      <w:lang w:val="en-US" w:eastAsia="zh-CN"/>
                    </w:rPr>
                    <w:t>10</w:t>
                  </w:r>
                </w:p>
              </w:tc>
              <w:tc>
                <w:tcPr>
                  <w:tcW w:w="916" w:type="pct"/>
                  <w:tcMar>
                    <w:top w:w="0" w:type="dxa"/>
                    <w:left w:w="57" w:type="dxa"/>
                    <w:bottom w:w="0" w:type="dxa"/>
                    <w:right w:w="57" w:type="dxa"/>
                  </w:tcMar>
                  <w:vAlign w:val="center"/>
                </w:tcPr>
                <w:p w14:paraId="737F71DF">
                  <w:pPr>
                    <w:pStyle w:val="20"/>
                    <w:bidi w:val="0"/>
                    <w:rPr>
                      <w:rFonts w:hint="eastAsia"/>
                      <w:color w:val="auto"/>
                      <w:highlight w:val="none"/>
                    </w:rPr>
                  </w:pPr>
                  <w:r>
                    <w:rPr>
                      <w:rFonts w:hint="default"/>
                      <w:color w:val="auto"/>
                      <w:highlight w:val="none"/>
                      <w:lang w:val="en-US" w:eastAsia="zh-CN"/>
                    </w:rPr>
                    <w:t>/</w:t>
                  </w:r>
                </w:p>
              </w:tc>
            </w:tr>
            <w:tr w14:paraId="36626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202" w:type="pct"/>
                  <w:tcMar>
                    <w:top w:w="0" w:type="dxa"/>
                    <w:left w:w="57" w:type="dxa"/>
                    <w:bottom w:w="0" w:type="dxa"/>
                    <w:right w:w="57" w:type="dxa"/>
                  </w:tcMar>
                  <w:vAlign w:val="center"/>
                </w:tcPr>
                <w:p w14:paraId="1EB75FF5">
                  <w:pPr>
                    <w:pStyle w:val="20"/>
                    <w:bidi w:val="0"/>
                    <w:rPr>
                      <w:rFonts w:hint="eastAsia"/>
                      <w:color w:val="auto"/>
                      <w:highlight w:val="none"/>
                      <w:lang w:val="en-US" w:eastAsia="zh-CN"/>
                    </w:rPr>
                  </w:pPr>
                  <w:r>
                    <w:rPr>
                      <w:color w:val="auto"/>
                      <w:highlight w:val="none"/>
                      <w:lang w:val="en-US" w:eastAsia="zh-CN"/>
                    </w:rPr>
                    <w:t>NH</w:t>
                  </w:r>
                  <w:r>
                    <w:rPr>
                      <w:color w:val="auto"/>
                      <w:highlight w:val="none"/>
                      <w:vertAlign w:val="subscript"/>
                      <w:lang w:val="en-US" w:eastAsia="zh-CN"/>
                    </w:rPr>
                    <w:t>3</w:t>
                  </w:r>
                  <w:r>
                    <w:rPr>
                      <w:color w:val="auto"/>
                      <w:highlight w:val="none"/>
                      <w:lang w:val="en-US" w:eastAsia="zh-CN"/>
                    </w:rPr>
                    <w:t>-N</w:t>
                  </w:r>
                </w:p>
              </w:tc>
              <w:tc>
                <w:tcPr>
                  <w:tcW w:w="941" w:type="pct"/>
                  <w:tcMar>
                    <w:top w:w="0" w:type="dxa"/>
                    <w:left w:w="57" w:type="dxa"/>
                    <w:bottom w:w="0" w:type="dxa"/>
                    <w:right w:w="57" w:type="dxa"/>
                  </w:tcMar>
                  <w:vAlign w:val="center"/>
                </w:tcPr>
                <w:p w14:paraId="20A2CC40">
                  <w:pPr>
                    <w:pStyle w:val="20"/>
                    <w:bidi w:val="0"/>
                    <w:rPr>
                      <w:color w:val="auto"/>
                      <w:highlight w:val="none"/>
                    </w:rPr>
                  </w:pPr>
                  <w:r>
                    <w:rPr>
                      <w:rFonts w:hint="default"/>
                      <w:color w:val="auto"/>
                      <w:highlight w:val="none"/>
                      <w:lang w:val="en-US" w:eastAsia="zh-CN"/>
                    </w:rPr>
                    <w:t>45*</w:t>
                  </w:r>
                </w:p>
              </w:tc>
              <w:tc>
                <w:tcPr>
                  <w:tcW w:w="1616" w:type="dxa"/>
                  <w:tcMar>
                    <w:top w:w="0" w:type="dxa"/>
                    <w:left w:w="57" w:type="dxa"/>
                    <w:bottom w:w="0" w:type="dxa"/>
                    <w:right w:w="57" w:type="dxa"/>
                  </w:tcMar>
                  <w:vAlign w:val="center"/>
                </w:tcPr>
                <w:p w14:paraId="7BCD5611">
                  <w:pPr>
                    <w:pStyle w:val="20"/>
                    <w:bidi w:val="0"/>
                    <w:rPr>
                      <w:rFonts w:hint="default"/>
                      <w:color w:val="auto"/>
                      <w:highlight w:val="none"/>
                      <w:lang w:val="en-US" w:eastAsia="zh-CN"/>
                    </w:rPr>
                  </w:pPr>
                  <w:r>
                    <w:rPr>
                      <w:rFonts w:hint="default"/>
                      <w:color w:val="auto"/>
                      <w:highlight w:val="none"/>
                      <w:lang w:val="en-US" w:eastAsia="zh-CN"/>
                    </w:rPr>
                    <w:t>15</w:t>
                  </w:r>
                </w:p>
              </w:tc>
              <w:tc>
                <w:tcPr>
                  <w:tcW w:w="970" w:type="pct"/>
                  <w:tcMar>
                    <w:top w:w="0" w:type="dxa"/>
                    <w:left w:w="57" w:type="dxa"/>
                    <w:bottom w:w="0" w:type="dxa"/>
                    <w:right w:w="57" w:type="dxa"/>
                  </w:tcMar>
                  <w:vAlign w:val="center"/>
                </w:tcPr>
                <w:p w14:paraId="6B9B305C">
                  <w:pPr>
                    <w:pStyle w:val="20"/>
                    <w:bidi w:val="0"/>
                    <w:rPr>
                      <w:color w:val="auto"/>
                      <w:highlight w:val="none"/>
                    </w:rPr>
                  </w:pPr>
                  <w:r>
                    <w:rPr>
                      <w:rFonts w:hint="default"/>
                      <w:color w:val="auto"/>
                      <w:highlight w:val="none"/>
                      <w:lang w:val="en-US" w:eastAsia="zh-CN"/>
                    </w:rPr>
                    <w:t>/</w:t>
                  </w:r>
                </w:p>
              </w:tc>
              <w:tc>
                <w:tcPr>
                  <w:tcW w:w="916" w:type="pct"/>
                  <w:tcMar>
                    <w:top w:w="0" w:type="dxa"/>
                    <w:left w:w="57" w:type="dxa"/>
                    <w:bottom w:w="0" w:type="dxa"/>
                    <w:right w:w="57" w:type="dxa"/>
                  </w:tcMar>
                  <w:vAlign w:val="center"/>
                </w:tcPr>
                <w:p w14:paraId="04731F88">
                  <w:pPr>
                    <w:pStyle w:val="20"/>
                    <w:bidi w:val="0"/>
                    <w:rPr>
                      <w:rFonts w:hint="eastAsia"/>
                      <w:color w:val="auto"/>
                      <w:highlight w:val="none"/>
                    </w:rPr>
                  </w:pPr>
                  <w:r>
                    <w:rPr>
                      <w:rFonts w:hint="default"/>
                      <w:color w:val="auto"/>
                      <w:highlight w:val="none"/>
                      <w:lang w:val="en-US" w:eastAsia="zh-CN"/>
                    </w:rPr>
                    <w:t>1.5</w:t>
                  </w:r>
                </w:p>
              </w:tc>
            </w:tr>
            <w:tr w14:paraId="54E76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202" w:type="pct"/>
                  <w:tcMar>
                    <w:top w:w="0" w:type="dxa"/>
                    <w:left w:w="57" w:type="dxa"/>
                    <w:bottom w:w="0" w:type="dxa"/>
                    <w:right w:w="57" w:type="dxa"/>
                  </w:tcMar>
                  <w:vAlign w:val="center"/>
                </w:tcPr>
                <w:p w14:paraId="1D4F391E">
                  <w:pPr>
                    <w:pStyle w:val="20"/>
                    <w:bidi w:val="0"/>
                    <w:rPr>
                      <w:rFonts w:hint="eastAsia"/>
                      <w:color w:val="auto"/>
                      <w:highlight w:val="none"/>
                      <w:lang w:val="en-US" w:eastAsia="zh-CN"/>
                    </w:rPr>
                  </w:pPr>
                  <w:r>
                    <w:rPr>
                      <w:color w:val="auto"/>
                      <w:highlight w:val="none"/>
                      <w:lang w:val="en-US" w:eastAsia="zh-CN"/>
                    </w:rPr>
                    <w:t>石油类</w:t>
                  </w:r>
                </w:p>
              </w:tc>
              <w:tc>
                <w:tcPr>
                  <w:tcW w:w="941" w:type="pct"/>
                  <w:tcMar>
                    <w:top w:w="0" w:type="dxa"/>
                    <w:left w:w="57" w:type="dxa"/>
                    <w:bottom w:w="0" w:type="dxa"/>
                    <w:right w:w="57" w:type="dxa"/>
                  </w:tcMar>
                  <w:vAlign w:val="center"/>
                </w:tcPr>
                <w:p w14:paraId="08B83FCB">
                  <w:pPr>
                    <w:pStyle w:val="20"/>
                    <w:bidi w:val="0"/>
                    <w:rPr>
                      <w:color w:val="auto"/>
                      <w:highlight w:val="none"/>
                    </w:rPr>
                  </w:pPr>
                  <w:r>
                    <w:rPr>
                      <w:rFonts w:hint="default"/>
                      <w:color w:val="auto"/>
                      <w:highlight w:val="none"/>
                      <w:lang w:val="en-US" w:eastAsia="zh-CN"/>
                    </w:rPr>
                    <w:t>20</w:t>
                  </w:r>
                </w:p>
              </w:tc>
              <w:tc>
                <w:tcPr>
                  <w:tcW w:w="1616" w:type="dxa"/>
                  <w:shd w:val="clear" w:color="auto" w:fill="auto"/>
                  <w:tcMar>
                    <w:top w:w="0" w:type="dxa"/>
                    <w:left w:w="57" w:type="dxa"/>
                    <w:bottom w:w="0" w:type="dxa"/>
                    <w:right w:w="57" w:type="dxa"/>
                  </w:tcMar>
                  <w:vAlign w:val="center"/>
                </w:tcPr>
                <w:p w14:paraId="3D9D8C57">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5</w:t>
                  </w:r>
                </w:p>
              </w:tc>
              <w:tc>
                <w:tcPr>
                  <w:tcW w:w="970" w:type="pct"/>
                  <w:tcMar>
                    <w:top w:w="0" w:type="dxa"/>
                    <w:left w:w="57" w:type="dxa"/>
                    <w:bottom w:w="0" w:type="dxa"/>
                    <w:right w:w="57" w:type="dxa"/>
                  </w:tcMar>
                  <w:vAlign w:val="center"/>
                </w:tcPr>
                <w:p w14:paraId="72445F35">
                  <w:pPr>
                    <w:pStyle w:val="20"/>
                    <w:bidi w:val="0"/>
                    <w:rPr>
                      <w:color w:val="auto"/>
                      <w:highlight w:val="none"/>
                    </w:rPr>
                  </w:pPr>
                  <w:r>
                    <w:rPr>
                      <w:rFonts w:hint="default"/>
                      <w:color w:val="auto"/>
                      <w:highlight w:val="none"/>
                      <w:lang w:val="en-US" w:eastAsia="zh-CN"/>
                    </w:rPr>
                    <w:t>1</w:t>
                  </w:r>
                </w:p>
              </w:tc>
              <w:tc>
                <w:tcPr>
                  <w:tcW w:w="916" w:type="pct"/>
                  <w:tcMar>
                    <w:top w:w="0" w:type="dxa"/>
                    <w:left w:w="57" w:type="dxa"/>
                    <w:bottom w:w="0" w:type="dxa"/>
                    <w:right w:w="57" w:type="dxa"/>
                  </w:tcMar>
                  <w:vAlign w:val="center"/>
                </w:tcPr>
                <w:p w14:paraId="4D9DF8C0">
                  <w:pPr>
                    <w:pStyle w:val="20"/>
                    <w:bidi w:val="0"/>
                    <w:rPr>
                      <w:rFonts w:hint="eastAsia"/>
                      <w:color w:val="auto"/>
                      <w:highlight w:val="none"/>
                    </w:rPr>
                  </w:pPr>
                  <w:r>
                    <w:rPr>
                      <w:rFonts w:hint="default"/>
                      <w:color w:val="auto"/>
                      <w:highlight w:val="none"/>
                      <w:lang w:val="en-US" w:eastAsia="zh-CN"/>
                    </w:rPr>
                    <w:t>/</w:t>
                  </w:r>
                </w:p>
              </w:tc>
            </w:tr>
            <w:tr w14:paraId="41062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202" w:type="pct"/>
                  <w:tcMar>
                    <w:top w:w="0" w:type="dxa"/>
                    <w:left w:w="57" w:type="dxa"/>
                    <w:bottom w:w="0" w:type="dxa"/>
                    <w:right w:w="57" w:type="dxa"/>
                  </w:tcMar>
                  <w:vAlign w:val="center"/>
                </w:tcPr>
                <w:p w14:paraId="5FED283F">
                  <w:pPr>
                    <w:pStyle w:val="20"/>
                    <w:bidi w:val="0"/>
                    <w:rPr>
                      <w:rFonts w:hint="default"/>
                      <w:color w:val="auto"/>
                      <w:highlight w:val="none"/>
                      <w:lang w:val="en-US" w:eastAsia="zh-CN"/>
                    </w:rPr>
                  </w:pPr>
                  <w:r>
                    <w:rPr>
                      <w:rFonts w:hint="eastAsia"/>
                      <w:color w:val="auto"/>
                      <w:highlight w:val="none"/>
                      <w:lang w:val="en-US" w:eastAsia="zh-CN"/>
                    </w:rPr>
                    <w:t>TP</w:t>
                  </w:r>
                </w:p>
              </w:tc>
              <w:tc>
                <w:tcPr>
                  <w:tcW w:w="941" w:type="pct"/>
                  <w:tcMar>
                    <w:top w:w="0" w:type="dxa"/>
                    <w:left w:w="57" w:type="dxa"/>
                    <w:bottom w:w="0" w:type="dxa"/>
                    <w:right w:w="57" w:type="dxa"/>
                  </w:tcMar>
                  <w:vAlign w:val="center"/>
                </w:tcPr>
                <w:p w14:paraId="123975FF">
                  <w:pPr>
                    <w:pStyle w:val="20"/>
                    <w:bidi w:val="0"/>
                    <w:rPr>
                      <w:rFonts w:hint="default"/>
                      <w:color w:val="auto"/>
                      <w:highlight w:val="none"/>
                      <w:lang w:val="en-US" w:eastAsia="zh-CN"/>
                    </w:rPr>
                  </w:pPr>
                  <w:r>
                    <w:rPr>
                      <w:rFonts w:hint="eastAsia"/>
                      <w:bCs/>
                      <w:color w:val="auto"/>
                      <w:highlight w:val="none"/>
                      <w:lang w:val="en-US" w:eastAsia="zh-CN"/>
                    </w:rPr>
                    <w:t>8</w:t>
                  </w:r>
                  <w:r>
                    <w:rPr>
                      <w:rFonts w:hint="default"/>
                      <w:color w:val="auto"/>
                      <w:highlight w:val="none"/>
                      <w:lang w:val="en-US" w:eastAsia="zh-CN"/>
                    </w:rPr>
                    <w:t>*</w:t>
                  </w:r>
                </w:p>
              </w:tc>
              <w:tc>
                <w:tcPr>
                  <w:tcW w:w="970" w:type="pct"/>
                  <w:shd w:val="clear" w:color="auto" w:fill="auto"/>
                  <w:tcMar>
                    <w:top w:w="0" w:type="dxa"/>
                    <w:left w:w="57" w:type="dxa"/>
                    <w:bottom w:w="0" w:type="dxa"/>
                    <w:right w:w="57" w:type="dxa"/>
                  </w:tcMar>
                  <w:vAlign w:val="center"/>
                </w:tcPr>
                <w:p w14:paraId="74F0615C">
                  <w:pPr>
                    <w:pStyle w:val="20"/>
                    <w:bidi w:val="0"/>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0.5</w:t>
                  </w:r>
                </w:p>
              </w:tc>
              <w:tc>
                <w:tcPr>
                  <w:tcW w:w="970" w:type="pct"/>
                  <w:tcMar>
                    <w:top w:w="0" w:type="dxa"/>
                    <w:left w:w="57" w:type="dxa"/>
                    <w:bottom w:w="0" w:type="dxa"/>
                    <w:right w:w="57" w:type="dxa"/>
                  </w:tcMar>
                  <w:vAlign w:val="center"/>
                </w:tcPr>
                <w:p w14:paraId="7A31A48F">
                  <w:pPr>
                    <w:pStyle w:val="20"/>
                    <w:bidi w:val="0"/>
                    <w:rPr>
                      <w:rFonts w:hint="default"/>
                      <w:color w:val="auto"/>
                      <w:highlight w:val="none"/>
                      <w:lang w:val="en-US" w:eastAsia="zh-CN"/>
                    </w:rPr>
                  </w:pPr>
                  <w:r>
                    <w:rPr>
                      <w:rFonts w:hint="eastAsia"/>
                      <w:color w:val="auto"/>
                      <w:highlight w:val="none"/>
                      <w:lang w:val="en-US" w:eastAsia="zh-CN"/>
                    </w:rPr>
                    <w:t>/</w:t>
                  </w:r>
                </w:p>
              </w:tc>
              <w:tc>
                <w:tcPr>
                  <w:tcW w:w="916" w:type="pct"/>
                  <w:tcMar>
                    <w:top w:w="0" w:type="dxa"/>
                    <w:left w:w="57" w:type="dxa"/>
                    <w:bottom w:w="0" w:type="dxa"/>
                    <w:right w:w="57" w:type="dxa"/>
                  </w:tcMar>
                  <w:vAlign w:val="center"/>
                </w:tcPr>
                <w:p w14:paraId="60F12F5A">
                  <w:pPr>
                    <w:pStyle w:val="20"/>
                    <w:bidi w:val="0"/>
                    <w:rPr>
                      <w:rFonts w:hint="default"/>
                      <w:color w:val="auto"/>
                      <w:highlight w:val="none"/>
                      <w:lang w:val="en-US" w:eastAsia="zh-CN"/>
                    </w:rPr>
                  </w:pPr>
                  <w:r>
                    <w:rPr>
                      <w:rFonts w:hint="eastAsia"/>
                      <w:color w:val="auto"/>
                      <w:highlight w:val="none"/>
                      <w:lang w:val="en-US" w:eastAsia="zh-CN"/>
                    </w:rPr>
                    <w:t>0.3</w:t>
                  </w:r>
                </w:p>
              </w:tc>
            </w:tr>
            <w:tr w14:paraId="0B2EA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202" w:type="pct"/>
                  <w:tcMar>
                    <w:top w:w="0" w:type="dxa"/>
                    <w:left w:w="57" w:type="dxa"/>
                    <w:bottom w:w="0" w:type="dxa"/>
                    <w:right w:w="57" w:type="dxa"/>
                  </w:tcMar>
                  <w:vAlign w:val="center"/>
                </w:tcPr>
                <w:p w14:paraId="2793D90B">
                  <w:pPr>
                    <w:pStyle w:val="20"/>
                    <w:bidi w:val="0"/>
                    <w:rPr>
                      <w:rFonts w:hint="default"/>
                      <w:color w:val="auto"/>
                      <w:highlight w:val="none"/>
                      <w:lang w:val="en-US" w:eastAsia="zh-CN"/>
                    </w:rPr>
                  </w:pPr>
                  <w:r>
                    <w:rPr>
                      <w:rFonts w:hint="eastAsia"/>
                      <w:color w:val="auto"/>
                      <w:highlight w:val="none"/>
                      <w:lang w:val="en-US" w:eastAsia="zh-CN"/>
                    </w:rPr>
                    <w:t>TN</w:t>
                  </w:r>
                </w:p>
              </w:tc>
              <w:tc>
                <w:tcPr>
                  <w:tcW w:w="941" w:type="pct"/>
                  <w:tcMar>
                    <w:top w:w="0" w:type="dxa"/>
                    <w:left w:w="57" w:type="dxa"/>
                    <w:bottom w:w="0" w:type="dxa"/>
                    <w:right w:w="57" w:type="dxa"/>
                  </w:tcMar>
                  <w:vAlign w:val="center"/>
                </w:tcPr>
                <w:p w14:paraId="7C5BE1E2">
                  <w:pPr>
                    <w:pStyle w:val="20"/>
                    <w:bidi w:val="0"/>
                    <w:rPr>
                      <w:rFonts w:hint="default"/>
                      <w:bCs/>
                      <w:color w:val="auto"/>
                      <w:highlight w:val="none"/>
                      <w:lang w:val="en-US" w:eastAsia="zh-CN"/>
                    </w:rPr>
                  </w:pPr>
                  <w:r>
                    <w:rPr>
                      <w:rFonts w:hint="eastAsia"/>
                      <w:bCs/>
                      <w:color w:val="auto"/>
                      <w:highlight w:val="none"/>
                      <w:lang w:val="en-US" w:eastAsia="zh-CN"/>
                    </w:rPr>
                    <w:t>70</w:t>
                  </w:r>
                  <w:r>
                    <w:rPr>
                      <w:rFonts w:hint="default"/>
                      <w:color w:val="auto"/>
                      <w:highlight w:val="none"/>
                      <w:lang w:val="en-US" w:eastAsia="zh-CN"/>
                    </w:rPr>
                    <w:t>*</w:t>
                  </w:r>
                </w:p>
              </w:tc>
              <w:tc>
                <w:tcPr>
                  <w:tcW w:w="970" w:type="pct"/>
                  <w:shd w:val="clear" w:color="auto" w:fill="auto"/>
                  <w:tcMar>
                    <w:top w:w="0" w:type="dxa"/>
                    <w:left w:w="57" w:type="dxa"/>
                    <w:bottom w:w="0" w:type="dxa"/>
                    <w:right w:w="57" w:type="dxa"/>
                  </w:tcMar>
                  <w:vAlign w:val="center"/>
                </w:tcPr>
                <w:p w14:paraId="52982968">
                  <w:pPr>
                    <w:pStyle w:val="20"/>
                    <w:bidi w:val="0"/>
                    <w:rPr>
                      <w:rFonts w:hint="default"/>
                      <w:color w:val="auto"/>
                      <w:highlight w:val="none"/>
                      <w:lang w:val="en-US" w:eastAsia="zh-CN"/>
                    </w:rPr>
                  </w:pPr>
                  <w:r>
                    <w:rPr>
                      <w:rFonts w:hint="eastAsia"/>
                      <w:color w:val="auto"/>
                      <w:highlight w:val="none"/>
                      <w:lang w:val="en-US" w:eastAsia="zh-CN"/>
                    </w:rPr>
                    <w:t>/</w:t>
                  </w:r>
                </w:p>
              </w:tc>
              <w:tc>
                <w:tcPr>
                  <w:tcW w:w="970" w:type="pct"/>
                  <w:tcMar>
                    <w:top w:w="0" w:type="dxa"/>
                    <w:left w:w="57" w:type="dxa"/>
                    <w:bottom w:w="0" w:type="dxa"/>
                    <w:right w:w="57" w:type="dxa"/>
                  </w:tcMar>
                  <w:vAlign w:val="center"/>
                </w:tcPr>
                <w:p w14:paraId="34E95297">
                  <w:pPr>
                    <w:pStyle w:val="20"/>
                    <w:bidi w:val="0"/>
                    <w:rPr>
                      <w:rFonts w:hint="default"/>
                      <w:color w:val="auto"/>
                      <w:highlight w:val="none"/>
                      <w:lang w:val="en-US" w:eastAsia="zh-CN"/>
                    </w:rPr>
                  </w:pPr>
                  <w:r>
                    <w:rPr>
                      <w:rFonts w:hint="eastAsia"/>
                      <w:color w:val="auto"/>
                      <w:highlight w:val="none"/>
                      <w:lang w:val="en-US" w:eastAsia="zh-CN"/>
                    </w:rPr>
                    <w:t>15</w:t>
                  </w:r>
                </w:p>
              </w:tc>
              <w:tc>
                <w:tcPr>
                  <w:tcW w:w="916" w:type="pct"/>
                  <w:tcMar>
                    <w:top w:w="0" w:type="dxa"/>
                    <w:left w:w="57" w:type="dxa"/>
                    <w:bottom w:w="0" w:type="dxa"/>
                    <w:right w:w="57" w:type="dxa"/>
                  </w:tcMar>
                  <w:vAlign w:val="center"/>
                </w:tcPr>
                <w:p w14:paraId="7D148A64">
                  <w:pPr>
                    <w:pStyle w:val="20"/>
                    <w:bidi w:val="0"/>
                    <w:rPr>
                      <w:rFonts w:hint="default"/>
                      <w:color w:val="auto"/>
                      <w:highlight w:val="none"/>
                      <w:lang w:val="en-US" w:eastAsia="zh-CN"/>
                    </w:rPr>
                  </w:pPr>
                  <w:r>
                    <w:rPr>
                      <w:rFonts w:hint="eastAsia"/>
                      <w:color w:val="auto"/>
                      <w:highlight w:val="none"/>
                      <w:lang w:val="en-US" w:eastAsia="zh-CN"/>
                    </w:rPr>
                    <w:t>/</w:t>
                  </w:r>
                </w:p>
              </w:tc>
            </w:tr>
            <w:tr w14:paraId="66BD0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000" w:type="pct"/>
                  <w:gridSpan w:val="5"/>
                  <w:tcMar>
                    <w:top w:w="0" w:type="dxa"/>
                    <w:left w:w="57" w:type="dxa"/>
                    <w:bottom w:w="0" w:type="dxa"/>
                    <w:right w:w="57" w:type="dxa"/>
                  </w:tcMar>
                  <w:vAlign w:val="center"/>
                </w:tcPr>
                <w:p w14:paraId="3E38FAF9">
                  <w:pPr>
                    <w:pStyle w:val="20"/>
                    <w:bidi w:val="0"/>
                    <w:rPr>
                      <w:rFonts w:hint="eastAsia"/>
                      <w:color w:val="auto"/>
                      <w:highlight w:val="none"/>
                    </w:rPr>
                  </w:pPr>
                  <w:r>
                    <w:rPr>
                      <w:rFonts w:hint="eastAsia"/>
                      <w:color w:val="auto"/>
                      <w:highlight w:val="none"/>
                    </w:rPr>
                    <w:t>注：*氨氮、</w:t>
                  </w:r>
                  <w:r>
                    <w:rPr>
                      <w:rFonts w:hint="eastAsia"/>
                      <w:color w:val="auto"/>
                      <w:highlight w:val="none"/>
                      <w:lang w:val="en-US" w:eastAsia="zh-CN"/>
                    </w:rPr>
                    <w:t>TP、TN</w:t>
                  </w:r>
                  <w:r>
                    <w:rPr>
                      <w:rFonts w:hint="eastAsia"/>
                      <w:color w:val="auto"/>
                      <w:highlight w:val="none"/>
                    </w:rPr>
                    <w:t>参照执行《污水排入城镇下水道水质标准》（GB/T31962-2015）。</w:t>
                  </w:r>
                </w:p>
              </w:tc>
            </w:tr>
          </w:tbl>
          <w:p w14:paraId="0A1C779F">
            <w:pPr>
              <w:pStyle w:val="2"/>
              <w:numPr>
                <w:ilvl w:val="0"/>
                <w:numId w:val="8"/>
              </w:numPr>
              <w:spacing w:before="156"/>
              <w:rPr>
                <w:color w:val="auto"/>
                <w:highlight w:val="none"/>
              </w:rPr>
            </w:pPr>
            <w:r>
              <w:rPr>
                <w:rFonts w:hint="eastAsia"/>
                <w:color w:val="auto"/>
                <w:highlight w:val="none"/>
              </w:rPr>
              <w:t>噪声排放标准</w:t>
            </w:r>
          </w:p>
          <w:p w14:paraId="0EB55223">
            <w:pPr>
              <w:pStyle w:val="18"/>
              <w:rPr>
                <w:color w:val="auto"/>
                <w:highlight w:val="none"/>
              </w:rPr>
            </w:pPr>
            <w:r>
              <w:rPr>
                <w:rFonts w:hint="eastAsia"/>
                <w:color w:val="auto"/>
                <w:highlight w:val="none"/>
              </w:rPr>
              <w:t>本项目运营期噪声排放执行《工业企业厂界环境噪声排放标准》（GB 12348-2008）3类标准。详见</w:t>
            </w:r>
            <w:r>
              <w:rPr>
                <w:rFonts w:hint="eastAsia"/>
                <w:color w:val="auto"/>
                <w:highlight w:val="none"/>
              </w:rPr>
              <w:fldChar w:fldCharType="begin"/>
            </w:r>
            <w:r>
              <w:rPr>
                <w:rFonts w:hint="eastAsia"/>
                <w:color w:val="auto"/>
                <w:highlight w:val="none"/>
              </w:rPr>
              <w:instrText xml:space="preserve"> REF _Ref20281 \h </w:instrText>
            </w:r>
            <w:r>
              <w:rPr>
                <w:rFonts w:hint="eastAsia"/>
                <w:color w:val="auto"/>
                <w:highlight w:val="none"/>
              </w:rPr>
              <w:fldChar w:fldCharType="separate"/>
            </w:r>
            <w:r>
              <w:rPr>
                <w:color w:val="auto"/>
                <w:highlight w:val="none"/>
              </w:rPr>
              <w:t>表3-9</w:t>
            </w:r>
            <w:r>
              <w:rPr>
                <w:rFonts w:hint="eastAsia"/>
                <w:color w:val="auto"/>
                <w:highlight w:val="none"/>
              </w:rPr>
              <w:fldChar w:fldCharType="end"/>
            </w:r>
            <w:r>
              <w:rPr>
                <w:rFonts w:hint="eastAsia"/>
                <w:color w:val="auto"/>
                <w:highlight w:val="none"/>
              </w:rPr>
              <w:t>。</w:t>
            </w:r>
          </w:p>
          <w:p w14:paraId="51862565">
            <w:pPr>
              <w:pStyle w:val="19"/>
              <w:spacing w:before="156"/>
              <w:rPr>
                <w:color w:val="auto"/>
                <w:highlight w:val="none"/>
              </w:rPr>
            </w:pPr>
            <w:bookmarkStart w:id="30" w:name="_Ref20281"/>
            <w:r>
              <w:rPr>
                <w:color w:val="auto"/>
                <w:highlight w:val="none"/>
              </w:rPr>
              <w:t>表3-</w:t>
            </w:r>
            <w:r>
              <w:rPr>
                <w:color w:val="auto"/>
                <w:highlight w:val="none"/>
              </w:rPr>
              <w:fldChar w:fldCharType="begin"/>
            </w:r>
            <w:r>
              <w:rPr>
                <w:color w:val="auto"/>
                <w:highlight w:val="none"/>
              </w:rPr>
              <w:instrText xml:space="preserve"> SEQ 表3- \* ARABIC </w:instrText>
            </w:r>
            <w:r>
              <w:rPr>
                <w:color w:val="auto"/>
                <w:highlight w:val="none"/>
              </w:rPr>
              <w:fldChar w:fldCharType="separate"/>
            </w:r>
            <w:r>
              <w:rPr>
                <w:color w:val="auto"/>
                <w:highlight w:val="none"/>
              </w:rPr>
              <w:t>9</w:t>
            </w:r>
            <w:r>
              <w:rPr>
                <w:color w:val="auto"/>
                <w:highlight w:val="none"/>
              </w:rPr>
              <w:fldChar w:fldCharType="end"/>
            </w:r>
            <w:bookmarkEnd w:id="30"/>
            <w:r>
              <w:rPr>
                <w:rFonts w:hint="eastAsia"/>
                <w:color w:val="auto"/>
                <w:highlight w:val="none"/>
              </w:rPr>
              <w:t xml:space="preserve">  工业企业厂界环境噪声排放限值    单位：Leq[dB(A)]</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2776"/>
              <w:gridCol w:w="2776"/>
              <w:gridCol w:w="2778"/>
            </w:tblGrid>
            <w:tr w14:paraId="6C2AA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666" w:type="pct"/>
                  <w:vAlign w:val="center"/>
                </w:tcPr>
                <w:p w14:paraId="1CCE45DA">
                  <w:pPr>
                    <w:pStyle w:val="20"/>
                    <w:spacing w:before="31"/>
                    <w:rPr>
                      <w:b/>
                      <w:bCs/>
                      <w:color w:val="auto"/>
                      <w:highlight w:val="none"/>
                    </w:rPr>
                  </w:pPr>
                  <w:r>
                    <w:rPr>
                      <w:rFonts w:hint="eastAsia"/>
                      <w:b/>
                      <w:bCs/>
                      <w:color w:val="auto"/>
                      <w:highlight w:val="none"/>
                    </w:rPr>
                    <w:t>声环境功能区类别</w:t>
                  </w:r>
                </w:p>
              </w:tc>
              <w:tc>
                <w:tcPr>
                  <w:tcW w:w="1666" w:type="pct"/>
                  <w:vAlign w:val="center"/>
                </w:tcPr>
                <w:p w14:paraId="13F1BE30">
                  <w:pPr>
                    <w:pStyle w:val="20"/>
                    <w:spacing w:before="31"/>
                    <w:rPr>
                      <w:b/>
                      <w:bCs/>
                      <w:color w:val="auto"/>
                      <w:highlight w:val="none"/>
                    </w:rPr>
                  </w:pPr>
                  <w:r>
                    <w:rPr>
                      <w:rFonts w:hint="eastAsia"/>
                      <w:b/>
                      <w:bCs/>
                      <w:color w:val="auto"/>
                      <w:highlight w:val="none"/>
                    </w:rPr>
                    <w:t>昼间</w:t>
                  </w:r>
                </w:p>
              </w:tc>
              <w:tc>
                <w:tcPr>
                  <w:tcW w:w="1667" w:type="pct"/>
                  <w:vAlign w:val="center"/>
                </w:tcPr>
                <w:p w14:paraId="7B10AD3B">
                  <w:pPr>
                    <w:pStyle w:val="20"/>
                    <w:spacing w:before="31"/>
                    <w:rPr>
                      <w:b/>
                      <w:bCs/>
                      <w:color w:val="auto"/>
                      <w:highlight w:val="none"/>
                    </w:rPr>
                  </w:pPr>
                  <w:r>
                    <w:rPr>
                      <w:b/>
                      <w:bCs/>
                      <w:color w:val="auto"/>
                      <w:highlight w:val="none"/>
                    </w:rPr>
                    <w:t>夜间</w:t>
                  </w:r>
                </w:p>
              </w:tc>
            </w:tr>
            <w:tr w14:paraId="38F05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666" w:type="pct"/>
                  <w:vAlign w:val="center"/>
                </w:tcPr>
                <w:p w14:paraId="26601B5D">
                  <w:pPr>
                    <w:pStyle w:val="20"/>
                    <w:spacing w:before="31"/>
                    <w:rPr>
                      <w:color w:val="auto"/>
                      <w:highlight w:val="none"/>
                    </w:rPr>
                  </w:pPr>
                  <w:r>
                    <w:rPr>
                      <w:rFonts w:hint="eastAsia"/>
                      <w:color w:val="auto"/>
                      <w:highlight w:val="none"/>
                    </w:rPr>
                    <w:t>3类</w:t>
                  </w:r>
                </w:p>
              </w:tc>
              <w:tc>
                <w:tcPr>
                  <w:tcW w:w="1666" w:type="pct"/>
                  <w:vAlign w:val="center"/>
                </w:tcPr>
                <w:p w14:paraId="49D76310">
                  <w:pPr>
                    <w:pStyle w:val="20"/>
                    <w:spacing w:before="31"/>
                    <w:rPr>
                      <w:color w:val="auto"/>
                      <w:highlight w:val="none"/>
                    </w:rPr>
                  </w:pPr>
                  <w:r>
                    <w:rPr>
                      <w:rFonts w:hint="eastAsia"/>
                      <w:color w:val="auto"/>
                      <w:highlight w:val="none"/>
                    </w:rPr>
                    <w:t>65</w:t>
                  </w:r>
                </w:p>
              </w:tc>
              <w:tc>
                <w:tcPr>
                  <w:tcW w:w="1667" w:type="pct"/>
                  <w:vAlign w:val="center"/>
                </w:tcPr>
                <w:p w14:paraId="1D27C0F2">
                  <w:pPr>
                    <w:pStyle w:val="20"/>
                    <w:spacing w:before="31"/>
                    <w:rPr>
                      <w:color w:val="auto"/>
                      <w:highlight w:val="none"/>
                    </w:rPr>
                  </w:pPr>
                  <w:r>
                    <w:rPr>
                      <w:color w:val="auto"/>
                      <w:highlight w:val="none"/>
                    </w:rPr>
                    <w:t>55</w:t>
                  </w:r>
                </w:p>
              </w:tc>
            </w:tr>
          </w:tbl>
          <w:p w14:paraId="3E3166BA">
            <w:pPr>
              <w:pStyle w:val="2"/>
              <w:numPr>
                <w:ilvl w:val="0"/>
                <w:numId w:val="8"/>
              </w:numPr>
              <w:spacing w:before="156"/>
              <w:rPr>
                <w:color w:val="auto"/>
                <w:highlight w:val="none"/>
              </w:rPr>
            </w:pPr>
            <w:r>
              <w:rPr>
                <w:rFonts w:hint="eastAsia"/>
                <w:color w:val="auto"/>
                <w:highlight w:val="none"/>
              </w:rPr>
              <w:t>固体废物标准</w:t>
            </w:r>
          </w:p>
          <w:p w14:paraId="1155F097">
            <w:pPr>
              <w:pStyle w:val="18"/>
              <w:rPr>
                <w:color w:val="auto"/>
                <w:highlight w:val="none"/>
              </w:rPr>
            </w:pPr>
            <w:r>
              <w:rPr>
                <w:rFonts w:hint="eastAsia"/>
                <w:color w:val="auto"/>
                <w:highlight w:val="none"/>
              </w:rPr>
              <w:t>一般工业固废：按照生态环境部公告2024年第4号发布的《固体废物分类与代码目录》进行识别，其贮存过程应满足相应防渗漏、防雨淋、防扬尘等环境保护要求。</w:t>
            </w:r>
          </w:p>
          <w:p w14:paraId="148001FC">
            <w:pPr>
              <w:pStyle w:val="18"/>
              <w:rPr>
                <w:rFonts w:hint="eastAsia"/>
                <w:color w:val="auto"/>
                <w:highlight w:val="none"/>
              </w:rPr>
            </w:pPr>
            <w:r>
              <w:rPr>
                <w:rFonts w:hint="eastAsia"/>
                <w:color w:val="auto"/>
                <w:highlight w:val="none"/>
              </w:rPr>
              <w:t>危险废物：应按</w:t>
            </w:r>
            <w:r>
              <w:rPr>
                <w:color w:val="auto"/>
                <w:sz w:val="24"/>
                <w:highlight w:val="none"/>
              </w:rPr>
              <w:t>《国家危险废物名录》（202</w:t>
            </w:r>
            <w:r>
              <w:rPr>
                <w:rFonts w:hint="eastAsia"/>
                <w:color w:val="auto"/>
                <w:sz w:val="24"/>
                <w:highlight w:val="none"/>
              </w:rPr>
              <w:t>5</w:t>
            </w:r>
            <w:r>
              <w:rPr>
                <w:color w:val="auto"/>
                <w:sz w:val="24"/>
                <w:highlight w:val="none"/>
              </w:rPr>
              <w:t>版）</w:t>
            </w:r>
            <w:r>
              <w:rPr>
                <w:rFonts w:hint="eastAsia"/>
                <w:color w:val="auto"/>
                <w:highlight w:val="none"/>
              </w:rPr>
              <w:t>、《危险废物贮存污染控制标准》（GB18597-2023）</w:t>
            </w:r>
            <w:r>
              <w:rPr>
                <w:rFonts w:hint="eastAsia"/>
                <w:color w:val="auto"/>
                <w:highlight w:val="none"/>
                <w:lang w:eastAsia="zh-CN"/>
              </w:rPr>
              <w:t>、</w:t>
            </w:r>
            <w:r>
              <w:rPr>
                <w:rFonts w:hint="eastAsia"/>
                <w:color w:val="auto"/>
                <w:highlight w:val="none"/>
              </w:rPr>
              <w:t>《危险废物识别标志设置技术规范》（HJ1276-2022）等相关文件，进行识别、贮存和管理。</w:t>
            </w:r>
          </w:p>
        </w:tc>
      </w:tr>
      <w:tr w14:paraId="0DD44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50" w:type="pct"/>
            <w:vAlign w:val="center"/>
          </w:tcPr>
          <w:p w14:paraId="21CBBDA8">
            <w:pPr>
              <w:pStyle w:val="24"/>
              <w:spacing w:before="93" w:after="93"/>
              <w:rPr>
                <w:rFonts w:cs="宋体"/>
                <w:b/>
                <w:bCs/>
                <w:color w:val="auto"/>
                <w:highlight w:val="none"/>
              </w:rPr>
            </w:pPr>
            <w:r>
              <w:rPr>
                <w:rFonts w:hint="eastAsia"/>
                <w:b/>
                <w:bCs/>
                <w:color w:val="auto"/>
                <w:highlight w:val="none"/>
              </w:rPr>
              <w:t>总量控制指标</w:t>
            </w:r>
          </w:p>
        </w:tc>
        <w:tc>
          <w:tcPr>
            <w:tcW w:w="4649" w:type="pct"/>
            <w:vAlign w:val="center"/>
          </w:tcPr>
          <w:p w14:paraId="336365D8">
            <w:pPr>
              <w:pStyle w:val="18"/>
              <w:rPr>
                <w:rFonts w:hint="eastAsia" w:eastAsia="宋体"/>
                <w:color w:val="auto"/>
                <w:highlight w:val="none"/>
                <w:lang w:val="en-US" w:eastAsia="zh-CN"/>
              </w:rPr>
            </w:pPr>
            <w:r>
              <w:rPr>
                <w:color w:val="auto"/>
                <w:highlight w:val="none"/>
              </w:rPr>
              <w:t>项目</w:t>
            </w:r>
            <w:r>
              <w:rPr>
                <w:rFonts w:hint="eastAsia"/>
                <w:color w:val="auto"/>
                <w:highlight w:val="none"/>
                <w:lang w:val="en-US" w:eastAsia="zh-CN"/>
              </w:rPr>
              <w:t>扩建</w:t>
            </w:r>
            <w:r>
              <w:rPr>
                <w:color w:val="auto"/>
                <w:highlight w:val="none"/>
              </w:rPr>
              <w:t>后</w:t>
            </w:r>
            <w:r>
              <w:rPr>
                <w:rFonts w:hint="eastAsia"/>
                <w:color w:val="auto"/>
                <w:highlight w:val="none"/>
                <w:lang w:val="en-US" w:eastAsia="zh-CN"/>
              </w:rPr>
              <w:t>全厂</w:t>
            </w:r>
            <w:r>
              <w:rPr>
                <w:rFonts w:hint="eastAsia"/>
                <w:color w:val="auto"/>
                <w:highlight w:val="none"/>
              </w:rPr>
              <w:t>废水污染物</w:t>
            </w:r>
            <w:r>
              <w:rPr>
                <w:rFonts w:hint="eastAsia"/>
                <w:color w:val="auto"/>
                <w:highlight w:val="none"/>
                <w:lang w:val="en-US" w:eastAsia="zh-CN"/>
              </w:rPr>
              <w:t>排放总量控制如下：</w:t>
            </w:r>
          </w:p>
          <w:p w14:paraId="0FD15F13">
            <w:pPr>
              <w:pStyle w:val="19"/>
              <w:bidi w:val="0"/>
              <w:rPr>
                <w:rFonts w:hint="default"/>
                <w:color w:val="auto"/>
                <w:highlight w:val="none"/>
                <w:lang w:val="en-US" w:eastAsia="zh-CN"/>
              </w:rPr>
            </w:pPr>
            <w:bookmarkStart w:id="31" w:name="_Ref2627"/>
            <w:r>
              <w:rPr>
                <w:color w:val="auto"/>
                <w:highlight w:val="none"/>
              </w:rPr>
              <w:t>表3-</w:t>
            </w:r>
            <w:r>
              <w:rPr>
                <w:color w:val="auto"/>
                <w:highlight w:val="none"/>
              </w:rPr>
              <w:fldChar w:fldCharType="begin"/>
            </w:r>
            <w:r>
              <w:rPr>
                <w:color w:val="auto"/>
                <w:highlight w:val="none"/>
              </w:rPr>
              <w:instrText xml:space="preserve"> SEQ 表3- \* ARABIC </w:instrText>
            </w:r>
            <w:r>
              <w:rPr>
                <w:color w:val="auto"/>
                <w:highlight w:val="none"/>
              </w:rPr>
              <w:fldChar w:fldCharType="separate"/>
            </w:r>
            <w:r>
              <w:rPr>
                <w:color w:val="auto"/>
                <w:highlight w:val="none"/>
              </w:rPr>
              <w:t>10</w:t>
            </w:r>
            <w:r>
              <w:rPr>
                <w:color w:val="auto"/>
                <w:highlight w:val="none"/>
              </w:rPr>
              <w:fldChar w:fldCharType="end"/>
            </w:r>
            <w:bookmarkEnd w:id="31"/>
            <w:r>
              <w:rPr>
                <w:rFonts w:hint="eastAsia"/>
                <w:color w:val="auto"/>
                <w:highlight w:val="none"/>
              </w:rPr>
              <w:t xml:space="preserve">  </w:t>
            </w:r>
            <w:r>
              <w:rPr>
                <w:rFonts w:hint="eastAsia" w:ascii="Times New Roman" w:hAnsi="Times New Roman" w:cs="Times New Roman"/>
                <w:color w:val="auto"/>
                <w:highlight w:val="none"/>
                <w:lang w:val="en-US" w:eastAsia="zh-CN"/>
              </w:rPr>
              <w:t xml:space="preserve"> </w:t>
            </w:r>
            <w:r>
              <w:rPr>
                <w:rFonts w:hint="eastAsia"/>
                <w:color w:val="auto"/>
                <w:highlight w:val="none"/>
                <w:lang w:val="en-US" w:eastAsia="zh-CN"/>
              </w:rPr>
              <w:t>项目</w:t>
            </w:r>
            <w:r>
              <w:rPr>
                <w:rFonts w:hint="eastAsia" w:cs="Times New Roman"/>
                <w:color w:val="auto"/>
                <w:highlight w:val="none"/>
                <w:lang w:val="en-US" w:eastAsia="zh-CN"/>
              </w:rPr>
              <w:t>扩建后全厂</w:t>
            </w:r>
            <w:r>
              <w:rPr>
                <w:rFonts w:hint="eastAsia"/>
                <w:color w:val="auto"/>
                <w:highlight w:val="none"/>
                <w:lang w:val="en-US" w:eastAsia="zh-CN"/>
              </w:rPr>
              <w:t>废水污染物排放总量控制</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902"/>
              <w:gridCol w:w="714"/>
              <w:gridCol w:w="731"/>
              <w:gridCol w:w="1328"/>
              <w:gridCol w:w="853"/>
              <w:gridCol w:w="1624"/>
              <w:gridCol w:w="1328"/>
              <w:gridCol w:w="853"/>
            </w:tblGrid>
            <w:tr w14:paraId="497F6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09" w:hRule="atLeast"/>
              </w:trPr>
              <w:tc>
                <w:tcPr>
                  <w:tcW w:w="0" w:type="auto"/>
                  <w:vMerge w:val="restart"/>
                  <w:tcMar>
                    <w:top w:w="0" w:type="dxa"/>
                    <w:left w:w="57" w:type="dxa"/>
                    <w:bottom w:w="0" w:type="dxa"/>
                    <w:right w:w="57" w:type="dxa"/>
                  </w:tcMar>
                  <w:vAlign w:val="center"/>
                </w:tcPr>
                <w:p w14:paraId="27A62CD3">
                  <w:pPr>
                    <w:pStyle w:val="20"/>
                    <w:bidi w:val="0"/>
                    <w:rPr>
                      <w:rFonts w:hint="default"/>
                      <w:b/>
                      <w:bCs/>
                      <w:color w:val="auto"/>
                      <w:highlight w:val="none"/>
                      <w:lang w:val="en-US" w:eastAsia="zh-CN"/>
                    </w:rPr>
                  </w:pPr>
                  <w:r>
                    <w:rPr>
                      <w:rFonts w:hint="eastAsia"/>
                      <w:b/>
                      <w:bCs/>
                      <w:color w:val="auto"/>
                      <w:highlight w:val="none"/>
                      <w:lang w:val="en-US" w:eastAsia="zh-CN"/>
                    </w:rPr>
                    <w:t>废水量</w:t>
                  </w:r>
                </w:p>
              </w:tc>
              <w:tc>
                <w:tcPr>
                  <w:tcW w:w="0" w:type="auto"/>
                  <w:vMerge w:val="restart"/>
                  <w:tcMar>
                    <w:top w:w="0" w:type="dxa"/>
                    <w:left w:w="57" w:type="dxa"/>
                    <w:bottom w:w="0" w:type="dxa"/>
                    <w:right w:w="57" w:type="dxa"/>
                  </w:tcMar>
                  <w:vAlign w:val="center"/>
                </w:tcPr>
                <w:p w14:paraId="3EF91711">
                  <w:pPr>
                    <w:pStyle w:val="20"/>
                    <w:bidi w:val="0"/>
                    <w:rPr>
                      <w:rFonts w:hint="eastAsia"/>
                      <w:b/>
                      <w:bCs/>
                      <w:color w:val="auto"/>
                      <w:highlight w:val="none"/>
                      <w:lang w:val="en-US" w:eastAsia="zh-CN"/>
                    </w:rPr>
                  </w:pPr>
                  <w:r>
                    <w:rPr>
                      <w:rFonts w:hint="eastAsia"/>
                      <w:b/>
                      <w:bCs/>
                      <w:color w:val="auto"/>
                      <w:highlight w:val="none"/>
                      <w:lang w:val="en-US" w:eastAsia="zh-CN"/>
                    </w:rPr>
                    <w:t>污染物</w:t>
                  </w:r>
                </w:p>
              </w:tc>
              <w:tc>
                <w:tcPr>
                  <w:tcW w:w="0" w:type="auto"/>
                  <w:vMerge w:val="restart"/>
                  <w:tcMar>
                    <w:top w:w="0" w:type="dxa"/>
                    <w:left w:w="57" w:type="dxa"/>
                    <w:bottom w:w="0" w:type="dxa"/>
                    <w:right w:w="57" w:type="dxa"/>
                  </w:tcMar>
                  <w:vAlign w:val="center"/>
                </w:tcPr>
                <w:p w14:paraId="6A2CDEBD">
                  <w:pPr>
                    <w:pStyle w:val="20"/>
                    <w:bidi w:val="0"/>
                    <w:rPr>
                      <w:rFonts w:hint="default"/>
                      <w:b/>
                      <w:bCs/>
                      <w:color w:val="auto"/>
                      <w:highlight w:val="none"/>
                      <w:lang w:val="en-US" w:eastAsia="zh-CN"/>
                    </w:rPr>
                  </w:pPr>
                  <w:r>
                    <w:rPr>
                      <w:rFonts w:hint="eastAsia"/>
                      <w:b/>
                      <w:bCs/>
                      <w:color w:val="auto"/>
                      <w:highlight w:val="none"/>
                      <w:lang w:val="en-US" w:eastAsia="zh-CN"/>
                    </w:rPr>
                    <w:t>纳管排放量t/a</w:t>
                  </w:r>
                </w:p>
              </w:tc>
              <w:tc>
                <w:tcPr>
                  <w:tcW w:w="0" w:type="auto"/>
                  <w:gridSpan w:val="2"/>
                  <w:tcMar>
                    <w:top w:w="0" w:type="dxa"/>
                    <w:left w:w="57" w:type="dxa"/>
                    <w:bottom w:w="0" w:type="dxa"/>
                    <w:right w:w="57" w:type="dxa"/>
                  </w:tcMar>
                  <w:vAlign w:val="center"/>
                </w:tcPr>
                <w:p w14:paraId="1A81EEED">
                  <w:pPr>
                    <w:pStyle w:val="20"/>
                    <w:bidi w:val="0"/>
                    <w:rPr>
                      <w:rFonts w:hint="default"/>
                      <w:b/>
                      <w:bCs/>
                      <w:color w:val="auto"/>
                      <w:highlight w:val="none"/>
                      <w:lang w:val="en-US" w:eastAsia="zh-CN"/>
                    </w:rPr>
                  </w:pPr>
                  <w:r>
                    <w:rPr>
                      <w:rFonts w:hint="eastAsia"/>
                      <w:b/>
                      <w:bCs/>
                      <w:color w:val="auto"/>
                      <w:highlight w:val="none"/>
                      <w:lang w:val="en-US" w:eastAsia="zh-CN"/>
                    </w:rPr>
                    <w:t>近期</w:t>
                  </w:r>
                </w:p>
              </w:tc>
              <w:tc>
                <w:tcPr>
                  <w:tcW w:w="0" w:type="auto"/>
                  <w:gridSpan w:val="3"/>
                  <w:tcMar>
                    <w:top w:w="0" w:type="dxa"/>
                    <w:left w:w="57" w:type="dxa"/>
                    <w:bottom w:w="0" w:type="dxa"/>
                    <w:right w:w="57" w:type="dxa"/>
                  </w:tcMar>
                  <w:vAlign w:val="center"/>
                </w:tcPr>
                <w:p w14:paraId="58AE01CB">
                  <w:pPr>
                    <w:pStyle w:val="20"/>
                    <w:bidi w:val="0"/>
                    <w:rPr>
                      <w:rFonts w:hint="default"/>
                      <w:b/>
                      <w:bCs/>
                      <w:color w:val="auto"/>
                      <w:highlight w:val="none"/>
                      <w:lang w:val="en-US" w:eastAsia="zh-CN"/>
                    </w:rPr>
                  </w:pPr>
                  <w:r>
                    <w:rPr>
                      <w:rFonts w:hint="eastAsia"/>
                      <w:b/>
                      <w:bCs/>
                      <w:color w:val="auto"/>
                      <w:highlight w:val="none"/>
                      <w:lang w:val="en-US" w:eastAsia="zh-CN"/>
                    </w:rPr>
                    <w:t>远期</w:t>
                  </w:r>
                </w:p>
              </w:tc>
            </w:tr>
            <w:tr w14:paraId="4906E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09" w:hRule="atLeast"/>
              </w:trPr>
              <w:tc>
                <w:tcPr>
                  <w:tcW w:w="0" w:type="auto"/>
                  <w:vMerge w:val="continue"/>
                  <w:tcMar>
                    <w:top w:w="0" w:type="dxa"/>
                    <w:left w:w="57" w:type="dxa"/>
                    <w:bottom w:w="0" w:type="dxa"/>
                    <w:right w:w="57" w:type="dxa"/>
                  </w:tcMar>
                  <w:vAlign w:val="center"/>
                </w:tcPr>
                <w:p w14:paraId="16ADBF1D">
                  <w:pPr>
                    <w:pStyle w:val="20"/>
                    <w:bidi w:val="0"/>
                    <w:rPr>
                      <w:color w:val="auto"/>
                      <w:highlight w:val="none"/>
                    </w:rPr>
                  </w:pPr>
                </w:p>
              </w:tc>
              <w:tc>
                <w:tcPr>
                  <w:tcW w:w="0" w:type="auto"/>
                  <w:vMerge w:val="continue"/>
                  <w:tcMar>
                    <w:top w:w="0" w:type="dxa"/>
                    <w:left w:w="57" w:type="dxa"/>
                    <w:bottom w:w="0" w:type="dxa"/>
                    <w:right w:w="57" w:type="dxa"/>
                  </w:tcMar>
                  <w:vAlign w:val="center"/>
                </w:tcPr>
                <w:p w14:paraId="240CA8BC">
                  <w:pPr>
                    <w:pStyle w:val="20"/>
                    <w:bidi w:val="0"/>
                    <w:rPr>
                      <w:color w:val="auto"/>
                      <w:highlight w:val="none"/>
                    </w:rPr>
                  </w:pPr>
                </w:p>
              </w:tc>
              <w:tc>
                <w:tcPr>
                  <w:tcW w:w="0" w:type="auto"/>
                  <w:vMerge w:val="continue"/>
                  <w:tcMar>
                    <w:top w:w="0" w:type="dxa"/>
                    <w:left w:w="57" w:type="dxa"/>
                    <w:bottom w:w="0" w:type="dxa"/>
                    <w:right w:w="57" w:type="dxa"/>
                  </w:tcMar>
                  <w:vAlign w:val="center"/>
                </w:tcPr>
                <w:p w14:paraId="034ED34B">
                  <w:pPr>
                    <w:pStyle w:val="20"/>
                    <w:bidi w:val="0"/>
                    <w:rPr>
                      <w:color w:val="auto"/>
                      <w:highlight w:val="none"/>
                    </w:rPr>
                  </w:pPr>
                </w:p>
              </w:tc>
              <w:tc>
                <w:tcPr>
                  <w:tcW w:w="0" w:type="auto"/>
                  <w:tcMar>
                    <w:top w:w="0" w:type="dxa"/>
                    <w:left w:w="57" w:type="dxa"/>
                    <w:bottom w:w="0" w:type="dxa"/>
                    <w:right w:w="57" w:type="dxa"/>
                  </w:tcMar>
                  <w:vAlign w:val="center"/>
                </w:tcPr>
                <w:p w14:paraId="03CD8D73">
                  <w:pPr>
                    <w:pStyle w:val="20"/>
                    <w:bidi w:val="0"/>
                    <w:rPr>
                      <w:b/>
                      <w:bCs/>
                      <w:color w:val="auto"/>
                      <w:highlight w:val="none"/>
                      <w:lang w:val="en-US" w:eastAsia="zh-CN"/>
                    </w:rPr>
                  </w:pPr>
                  <w:r>
                    <w:rPr>
                      <w:b/>
                      <w:bCs/>
                      <w:color w:val="auto"/>
                      <w:highlight w:val="none"/>
                      <w:lang w:val="en-US" w:eastAsia="zh-CN"/>
                    </w:rPr>
                    <w:t>GB8978-1996</w:t>
                  </w:r>
                </w:p>
                <w:p w14:paraId="10A25A87">
                  <w:pPr>
                    <w:pStyle w:val="20"/>
                    <w:bidi w:val="0"/>
                    <w:rPr>
                      <w:rFonts w:hint="eastAsia"/>
                      <w:b/>
                      <w:bCs/>
                      <w:color w:val="auto"/>
                      <w:highlight w:val="none"/>
                      <w:lang w:val="en-US" w:eastAsia="zh-CN"/>
                    </w:rPr>
                  </w:pPr>
                  <w:r>
                    <w:rPr>
                      <w:rFonts w:hint="eastAsia"/>
                      <w:b/>
                      <w:bCs/>
                      <w:color w:val="auto"/>
                      <w:highlight w:val="none"/>
                      <w:lang w:val="en-US" w:eastAsia="zh-CN"/>
                    </w:rPr>
                    <w:t>一</w:t>
                  </w:r>
                  <w:r>
                    <w:rPr>
                      <w:b/>
                      <w:bCs/>
                      <w:color w:val="auto"/>
                      <w:highlight w:val="none"/>
                      <w:lang w:val="en-US" w:eastAsia="zh-CN"/>
                    </w:rPr>
                    <w:t>级标准</w:t>
                  </w:r>
                </w:p>
              </w:tc>
              <w:tc>
                <w:tcPr>
                  <w:tcW w:w="0" w:type="auto"/>
                  <w:tcMar>
                    <w:top w:w="0" w:type="dxa"/>
                    <w:left w:w="57" w:type="dxa"/>
                    <w:bottom w:w="0" w:type="dxa"/>
                    <w:right w:w="57" w:type="dxa"/>
                  </w:tcMar>
                  <w:vAlign w:val="center"/>
                </w:tcPr>
                <w:p w14:paraId="4FFA3AF4">
                  <w:pPr>
                    <w:pStyle w:val="20"/>
                    <w:bidi w:val="0"/>
                    <w:rPr>
                      <w:rFonts w:hint="eastAsia"/>
                      <w:b/>
                      <w:bCs/>
                      <w:color w:val="auto"/>
                      <w:highlight w:val="none"/>
                      <w:lang w:val="en-US" w:eastAsia="zh-CN"/>
                    </w:rPr>
                  </w:pPr>
                  <w:r>
                    <w:rPr>
                      <w:rFonts w:hint="eastAsia"/>
                      <w:b/>
                      <w:bCs/>
                      <w:color w:val="auto"/>
                      <w:highlight w:val="none"/>
                      <w:lang w:val="en-US" w:eastAsia="zh-CN"/>
                    </w:rPr>
                    <w:t>外环境排放量t/a</w:t>
                  </w:r>
                </w:p>
              </w:tc>
              <w:tc>
                <w:tcPr>
                  <w:tcW w:w="0" w:type="auto"/>
                  <w:shd w:val="clear" w:color="auto" w:fill="auto"/>
                  <w:tcMar>
                    <w:top w:w="0" w:type="dxa"/>
                    <w:left w:w="57" w:type="dxa"/>
                    <w:bottom w:w="0" w:type="dxa"/>
                    <w:right w:w="57" w:type="dxa"/>
                  </w:tcMar>
                  <w:vAlign w:val="center"/>
                </w:tcPr>
                <w:p w14:paraId="5C7490E3">
                  <w:pPr>
                    <w:pStyle w:val="20"/>
                    <w:bidi w:val="0"/>
                    <w:rPr>
                      <w:rFonts w:hint="eastAsia" w:ascii="Times New Roman" w:hAnsi="Times New Roman" w:eastAsia="宋体" w:cs="宋体"/>
                      <w:b/>
                      <w:bCs/>
                      <w:color w:val="auto"/>
                      <w:kern w:val="2"/>
                      <w:sz w:val="21"/>
                      <w:szCs w:val="21"/>
                      <w:highlight w:val="none"/>
                      <w:lang w:val="en-US" w:eastAsia="zh-CN" w:bidi="ar-SA"/>
                    </w:rPr>
                  </w:pPr>
                  <w:r>
                    <w:rPr>
                      <w:b/>
                      <w:bCs/>
                      <w:color w:val="auto"/>
                      <w:highlight w:val="none"/>
                      <w:lang w:val="en-US" w:eastAsia="zh-CN"/>
                    </w:rPr>
                    <w:t>GB18918-2002一级A标准</w:t>
                  </w:r>
                </w:p>
              </w:tc>
              <w:tc>
                <w:tcPr>
                  <w:tcW w:w="0" w:type="auto"/>
                  <w:shd w:val="clear" w:color="auto" w:fill="auto"/>
                  <w:tcMar>
                    <w:top w:w="0" w:type="dxa"/>
                    <w:left w:w="57" w:type="dxa"/>
                    <w:bottom w:w="0" w:type="dxa"/>
                    <w:right w:w="57" w:type="dxa"/>
                  </w:tcMar>
                  <w:vAlign w:val="center"/>
                </w:tcPr>
                <w:p w14:paraId="4BD8F6C4">
                  <w:pPr>
                    <w:pStyle w:val="20"/>
                    <w:bidi w:val="0"/>
                    <w:rPr>
                      <w:b/>
                      <w:bCs/>
                      <w:color w:val="auto"/>
                      <w:highlight w:val="none"/>
                      <w:lang w:val="en-US" w:eastAsia="zh-CN"/>
                    </w:rPr>
                  </w:pPr>
                  <w:r>
                    <w:rPr>
                      <w:b/>
                      <w:bCs/>
                      <w:color w:val="auto"/>
                      <w:highlight w:val="none"/>
                      <w:lang w:val="en-US" w:eastAsia="zh-CN"/>
                    </w:rPr>
                    <w:t>GB3838-2002</w:t>
                  </w:r>
                </w:p>
                <w:p w14:paraId="43CC1CE3">
                  <w:pPr>
                    <w:pStyle w:val="20"/>
                    <w:bidi w:val="0"/>
                    <w:rPr>
                      <w:rFonts w:hint="eastAsia" w:ascii="Times New Roman" w:hAnsi="Times New Roman" w:eastAsia="宋体" w:cs="宋体"/>
                      <w:b/>
                      <w:bCs/>
                      <w:color w:val="auto"/>
                      <w:kern w:val="2"/>
                      <w:sz w:val="21"/>
                      <w:szCs w:val="21"/>
                      <w:highlight w:val="none"/>
                      <w:lang w:val="en-US" w:eastAsia="zh-CN" w:bidi="ar-SA"/>
                    </w:rPr>
                  </w:pPr>
                  <w:r>
                    <w:rPr>
                      <w:rFonts w:hint="eastAsia"/>
                      <w:b/>
                      <w:bCs/>
                      <w:color w:val="auto"/>
                      <w:highlight w:val="none"/>
                      <w:lang w:val="en-US" w:eastAsia="zh-CN"/>
                    </w:rPr>
                    <w:t>Ⅳ类</w:t>
                  </w:r>
                  <w:r>
                    <w:rPr>
                      <w:b/>
                      <w:bCs/>
                      <w:color w:val="auto"/>
                      <w:highlight w:val="none"/>
                      <w:lang w:val="en-US" w:eastAsia="zh-CN"/>
                    </w:rPr>
                    <w:t>标准</w:t>
                  </w:r>
                </w:p>
              </w:tc>
              <w:tc>
                <w:tcPr>
                  <w:tcW w:w="0" w:type="auto"/>
                  <w:tcMar>
                    <w:top w:w="0" w:type="dxa"/>
                    <w:left w:w="57" w:type="dxa"/>
                    <w:bottom w:w="0" w:type="dxa"/>
                    <w:right w:w="57" w:type="dxa"/>
                  </w:tcMar>
                  <w:vAlign w:val="center"/>
                </w:tcPr>
                <w:p w14:paraId="161A8E3D">
                  <w:pPr>
                    <w:pStyle w:val="20"/>
                    <w:bidi w:val="0"/>
                    <w:rPr>
                      <w:rFonts w:hint="eastAsia"/>
                      <w:b/>
                      <w:bCs/>
                      <w:color w:val="auto"/>
                      <w:highlight w:val="none"/>
                      <w:lang w:val="en-US" w:eastAsia="zh-CN"/>
                    </w:rPr>
                  </w:pPr>
                  <w:r>
                    <w:rPr>
                      <w:rFonts w:hint="eastAsia"/>
                      <w:b/>
                      <w:bCs/>
                      <w:color w:val="auto"/>
                      <w:highlight w:val="none"/>
                      <w:lang w:val="en-US" w:eastAsia="zh-CN"/>
                    </w:rPr>
                    <w:t>外环境排放量t/a</w:t>
                  </w:r>
                </w:p>
              </w:tc>
            </w:tr>
            <w:tr w14:paraId="73828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0" w:type="auto"/>
                  <w:vMerge w:val="restart"/>
                  <w:shd w:val="clear" w:color="auto" w:fill="auto"/>
                  <w:tcMar>
                    <w:top w:w="0" w:type="dxa"/>
                    <w:left w:w="57" w:type="dxa"/>
                    <w:bottom w:w="0" w:type="dxa"/>
                    <w:right w:w="57" w:type="dxa"/>
                  </w:tcMar>
                  <w:vAlign w:val="center"/>
                </w:tcPr>
                <w:p w14:paraId="1A71E7E3">
                  <w:pPr>
                    <w:pStyle w:val="20"/>
                    <w:bidi w:val="0"/>
                    <w:rPr>
                      <w:color w:val="auto"/>
                      <w:highlight w:val="none"/>
                      <w:lang w:val="en-US" w:eastAsia="zh-CN"/>
                    </w:rPr>
                  </w:pPr>
                  <w:r>
                    <w:rPr>
                      <w:rFonts w:hint="eastAsia"/>
                      <w:color w:val="auto"/>
                      <w:highlight w:val="none"/>
                      <w:lang w:val="en-US" w:eastAsia="zh-CN"/>
                    </w:rPr>
                    <w:t>1519.264</w:t>
                  </w:r>
                </w:p>
              </w:tc>
              <w:tc>
                <w:tcPr>
                  <w:tcW w:w="0" w:type="auto"/>
                  <w:shd w:val="clear" w:color="auto" w:fill="auto"/>
                  <w:tcMar>
                    <w:top w:w="0" w:type="dxa"/>
                    <w:left w:w="57" w:type="dxa"/>
                    <w:bottom w:w="0" w:type="dxa"/>
                    <w:right w:w="57" w:type="dxa"/>
                  </w:tcMar>
                  <w:vAlign w:val="center"/>
                </w:tcPr>
                <w:p w14:paraId="14A35047">
                  <w:pPr>
                    <w:pStyle w:val="20"/>
                    <w:bidi w:val="0"/>
                    <w:rPr>
                      <w:rFonts w:hint="eastAsia" w:ascii="Times New Roman" w:hAnsi="Times New Roman" w:eastAsia="宋体" w:cs="宋体"/>
                      <w:color w:val="auto"/>
                      <w:kern w:val="2"/>
                      <w:sz w:val="21"/>
                      <w:szCs w:val="21"/>
                      <w:highlight w:val="none"/>
                      <w:lang w:val="en-US" w:eastAsia="zh-CN" w:bidi="ar-SA"/>
                    </w:rPr>
                  </w:pPr>
                  <w:r>
                    <w:rPr>
                      <w:color w:val="auto"/>
                      <w:highlight w:val="none"/>
                      <w:lang w:val="en-US" w:eastAsia="zh-CN"/>
                    </w:rPr>
                    <w:t>COD</w:t>
                  </w:r>
                </w:p>
              </w:tc>
              <w:tc>
                <w:tcPr>
                  <w:tcW w:w="0" w:type="auto"/>
                  <w:tcMar>
                    <w:top w:w="0" w:type="dxa"/>
                    <w:left w:w="57" w:type="dxa"/>
                    <w:bottom w:w="0" w:type="dxa"/>
                    <w:right w:w="57" w:type="dxa"/>
                  </w:tcMar>
                  <w:vAlign w:val="center"/>
                </w:tcPr>
                <w:p w14:paraId="7ECCB6A1">
                  <w:pPr>
                    <w:pStyle w:val="20"/>
                    <w:bidi w:val="0"/>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0.324</w:t>
                  </w:r>
                </w:p>
              </w:tc>
              <w:tc>
                <w:tcPr>
                  <w:tcW w:w="0" w:type="auto"/>
                  <w:shd w:val="clear" w:color="auto" w:fill="auto"/>
                  <w:tcMar>
                    <w:top w:w="0" w:type="dxa"/>
                    <w:left w:w="57" w:type="dxa"/>
                    <w:bottom w:w="0" w:type="dxa"/>
                    <w:right w:w="57" w:type="dxa"/>
                  </w:tcMar>
                  <w:vAlign w:val="center"/>
                </w:tcPr>
                <w:p w14:paraId="3DE1B8E2">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100</w:t>
                  </w:r>
                </w:p>
              </w:tc>
              <w:tc>
                <w:tcPr>
                  <w:tcW w:w="0" w:type="auto"/>
                  <w:tcMar>
                    <w:top w:w="0" w:type="dxa"/>
                    <w:left w:w="57" w:type="dxa"/>
                    <w:bottom w:w="0" w:type="dxa"/>
                    <w:right w:w="57" w:type="dxa"/>
                  </w:tcMar>
                  <w:vAlign w:val="center"/>
                </w:tcPr>
                <w:p w14:paraId="4A8B07C6">
                  <w:pPr>
                    <w:pStyle w:val="20"/>
                    <w:bidi w:val="0"/>
                    <w:rPr>
                      <w:rFonts w:hint="default"/>
                      <w:color w:val="auto"/>
                      <w:highlight w:val="none"/>
                      <w:lang w:val="en-US" w:eastAsia="zh-CN"/>
                    </w:rPr>
                  </w:pPr>
                  <w:r>
                    <w:rPr>
                      <w:rFonts w:hint="default"/>
                      <w:color w:val="auto"/>
                      <w:highlight w:val="none"/>
                      <w:lang w:val="en-US" w:eastAsia="zh-CN"/>
                    </w:rPr>
                    <w:t>0.1519</w:t>
                  </w:r>
                </w:p>
              </w:tc>
              <w:tc>
                <w:tcPr>
                  <w:tcW w:w="0" w:type="auto"/>
                  <w:tcMar>
                    <w:top w:w="0" w:type="dxa"/>
                    <w:left w:w="57" w:type="dxa"/>
                    <w:bottom w:w="0" w:type="dxa"/>
                    <w:right w:w="57" w:type="dxa"/>
                  </w:tcMar>
                  <w:vAlign w:val="center"/>
                </w:tcPr>
                <w:p w14:paraId="4C61EB02">
                  <w:pPr>
                    <w:pStyle w:val="20"/>
                    <w:bidi w:val="0"/>
                    <w:rPr>
                      <w:color w:val="auto"/>
                      <w:highlight w:val="none"/>
                    </w:rPr>
                  </w:pPr>
                  <w:r>
                    <w:rPr>
                      <w:rFonts w:hint="default"/>
                      <w:color w:val="auto"/>
                      <w:highlight w:val="none"/>
                      <w:lang w:val="en-US" w:eastAsia="zh-CN"/>
                    </w:rPr>
                    <w:t>/</w:t>
                  </w:r>
                </w:p>
              </w:tc>
              <w:tc>
                <w:tcPr>
                  <w:tcW w:w="0" w:type="auto"/>
                  <w:tcMar>
                    <w:top w:w="0" w:type="dxa"/>
                    <w:left w:w="57" w:type="dxa"/>
                    <w:bottom w:w="0" w:type="dxa"/>
                    <w:right w:w="57" w:type="dxa"/>
                  </w:tcMar>
                  <w:vAlign w:val="center"/>
                </w:tcPr>
                <w:p w14:paraId="0D3A4AC3">
                  <w:pPr>
                    <w:pStyle w:val="20"/>
                    <w:bidi w:val="0"/>
                    <w:rPr>
                      <w:rFonts w:hint="eastAsia"/>
                      <w:color w:val="auto"/>
                      <w:highlight w:val="none"/>
                    </w:rPr>
                  </w:pPr>
                  <w:r>
                    <w:rPr>
                      <w:rFonts w:hint="default"/>
                      <w:color w:val="auto"/>
                      <w:highlight w:val="none"/>
                      <w:lang w:val="en-US" w:eastAsia="zh-CN"/>
                    </w:rPr>
                    <w:t>30</w:t>
                  </w:r>
                </w:p>
              </w:tc>
              <w:tc>
                <w:tcPr>
                  <w:tcW w:w="0" w:type="auto"/>
                  <w:tcMar>
                    <w:top w:w="0" w:type="dxa"/>
                    <w:left w:w="57" w:type="dxa"/>
                    <w:bottom w:w="0" w:type="dxa"/>
                    <w:right w:w="57" w:type="dxa"/>
                  </w:tcMar>
                  <w:vAlign w:val="center"/>
                </w:tcPr>
                <w:p w14:paraId="6DA81700">
                  <w:pPr>
                    <w:pStyle w:val="20"/>
                    <w:bidi w:val="0"/>
                    <w:rPr>
                      <w:rFonts w:hint="default"/>
                      <w:color w:val="auto"/>
                      <w:highlight w:val="none"/>
                      <w:lang w:val="en-US" w:eastAsia="zh-CN"/>
                    </w:rPr>
                  </w:pPr>
                  <w:r>
                    <w:rPr>
                      <w:rFonts w:hint="default"/>
                      <w:color w:val="auto"/>
                      <w:highlight w:val="none"/>
                      <w:lang w:val="en-US" w:eastAsia="zh-CN"/>
                    </w:rPr>
                    <w:t>0.0456</w:t>
                  </w:r>
                </w:p>
              </w:tc>
            </w:tr>
            <w:tr w14:paraId="7CBE9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0" w:type="auto"/>
                  <w:vMerge w:val="continue"/>
                  <w:shd w:val="clear" w:color="auto" w:fill="auto"/>
                  <w:tcMar>
                    <w:top w:w="0" w:type="dxa"/>
                    <w:left w:w="57" w:type="dxa"/>
                    <w:bottom w:w="0" w:type="dxa"/>
                    <w:right w:w="57" w:type="dxa"/>
                  </w:tcMar>
                  <w:vAlign w:val="center"/>
                </w:tcPr>
                <w:p w14:paraId="05EBFECC">
                  <w:pPr>
                    <w:pStyle w:val="20"/>
                    <w:bidi w:val="0"/>
                    <w:rPr>
                      <w:color w:val="auto"/>
                      <w:highlight w:val="none"/>
                      <w:lang w:val="en-US" w:eastAsia="zh-CN"/>
                    </w:rPr>
                  </w:pPr>
                </w:p>
              </w:tc>
              <w:tc>
                <w:tcPr>
                  <w:tcW w:w="0" w:type="auto"/>
                  <w:shd w:val="clear" w:color="auto" w:fill="auto"/>
                  <w:tcMar>
                    <w:top w:w="0" w:type="dxa"/>
                    <w:left w:w="57" w:type="dxa"/>
                    <w:bottom w:w="0" w:type="dxa"/>
                    <w:right w:w="57" w:type="dxa"/>
                  </w:tcMar>
                  <w:vAlign w:val="center"/>
                </w:tcPr>
                <w:p w14:paraId="1F5233C6">
                  <w:pPr>
                    <w:pStyle w:val="20"/>
                    <w:bidi w:val="0"/>
                    <w:rPr>
                      <w:rFonts w:hint="eastAsia" w:ascii="Times New Roman" w:hAnsi="Times New Roman" w:eastAsia="宋体" w:cs="宋体"/>
                      <w:color w:val="auto"/>
                      <w:kern w:val="2"/>
                      <w:sz w:val="21"/>
                      <w:szCs w:val="21"/>
                      <w:highlight w:val="none"/>
                      <w:lang w:val="en-US" w:eastAsia="zh-CN" w:bidi="ar-SA"/>
                    </w:rPr>
                  </w:pPr>
                  <w:r>
                    <w:rPr>
                      <w:color w:val="auto"/>
                      <w:highlight w:val="none"/>
                      <w:lang w:val="en-US" w:eastAsia="zh-CN"/>
                    </w:rPr>
                    <w:t>NH</w:t>
                  </w:r>
                  <w:r>
                    <w:rPr>
                      <w:color w:val="auto"/>
                      <w:highlight w:val="none"/>
                      <w:vertAlign w:val="subscript"/>
                      <w:lang w:val="en-US" w:eastAsia="zh-CN"/>
                    </w:rPr>
                    <w:t>3</w:t>
                  </w:r>
                  <w:r>
                    <w:rPr>
                      <w:color w:val="auto"/>
                      <w:highlight w:val="none"/>
                      <w:lang w:val="en-US" w:eastAsia="zh-CN"/>
                    </w:rPr>
                    <w:t>-N</w:t>
                  </w:r>
                </w:p>
              </w:tc>
              <w:tc>
                <w:tcPr>
                  <w:tcW w:w="0" w:type="auto"/>
                  <w:tcMar>
                    <w:top w:w="0" w:type="dxa"/>
                    <w:left w:w="57" w:type="dxa"/>
                    <w:bottom w:w="0" w:type="dxa"/>
                    <w:right w:w="57" w:type="dxa"/>
                  </w:tcMar>
                  <w:vAlign w:val="center"/>
                </w:tcPr>
                <w:p w14:paraId="66BE15F0">
                  <w:pPr>
                    <w:pStyle w:val="20"/>
                    <w:bidi w:val="0"/>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0.031</w:t>
                  </w:r>
                </w:p>
              </w:tc>
              <w:tc>
                <w:tcPr>
                  <w:tcW w:w="0" w:type="auto"/>
                  <w:tcMar>
                    <w:top w:w="0" w:type="dxa"/>
                    <w:left w:w="57" w:type="dxa"/>
                    <w:bottom w:w="0" w:type="dxa"/>
                    <w:right w:w="57" w:type="dxa"/>
                  </w:tcMar>
                  <w:vAlign w:val="center"/>
                </w:tcPr>
                <w:p w14:paraId="09D2B17E">
                  <w:pPr>
                    <w:pStyle w:val="20"/>
                    <w:bidi w:val="0"/>
                    <w:rPr>
                      <w:rFonts w:hint="default"/>
                      <w:color w:val="auto"/>
                      <w:highlight w:val="none"/>
                      <w:lang w:val="en-US" w:eastAsia="zh-CN"/>
                    </w:rPr>
                  </w:pPr>
                  <w:r>
                    <w:rPr>
                      <w:rFonts w:hint="default"/>
                      <w:color w:val="auto"/>
                      <w:highlight w:val="none"/>
                      <w:lang w:val="en-US" w:eastAsia="zh-CN"/>
                    </w:rPr>
                    <w:t>15</w:t>
                  </w:r>
                </w:p>
              </w:tc>
              <w:tc>
                <w:tcPr>
                  <w:tcW w:w="0" w:type="auto"/>
                  <w:tcMar>
                    <w:top w:w="0" w:type="dxa"/>
                    <w:left w:w="57" w:type="dxa"/>
                    <w:bottom w:w="0" w:type="dxa"/>
                    <w:right w:w="57" w:type="dxa"/>
                  </w:tcMar>
                  <w:vAlign w:val="center"/>
                </w:tcPr>
                <w:p w14:paraId="1C499A79">
                  <w:pPr>
                    <w:pStyle w:val="20"/>
                    <w:bidi w:val="0"/>
                    <w:rPr>
                      <w:rFonts w:hint="default"/>
                      <w:color w:val="auto"/>
                      <w:highlight w:val="none"/>
                      <w:lang w:val="en-US" w:eastAsia="zh-CN"/>
                    </w:rPr>
                  </w:pPr>
                  <w:r>
                    <w:rPr>
                      <w:rFonts w:hint="default"/>
                      <w:color w:val="auto"/>
                      <w:highlight w:val="none"/>
                      <w:lang w:val="en-US" w:eastAsia="zh-CN"/>
                    </w:rPr>
                    <w:t>0.0228</w:t>
                  </w:r>
                </w:p>
              </w:tc>
              <w:tc>
                <w:tcPr>
                  <w:tcW w:w="0" w:type="auto"/>
                  <w:tcMar>
                    <w:top w:w="0" w:type="dxa"/>
                    <w:left w:w="57" w:type="dxa"/>
                    <w:bottom w:w="0" w:type="dxa"/>
                    <w:right w:w="57" w:type="dxa"/>
                  </w:tcMar>
                  <w:vAlign w:val="center"/>
                </w:tcPr>
                <w:p w14:paraId="2EEFFC28">
                  <w:pPr>
                    <w:pStyle w:val="20"/>
                    <w:bidi w:val="0"/>
                    <w:rPr>
                      <w:color w:val="auto"/>
                      <w:highlight w:val="none"/>
                    </w:rPr>
                  </w:pPr>
                  <w:r>
                    <w:rPr>
                      <w:rFonts w:hint="default"/>
                      <w:color w:val="auto"/>
                      <w:highlight w:val="none"/>
                      <w:lang w:val="en-US" w:eastAsia="zh-CN"/>
                    </w:rPr>
                    <w:t>/</w:t>
                  </w:r>
                </w:p>
              </w:tc>
              <w:tc>
                <w:tcPr>
                  <w:tcW w:w="0" w:type="auto"/>
                  <w:tcMar>
                    <w:top w:w="0" w:type="dxa"/>
                    <w:left w:w="57" w:type="dxa"/>
                    <w:bottom w:w="0" w:type="dxa"/>
                    <w:right w:w="57" w:type="dxa"/>
                  </w:tcMar>
                  <w:vAlign w:val="center"/>
                </w:tcPr>
                <w:p w14:paraId="5DE9462A">
                  <w:pPr>
                    <w:pStyle w:val="20"/>
                    <w:bidi w:val="0"/>
                    <w:rPr>
                      <w:rFonts w:hint="eastAsia"/>
                      <w:color w:val="auto"/>
                      <w:highlight w:val="none"/>
                    </w:rPr>
                  </w:pPr>
                  <w:r>
                    <w:rPr>
                      <w:rFonts w:hint="default"/>
                      <w:color w:val="auto"/>
                      <w:highlight w:val="none"/>
                      <w:lang w:val="en-US" w:eastAsia="zh-CN"/>
                    </w:rPr>
                    <w:t>1.5</w:t>
                  </w:r>
                </w:p>
              </w:tc>
              <w:tc>
                <w:tcPr>
                  <w:tcW w:w="0" w:type="auto"/>
                  <w:tcMar>
                    <w:top w:w="0" w:type="dxa"/>
                    <w:left w:w="57" w:type="dxa"/>
                    <w:bottom w:w="0" w:type="dxa"/>
                    <w:right w:w="57" w:type="dxa"/>
                  </w:tcMar>
                  <w:vAlign w:val="center"/>
                </w:tcPr>
                <w:p w14:paraId="3A1B5BFE">
                  <w:pPr>
                    <w:pStyle w:val="20"/>
                    <w:bidi w:val="0"/>
                    <w:rPr>
                      <w:rFonts w:hint="default"/>
                      <w:color w:val="auto"/>
                      <w:highlight w:val="none"/>
                      <w:lang w:val="en-US" w:eastAsia="zh-CN"/>
                    </w:rPr>
                  </w:pPr>
                  <w:r>
                    <w:rPr>
                      <w:rFonts w:hint="default"/>
                      <w:color w:val="auto"/>
                      <w:highlight w:val="none"/>
                      <w:lang w:val="en-US" w:eastAsia="zh-CN"/>
                    </w:rPr>
                    <w:t>0.0023</w:t>
                  </w:r>
                </w:p>
              </w:tc>
            </w:tr>
            <w:tr w14:paraId="6241A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9" w:hRule="atLeast"/>
              </w:trPr>
              <w:tc>
                <w:tcPr>
                  <w:tcW w:w="0" w:type="auto"/>
                  <w:vMerge w:val="continue"/>
                  <w:shd w:val="clear" w:color="auto" w:fill="auto"/>
                  <w:tcMar>
                    <w:top w:w="0" w:type="dxa"/>
                    <w:left w:w="57" w:type="dxa"/>
                    <w:bottom w:w="0" w:type="dxa"/>
                    <w:right w:w="57" w:type="dxa"/>
                  </w:tcMar>
                  <w:vAlign w:val="center"/>
                </w:tcPr>
                <w:p w14:paraId="1A5E0599">
                  <w:pPr>
                    <w:pStyle w:val="20"/>
                    <w:bidi w:val="0"/>
                    <w:rPr>
                      <w:rFonts w:hint="eastAsia"/>
                      <w:color w:val="auto"/>
                      <w:highlight w:val="none"/>
                      <w:lang w:val="en-US" w:eastAsia="zh-CN"/>
                    </w:rPr>
                  </w:pPr>
                </w:p>
              </w:tc>
              <w:tc>
                <w:tcPr>
                  <w:tcW w:w="0" w:type="auto"/>
                  <w:shd w:val="clear" w:color="auto" w:fill="auto"/>
                  <w:tcMar>
                    <w:top w:w="0" w:type="dxa"/>
                    <w:left w:w="57" w:type="dxa"/>
                    <w:bottom w:w="0" w:type="dxa"/>
                    <w:right w:w="57" w:type="dxa"/>
                  </w:tcMar>
                  <w:vAlign w:val="center"/>
                </w:tcPr>
                <w:p w14:paraId="4AF7E4B4">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TP</w:t>
                  </w:r>
                </w:p>
              </w:tc>
              <w:tc>
                <w:tcPr>
                  <w:tcW w:w="0" w:type="auto"/>
                  <w:shd w:val="clear" w:color="auto" w:fill="auto"/>
                  <w:tcMar>
                    <w:top w:w="0" w:type="dxa"/>
                    <w:left w:w="57" w:type="dxa"/>
                    <w:bottom w:w="0" w:type="dxa"/>
                    <w:right w:w="57" w:type="dxa"/>
                  </w:tcMar>
                  <w:vAlign w:val="center"/>
                </w:tcPr>
                <w:p w14:paraId="37704BD2">
                  <w:pPr>
                    <w:keepNext w:val="0"/>
                    <w:keepLines w:val="0"/>
                    <w:widowControl/>
                    <w:suppressLineNumbers w:val="0"/>
                    <w:jc w:val="center"/>
                    <w:textAlignment w:val="center"/>
                    <w:rPr>
                      <w:rFonts w:hint="default" w:ascii="Times New Roman" w:hAnsi="Times New Roman" w:eastAsia="宋体" w:cstheme="minorBidi"/>
                      <w:color w:val="auto"/>
                      <w:kern w:val="2"/>
                      <w:sz w:val="24"/>
                      <w:szCs w:val="24"/>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0.007</w:t>
                  </w:r>
                </w:p>
              </w:tc>
              <w:tc>
                <w:tcPr>
                  <w:tcW w:w="0" w:type="auto"/>
                  <w:shd w:val="clear" w:color="auto" w:fill="auto"/>
                  <w:tcMar>
                    <w:top w:w="0" w:type="dxa"/>
                    <w:left w:w="57" w:type="dxa"/>
                    <w:bottom w:w="0" w:type="dxa"/>
                    <w:right w:w="57" w:type="dxa"/>
                  </w:tcMar>
                  <w:vAlign w:val="center"/>
                </w:tcPr>
                <w:p w14:paraId="3350998B">
                  <w:pPr>
                    <w:pStyle w:val="20"/>
                    <w:bidi w:val="0"/>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0.5</w:t>
                  </w:r>
                </w:p>
              </w:tc>
              <w:tc>
                <w:tcPr>
                  <w:tcW w:w="0" w:type="auto"/>
                  <w:tcMar>
                    <w:top w:w="0" w:type="dxa"/>
                    <w:left w:w="57" w:type="dxa"/>
                    <w:bottom w:w="0" w:type="dxa"/>
                    <w:right w:w="57" w:type="dxa"/>
                  </w:tcMar>
                  <w:vAlign w:val="center"/>
                </w:tcPr>
                <w:p w14:paraId="15D39C9A">
                  <w:pPr>
                    <w:pStyle w:val="20"/>
                    <w:bidi w:val="0"/>
                    <w:rPr>
                      <w:rFonts w:hint="default"/>
                      <w:color w:val="auto"/>
                      <w:highlight w:val="none"/>
                      <w:lang w:val="en-US" w:eastAsia="zh-CN"/>
                    </w:rPr>
                  </w:pPr>
                  <w:r>
                    <w:rPr>
                      <w:rFonts w:hint="default"/>
                      <w:color w:val="auto"/>
                      <w:highlight w:val="none"/>
                      <w:lang w:val="en-US" w:eastAsia="zh-CN"/>
                    </w:rPr>
                    <w:t>0.0008</w:t>
                  </w:r>
                </w:p>
              </w:tc>
              <w:tc>
                <w:tcPr>
                  <w:tcW w:w="0" w:type="auto"/>
                  <w:tcMar>
                    <w:top w:w="0" w:type="dxa"/>
                    <w:left w:w="57" w:type="dxa"/>
                    <w:bottom w:w="0" w:type="dxa"/>
                    <w:right w:w="57" w:type="dxa"/>
                  </w:tcMar>
                  <w:vAlign w:val="center"/>
                </w:tcPr>
                <w:p w14:paraId="4A8A9AFE">
                  <w:pPr>
                    <w:pStyle w:val="20"/>
                    <w:bidi w:val="0"/>
                    <w:rPr>
                      <w:rFonts w:hint="default"/>
                      <w:color w:val="auto"/>
                      <w:highlight w:val="none"/>
                      <w:lang w:val="en-US" w:eastAsia="zh-CN"/>
                    </w:rPr>
                  </w:pPr>
                  <w:r>
                    <w:rPr>
                      <w:rFonts w:hint="eastAsia"/>
                      <w:color w:val="auto"/>
                      <w:highlight w:val="none"/>
                      <w:lang w:val="en-US" w:eastAsia="zh-CN"/>
                    </w:rPr>
                    <w:t>/</w:t>
                  </w:r>
                </w:p>
              </w:tc>
              <w:tc>
                <w:tcPr>
                  <w:tcW w:w="0" w:type="auto"/>
                  <w:tcMar>
                    <w:top w:w="0" w:type="dxa"/>
                    <w:left w:w="57" w:type="dxa"/>
                    <w:bottom w:w="0" w:type="dxa"/>
                    <w:right w:w="57" w:type="dxa"/>
                  </w:tcMar>
                  <w:vAlign w:val="center"/>
                </w:tcPr>
                <w:p w14:paraId="3E3E9493">
                  <w:pPr>
                    <w:pStyle w:val="20"/>
                    <w:bidi w:val="0"/>
                    <w:rPr>
                      <w:rFonts w:hint="default"/>
                      <w:color w:val="auto"/>
                      <w:highlight w:val="none"/>
                      <w:lang w:val="en-US" w:eastAsia="zh-CN"/>
                    </w:rPr>
                  </w:pPr>
                  <w:r>
                    <w:rPr>
                      <w:rFonts w:hint="eastAsia"/>
                      <w:color w:val="auto"/>
                      <w:highlight w:val="none"/>
                      <w:lang w:val="en-US" w:eastAsia="zh-CN"/>
                    </w:rPr>
                    <w:t>0.3</w:t>
                  </w:r>
                </w:p>
              </w:tc>
              <w:tc>
                <w:tcPr>
                  <w:tcW w:w="0" w:type="auto"/>
                  <w:shd w:val="clear" w:color="auto" w:fill="auto"/>
                  <w:tcMar>
                    <w:top w:w="0" w:type="dxa"/>
                    <w:left w:w="57" w:type="dxa"/>
                    <w:bottom w:w="0" w:type="dxa"/>
                    <w:right w:w="57" w:type="dxa"/>
                  </w:tcMar>
                  <w:vAlign w:val="center"/>
                </w:tcPr>
                <w:p w14:paraId="1283184A">
                  <w:pPr>
                    <w:pStyle w:val="20"/>
                    <w:bidi w:val="0"/>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0.0005</w:t>
                  </w:r>
                </w:p>
              </w:tc>
            </w:tr>
            <w:tr w14:paraId="3BE39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0" w:type="auto"/>
                  <w:vMerge w:val="continue"/>
                  <w:shd w:val="clear" w:color="auto" w:fill="auto"/>
                  <w:tcMar>
                    <w:top w:w="0" w:type="dxa"/>
                    <w:left w:w="57" w:type="dxa"/>
                    <w:bottom w:w="0" w:type="dxa"/>
                    <w:right w:w="57" w:type="dxa"/>
                  </w:tcMar>
                  <w:vAlign w:val="center"/>
                </w:tcPr>
                <w:p w14:paraId="460F3381">
                  <w:pPr>
                    <w:pStyle w:val="20"/>
                    <w:bidi w:val="0"/>
                    <w:rPr>
                      <w:rFonts w:hint="eastAsia"/>
                      <w:color w:val="auto"/>
                      <w:highlight w:val="none"/>
                      <w:lang w:val="en-US" w:eastAsia="zh-CN"/>
                    </w:rPr>
                  </w:pPr>
                </w:p>
              </w:tc>
              <w:tc>
                <w:tcPr>
                  <w:tcW w:w="0" w:type="auto"/>
                  <w:shd w:val="clear" w:color="auto" w:fill="auto"/>
                  <w:tcMar>
                    <w:top w:w="0" w:type="dxa"/>
                    <w:left w:w="57" w:type="dxa"/>
                    <w:bottom w:w="0" w:type="dxa"/>
                    <w:right w:w="57" w:type="dxa"/>
                  </w:tcMar>
                  <w:vAlign w:val="center"/>
                </w:tcPr>
                <w:p w14:paraId="2A096503">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TN</w:t>
                  </w:r>
                </w:p>
              </w:tc>
              <w:tc>
                <w:tcPr>
                  <w:tcW w:w="0" w:type="auto"/>
                  <w:shd w:val="clear" w:color="auto" w:fill="auto"/>
                  <w:tcMar>
                    <w:top w:w="0" w:type="dxa"/>
                    <w:left w:w="57" w:type="dxa"/>
                    <w:bottom w:w="0" w:type="dxa"/>
                    <w:right w:w="57" w:type="dxa"/>
                  </w:tcMar>
                  <w:vAlign w:val="center"/>
                </w:tcPr>
                <w:p w14:paraId="4E32BE56">
                  <w:pPr>
                    <w:keepNext w:val="0"/>
                    <w:keepLines w:val="0"/>
                    <w:widowControl/>
                    <w:suppressLineNumbers w:val="0"/>
                    <w:jc w:val="center"/>
                    <w:textAlignment w:val="center"/>
                    <w:rPr>
                      <w:rFonts w:hint="default" w:ascii="Times New Roman" w:hAnsi="Times New Roman" w:eastAsia="宋体" w:cstheme="minorBidi"/>
                      <w:color w:val="auto"/>
                      <w:kern w:val="2"/>
                      <w:sz w:val="24"/>
                      <w:szCs w:val="24"/>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0.040</w:t>
                  </w:r>
                </w:p>
              </w:tc>
              <w:tc>
                <w:tcPr>
                  <w:tcW w:w="0" w:type="auto"/>
                  <w:shd w:val="clear" w:color="auto" w:fill="auto"/>
                  <w:tcMar>
                    <w:top w:w="0" w:type="dxa"/>
                    <w:left w:w="57" w:type="dxa"/>
                    <w:bottom w:w="0" w:type="dxa"/>
                    <w:right w:w="57" w:type="dxa"/>
                  </w:tcMar>
                  <w:vAlign w:val="center"/>
                </w:tcPr>
                <w:p w14:paraId="662C9483">
                  <w:pPr>
                    <w:pStyle w:val="20"/>
                    <w:bidi w:val="0"/>
                    <w:rPr>
                      <w:rFonts w:hint="default"/>
                      <w:color w:val="auto"/>
                      <w:highlight w:val="none"/>
                      <w:lang w:val="en-US" w:eastAsia="zh-CN"/>
                    </w:rPr>
                  </w:pPr>
                  <w:r>
                    <w:rPr>
                      <w:rFonts w:hint="eastAsia"/>
                      <w:color w:val="auto"/>
                      <w:highlight w:val="none"/>
                      <w:lang w:val="en-US" w:eastAsia="zh-CN"/>
                    </w:rPr>
                    <w:t>/</w:t>
                  </w:r>
                </w:p>
              </w:tc>
              <w:tc>
                <w:tcPr>
                  <w:tcW w:w="0" w:type="auto"/>
                  <w:tcMar>
                    <w:top w:w="0" w:type="dxa"/>
                    <w:left w:w="57" w:type="dxa"/>
                    <w:bottom w:w="0" w:type="dxa"/>
                    <w:right w:w="57" w:type="dxa"/>
                  </w:tcMar>
                  <w:vAlign w:val="center"/>
                </w:tcPr>
                <w:p w14:paraId="78E8338D">
                  <w:pPr>
                    <w:pStyle w:val="20"/>
                    <w:bidi w:val="0"/>
                    <w:rPr>
                      <w:rFonts w:hint="default"/>
                      <w:color w:val="auto"/>
                      <w:highlight w:val="none"/>
                      <w:lang w:val="en-US" w:eastAsia="zh-CN"/>
                    </w:rPr>
                  </w:pPr>
                  <w:r>
                    <w:rPr>
                      <w:rFonts w:hint="eastAsia"/>
                      <w:color w:val="auto"/>
                      <w:highlight w:val="none"/>
                      <w:lang w:val="en-US" w:eastAsia="zh-CN"/>
                    </w:rPr>
                    <w:t>/</w:t>
                  </w:r>
                </w:p>
              </w:tc>
              <w:tc>
                <w:tcPr>
                  <w:tcW w:w="0" w:type="auto"/>
                  <w:tcMar>
                    <w:top w:w="0" w:type="dxa"/>
                    <w:left w:w="57" w:type="dxa"/>
                    <w:bottom w:w="0" w:type="dxa"/>
                    <w:right w:w="57" w:type="dxa"/>
                  </w:tcMar>
                  <w:vAlign w:val="center"/>
                </w:tcPr>
                <w:p w14:paraId="3B5A11F3">
                  <w:pPr>
                    <w:pStyle w:val="20"/>
                    <w:bidi w:val="0"/>
                    <w:rPr>
                      <w:rFonts w:hint="default"/>
                      <w:color w:val="auto"/>
                      <w:highlight w:val="none"/>
                      <w:lang w:val="en-US" w:eastAsia="zh-CN"/>
                    </w:rPr>
                  </w:pPr>
                  <w:r>
                    <w:rPr>
                      <w:rFonts w:hint="eastAsia"/>
                      <w:color w:val="auto"/>
                      <w:highlight w:val="none"/>
                      <w:lang w:val="en-US" w:eastAsia="zh-CN"/>
                    </w:rPr>
                    <w:t>15</w:t>
                  </w:r>
                </w:p>
              </w:tc>
              <w:tc>
                <w:tcPr>
                  <w:tcW w:w="0" w:type="auto"/>
                  <w:tcMar>
                    <w:top w:w="0" w:type="dxa"/>
                    <w:left w:w="57" w:type="dxa"/>
                    <w:bottom w:w="0" w:type="dxa"/>
                    <w:right w:w="57" w:type="dxa"/>
                  </w:tcMar>
                  <w:vAlign w:val="center"/>
                </w:tcPr>
                <w:p w14:paraId="3A380EF8">
                  <w:pPr>
                    <w:pStyle w:val="20"/>
                    <w:bidi w:val="0"/>
                    <w:rPr>
                      <w:rFonts w:hint="default"/>
                      <w:color w:val="auto"/>
                      <w:highlight w:val="none"/>
                      <w:lang w:val="en-US" w:eastAsia="zh-CN"/>
                    </w:rPr>
                  </w:pPr>
                  <w:r>
                    <w:rPr>
                      <w:rFonts w:hint="eastAsia"/>
                      <w:color w:val="auto"/>
                      <w:highlight w:val="none"/>
                      <w:lang w:val="en-US" w:eastAsia="zh-CN"/>
                    </w:rPr>
                    <w:t>/</w:t>
                  </w:r>
                </w:p>
              </w:tc>
              <w:tc>
                <w:tcPr>
                  <w:tcW w:w="0" w:type="auto"/>
                  <w:shd w:val="clear" w:color="auto" w:fill="auto"/>
                  <w:tcMar>
                    <w:top w:w="0" w:type="dxa"/>
                    <w:left w:w="57" w:type="dxa"/>
                    <w:bottom w:w="0" w:type="dxa"/>
                    <w:right w:w="57" w:type="dxa"/>
                  </w:tcMar>
                  <w:vAlign w:val="center"/>
                </w:tcPr>
                <w:p w14:paraId="1273B454">
                  <w:pPr>
                    <w:pStyle w:val="20"/>
                    <w:bidi w:val="0"/>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0.0228</w:t>
                  </w:r>
                </w:p>
              </w:tc>
            </w:tr>
          </w:tbl>
          <w:p w14:paraId="694E9C00">
            <w:pPr>
              <w:pStyle w:val="18"/>
              <w:rPr>
                <w:rFonts w:hint="eastAsia"/>
                <w:color w:val="auto"/>
                <w:highlight w:val="none"/>
                <w:lang w:val="en-US" w:eastAsia="zh-CN"/>
              </w:rPr>
            </w:pPr>
            <w:r>
              <w:rPr>
                <w:rFonts w:hint="eastAsia"/>
                <w:color w:val="auto"/>
                <w:highlight w:val="none"/>
              </w:rPr>
              <w:t>大气污染物有组织排放量</w:t>
            </w:r>
            <w:r>
              <w:rPr>
                <w:rFonts w:hint="eastAsia"/>
                <w:color w:val="auto"/>
                <w:highlight w:val="none"/>
                <w:lang w:val="en-US" w:eastAsia="zh-CN"/>
              </w:rPr>
              <w:t>如下：</w:t>
            </w:r>
          </w:p>
          <w:p w14:paraId="2861A793">
            <w:pPr>
              <w:pStyle w:val="19"/>
              <w:bidi w:val="0"/>
              <w:rPr>
                <w:rFonts w:hint="default"/>
                <w:color w:val="auto"/>
                <w:highlight w:val="none"/>
                <w:lang w:val="en-US" w:eastAsia="zh-CN"/>
              </w:rPr>
            </w:pPr>
            <w:bookmarkStart w:id="32" w:name="_Ref2637"/>
            <w:r>
              <w:rPr>
                <w:color w:val="auto"/>
                <w:highlight w:val="none"/>
              </w:rPr>
              <w:t>表3-</w:t>
            </w:r>
            <w:r>
              <w:rPr>
                <w:color w:val="auto"/>
                <w:highlight w:val="none"/>
              </w:rPr>
              <w:fldChar w:fldCharType="begin"/>
            </w:r>
            <w:r>
              <w:rPr>
                <w:color w:val="auto"/>
                <w:highlight w:val="none"/>
              </w:rPr>
              <w:instrText xml:space="preserve"> SEQ 表3- \* ARABIC </w:instrText>
            </w:r>
            <w:r>
              <w:rPr>
                <w:color w:val="auto"/>
                <w:highlight w:val="none"/>
              </w:rPr>
              <w:fldChar w:fldCharType="separate"/>
            </w:r>
            <w:r>
              <w:rPr>
                <w:color w:val="auto"/>
                <w:highlight w:val="none"/>
              </w:rPr>
              <w:t>11</w:t>
            </w:r>
            <w:r>
              <w:rPr>
                <w:color w:val="auto"/>
                <w:highlight w:val="none"/>
              </w:rPr>
              <w:fldChar w:fldCharType="end"/>
            </w:r>
            <w:bookmarkEnd w:id="32"/>
            <w:r>
              <w:rPr>
                <w:rFonts w:hint="eastAsia"/>
                <w:color w:val="auto"/>
                <w:highlight w:val="none"/>
              </w:rPr>
              <w:t xml:space="preserve">  </w:t>
            </w:r>
            <w:r>
              <w:rPr>
                <w:rFonts w:hint="eastAsia" w:ascii="Times New Roman" w:hAnsi="Times New Roman" w:cs="Times New Roman"/>
                <w:color w:val="auto"/>
                <w:highlight w:val="none"/>
                <w:lang w:val="en-US" w:eastAsia="zh-CN"/>
              </w:rPr>
              <w:t xml:space="preserve"> </w:t>
            </w:r>
            <w:r>
              <w:rPr>
                <w:rFonts w:hint="eastAsia"/>
                <w:color w:val="auto"/>
                <w:highlight w:val="none"/>
                <w:lang w:val="en-US" w:eastAsia="zh-CN"/>
              </w:rPr>
              <w:t>项目</w:t>
            </w:r>
            <w:r>
              <w:rPr>
                <w:rFonts w:hint="eastAsia" w:cs="Times New Roman"/>
                <w:color w:val="auto"/>
                <w:highlight w:val="none"/>
                <w:lang w:val="en-US" w:eastAsia="zh-CN"/>
              </w:rPr>
              <w:t>扩建后全厂</w:t>
            </w:r>
            <w:r>
              <w:rPr>
                <w:rFonts w:hint="eastAsia"/>
                <w:color w:val="auto"/>
                <w:highlight w:val="none"/>
                <w:lang w:val="en-US" w:eastAsia="zh-CN"/>
              </w:rPr>
              <w:t>废气污染物排放总量控制</w:t>
            </w:r>
          </w:p>
          <w:tbl>
            <w:tblPr>
              <w:tblStyle w:val="1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36"/>
              <w:gridCol w:w="1469"/>
              <w:gridCol w:w="1712"/>
              <w:gridCol w:w="736"/>
              <w:gridCol w:w="1959"/>
              <w:gridCol w:w="1713"/>
            </w:tblGrid>
            <w:tr w14:paraId="573E4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442" w:type="pct"/>
                  <w:shd w:val="clear" w:color="auto" w:fill="auto"/>
                  <w:vAlign w:val="center"/>
                </w:tcPr>
                <w:p w14:paraId="1E828B41">
                  <w:pPr>
                    <w:pStyle w:val="20"/>
                    <w:bidi w:val="0"/>
                    <w:rPr>
                      <w:rFonts w:hint="default"/>
                      <w:b/>
                      <w:bCs/>
                      <w:color w:val="auto"/>
                      <w:highlight w:val="none"/>
                      <w:lang w:val="en-US" w:eastAsia="zh-CN"/>
                    </w:rPr>
                  </w:pPr>
                  <w:r>
                    <w:rPr>
                      <w:rFonts w:hint="eastAsia"/>
                      <w:b/>
                      <w:bCs/>
                      <w:color w:val="auto"/>
                      <w:highlight w:val="none"/>
                      <w:lang w:val="en-US" w:eastAsia="zh-CN"/>
                    </w:rPr>
                    <w:t>序号</w:t>
                  </w:r>
                </w:p>
              </w:tc>
              <w:tc>
                <w:tcPr>
                  <w:tcW w:w="882" w:type="pct"/>
                  <w:shd w:val="clear" w:color="auto" w:fill="auto"/>
                  <w:vAlign w:val="center"/>
                </w:tcPr>
                <w:p w14:paraId="26BA2B78">
                  <w:pPr>
                    <w:pStyle w:val="20"/>
                    <w:bidi w:val="0"/>
                    <w:rPr>
                      <w:rFonts w:hint="default"/>
                      <w:b/>
                      <w:bCs/>
                      <w:color w:val="auto"/>
                      <w:highlight w:val="none"/>
                      <w:lang w:val="en-US" w:eastAsia="zh-CN"/>
                    </w:rPr>
                  </w:pPr>
                  <w:r>
                    <w:rPr>
                      <w:rFonts w:hint="eastAsia"/>
                      <w:b/>
                      <w:bCs/>
                      <w:color w:val="auto"/>
                      <w:highlight w:val="none"/>
                      <w:lang w:val="en-US" w:eastAsia="zh-CN"/>
                    </w:rPr>
                    <w:t>污染物</w:t>
                  </w:r>
                </w:p>
              </w:tc>
              <w:tc>
                <w:tcPr>
                  <w:tcW w:w="1028" w:type="pct"/>
                  <w:shd w:val="clear" w:color="auto" w:fill="auto"/>
                  <w:noWrap/>
                  <w:vAlign w:val="center"/>
                </w:tcPr>
                <w:p w14:paraId="40CC4E10">
                  <w:pPr>
                    <w:pStyle w:val="20"/>
                    <w:bidi w:val="0"/>
                    <w:rPr>
                      <w:rFonts w:hint="default"/>
                      <w:b/>
                      <w:bCs/>
                      <w:color w:val="auto"/>
                      <w:highlight w:val="none"/>
                      <w:lang w:val="en-US" w:eastAsia="zh-CN"/>
                    </w:rPr>
                  </w:pPr>
                  <w:r>
                    <w:rPr>
                      <w:rFonts w:hint="eastAsia"/>
                      <w:b/>
                      <w:bCs/>
                      <w:color w:val="auto"/>
                      <w:highlight w:val="none"/>
                      <w:lang w:val="en-US" w:eastAsia="zh-CN"/>
                    </w:rPr>
                    <w:t>有组织排放量</w:t>
                  </w:r>
                </w:p>
              </w:tc>
              <w:tc>
                <w:tcPr>
                  <w:tcW w:w="442" w:type="pct"/>
                  <w:shd w:val="clear" w:color="auto" w:fill="auto"/>
                  <w:noWrap/>
                  <w:vAlign w:val="center"/>
                </w:tcPr>
                <w:p w14:paraId="5C65895D">
                  <w:pPr>
                    <w:pStyle w:val="20"/>
                    <w:bidi w:val="0"/>
                    <w:rPr>
                      <w:rFonts w:hint="eastAsia"/>
                      <w:b/>
                      <w:bCs/>
                      <w:color w:val="auto"/>
                      <w:highlight w:val="none"/>
                      <w:lang w:val="en-US" w:eastAsia="zh-CN"/>
                    </w:rPr>
                  </w:pPr>
                  <w:r>
                    <w:rPr>
                      <w:rFonts w:hint="eastAsia"/>
                      <w:b/>
                      <w:bCs/>
                      <w:color w:val="auto"/>
                      <w:highlight w:val="none"/>
                      <w:lang w:val="en-US" w:eastAsia="zh-CN"/>
                    </w:rPr>
                    <w:t>序号</w:t>
                  </w:r>
                </w:p>
              </w:tc>
              <w:tc>
                <w:tcPr>
                  <w:tcW w:w="1176" w:type="pct"/>
                  <w:shd w:val="clear" w:color="auto" w:fill="auto"/>
                  <w:noWrap/>
                  <w:vAlign w:val="center"/>
                </w:tcPr>
                <w:p w14:paraId="7AA4F0D2">
                  <w:pPr>
                    <w:pStyle w:val="20"/>
                    <w:bidi w:val="0"/>
                    <w:rPr>
                      <w:rFonts w:hint="eastAsia"/>
                      <w:b/>
                      <w:bCs/>
                      <w:color w:val="auto"/>
                      <w:highlight w:val="none"/>
                      <w:lang w:val="en-US" w:eastAsia="zh-CN"/>
                    </w:rPr>
                  </w:pPr>
                  <w:r>
                    <w:rPr>
                      <w:rFonts w:hint="eastAsia"/>
                      <w:b/>
                      <w:bCs/>
                      <w:color w:val="auto"/>
                      <w:highlight w:val="none"/>
                      <w:lang w:val="en-US" w:eastAsia="zh-CN"/>
                    </w:rPr>
                    <w:t>污染物</w:t>
                  </w:r>
                </w:p>
              </w:tc>
              <w:tc>
                <w:tcPr>
                  <w:tcW w:w="1028" w:type="pct"/>
                  <w:shd w:val="clear" w:color="auto" w:fill="auto"/>
                  <w:noWrap/>
                  <w:vAlign w:val="center"/>
                </w:tcPr>
                <w:p w14:paraId="33655951">
                  <w:pPr>
                    <w:pStyle w:val="20"/>
                    <w:bidi w:val="0"/>
                    <w:rPr>
                      <w:rFonts w:hint="eastAsia"/>
                      <w:b/>
                      <w:bCs/>
                      <w:color w:val="auto"/>
                      <w:highlight w:val="none"/>
                      <w:lang w:val="en-US" w:eastAsia="zh-CN"/>
                    </w:rPr>
                  </w:pPr>
                  <w:r>
                    <w:rPr>
                      <w:rFonts w:hint="eastAsia"/>
                      <w:b/>
                      <w:bCs/>
                      <w:color w:val="auto"/>
                      <w:highlight w:val="none"/>
                      <w:lang w:val="en-US" w:eastAsia="zh-CN"/>
                    </w:rPr>
                    <w:t>有组织排放量</w:t>
                  </w:r>
                </w:p>
              </w:tc>
            </w:tr>
            <w:tr w14:paraId="0D6F2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42" w:type="pct"/>
                  <w:shd w:val="clear" w:color="auto" w:fill="auto"/>
                  <w:vAlign w:val="center"/>
                </w:tcPr>
                <w:p w14:paraId="6D46689D">
                  <w:pPr>
                    <w:pStyle w:val="20"/>
                    <w:bidi w:val="0"/>
                    <w:rPr>
                      <w:rFonts w:hint="default"/>
                      <w:color w:val="auto"/>
                      <w:highlight w:val="none"/>
                      <w:lang w:val="en-US" w:eastAsia="zh-CN"/>
                    </w:rPr>
                  </w:pPr>
                  <w:r>
                    <w:rPr>
                      <w:rFonts w:hint="eastAsia"/>
                      <w:color w:val="auto"/>
                      <w:highlight w:val="none"/>
                      <w:lang w:val="en-US" w:eastAsia="zh-CN"/>
                    </w:rPr>
                    <w:t>1</w:t>
                  </w:r>
                </w:p>
              </w:tc>
              <w:tc>
                <w:tcPr>
                  <w:tcW w:w="882" w:type="pct"/>
                  <w:shd w:val="clear" w:color="auto" w:fill="auto"/>
                  <w:vAlign w:val="center"/>
                </w:tcPr>
                <w:p w14:paraId="351C1A5B">
                  <w:pPr>
                    <w:pStyle w:val="20"/>
                    <w:bidi w:val="0"/>
                    <w:rPr>
                      <w:rFonts w:hint="eastAsia"/>
                      <w:color w:val="auto"/>
                      <w:highlight w:val="none"/>
                    </w:rPr>
                  </w:pPr>
                  <w:r>
                    <w:rPr>
                      <w:rFonts w:hint="eastAsia"/>
                      <w:color w:val="auto"/>
                      <w:highlight w:val="none"/>
                      <w:lang w:val="en-US" w:eastAsia="zh-CN"/>
                    </w:rPr>
                    <w:t>非甲烷总烃</w:t>
                  </w:r>
                </w:p>
              </w:tc>
              <w:tc>
                <w:tcPr>
                  <w:tcW w:w="1028" w:type="pct"/>
                  <w:shd w:val="clear" w:color="auto" w:fill="auto"/>
                  <w:noWrap/>
                  <w:vAlign w:val="center"/>
                </w:tcPr>
                <w:p w14:paraId="6A9C2260">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0.6454</w:t>
                  </w:r>
                </w:p>
              </w:tc>
              <w:tc>
                <w:tcPr>
                  <w:tcW w:w="442" w:type="pct"/>
                  <w:shd w:val="clear" w:color="auto" w:fill="auto"/>
                  <w:noWrap/>
                  <w:vAlign w:val="center"/>
                </w:tcPr>
                <w:p w14:paraId="6AE58A70">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6</w:t>
                  </w:r>
                </w:p>
              </w:tc>
              <w:tc>
                <w:tcPr>
                  <w:tcW w:w="1176" w:type="pct"/>
                  <w:shd w:val="clear" w:color="auto" w:fill="auto"/>
                  <w:noWrap/>
                  <w:vAlign w:val="center"/>
                </w:tcPr>
                <w:p w14:paraId="3FABB22E">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乙苯</w:t>
                  </w:r>
                </w:p>
              </w:tc>
              <w:tc>
                <w:tcPr>
                  <w:tcW w:w="1028" w:type="pct"/>
                  <w:shd w:val="clear" w:color="auto" w:fill="auto"/>
                  <w:noWrap/>
                  <w:vAlign w:val="center"/>
                </w:tcPr>
                <w:p w14:paraId="519EBF9A">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0.0176</w:t>
                  </w:r>
                </w:p>
              </w:tc>
            </w:tr>
            <w:tr w14:paraId="3256F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42" w:type="pct"/>
                  <w:shd w:val="clear" w:color="auto" w:fill="auto"/>
                  <w:vAlign w:val="center"/>
                </w:tcPr>
                <w:p w14:paraId="4FD46FE7">
                  <w:pPr>
                    <w:pStyle w:val="20"/>
                    <w:bidi w:val="0"/>
                    <w:rPr>
                      <w:rFonts w:hint="default"/>
                      <w:color w:val="auto"/>
                      <w:highlight w:val="none"/>
                      <w:lang w:val="en-US" w:eastAsia="zh-CN"/>
                    </w:rPr>
                  </w:pPr>
                  <w:r>
                    <w:rPr>
                      <w:rFonts w:hint="eastAsia"/>
                      <w:color w:val="auto"/>
                      <w:highlight w:val="none"/>
                      <w:lang w:val="en-US" w:eastAsia="zh-CN"/>
                    </w:rPr>
                    <w:t>2</w:t>
                  </w:r>
                </w:p>
              </w:tc>
              <w:tc>
                <w:tcPr>
                  <w:tcW w:w="882" w:type="pct"/>
                  <w:shd w:val="clear" w:color="auto" w:fill="auto"/>
                  <w:vAlign w:val="center"/>
                </w:tcPr>
                <w:p w14:paraId="1298AA94">
                  <w:pPr>
                    <w:pStyle w:val="20"/>
                    <w:bidi w:val="0"/>
                    <w:rPr>
                      <w:rFonts w:hint="eastAsia"/>
                      <w:color w:val="auto"/>
                      <w:highlight w:val="none"/>
                    </w:rPr>
                  </w:pPr>
                  <w:r>
                    <w:rPr>
                      <w:rFonts w:hint="eastAsia"/>
                      <w:color w:val="auto"/>
                      <w:highlight w:val="none"/>
                      <w:lang w:val="en-US" w:eastAsia="zh-CN"/>
                    </w:rPr>
                    <w:t>丙烯腈</w:t>
                  </w:r>
                </w:p>
              </w:tc>
              <w:tc>
                <w:tcPr>
                  <w:tcW w:w="1028" w:type="pct"/>
                  <w:shd w:val="clear" w:color="auto" w:fill="auto"/>
                  <w:noWrap/>
                  <w:vAlign w:val="center"/>
                </w:tcPr>
                <w:p w14:paraId="2B5C128A">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0.0067</w:t>
                  </w:r>
                </w:p>
              </w:tc>
              <w:tc>
                <w:tcPr>
                  <w:tcW w:w="442" w:type="pct"/>
                  <w:shd w:val="clear" w:color="auto" w:fill="auto"/>
                  <w:noWrap/>
                  <w:vAlign w:val="center"/>
                </w:tcPr>
                <w:p w14:paraId="70126684">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7</w:t>
                  </w:r>
                </w:p>
              </w:tc>
              <w:tc>
                <w:tcPr>
                  <w:tcW w:w="1176" w:type="pct"/>
                  <w:shd w:val="clear" w:color="auto" w:fill="auto"/>
                  <w:noWrap/>
                  <w:vAlign w:val="center"/>
                </w:tcPr>
                <w:p w14:paraId="23CD1D1F">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甲基丙烯酸甲酯</w:t>
                  </w:r>
                </w:p>
              </w:tc>
              <w:tc>
                <w:tcPr>
                  <w:tcW w:w="1028" w:type="pct"/>
                  <w:shd w:val="clear" w:color="auto" w:fill="auto"/>
                  <w:noWrap/>
                  <w:vAlign w:val="center"/>
                </w:tcPr>
                <w:p w14:paraId="00CAE5D1">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0.0723</w:t>
                  </w:r>
                </w:p>
              </w:tc>
            </w:tr>
            <w:tr w14:paraId="2CCDA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42" w:type="pct"/>
                  <w:shd w:val="clear" w:color="auto" w:fill="auto"/>
                  <w:vAlign w:val="center"/>
                </w:tcPr>
                <w:p w14:paraId="1522CC45">
                  <w:pPr>
                    <w:pStyle w:val="20"/>
                    <w:bidi w:val="0"/>
                    <w:rPr>
                      <w:rFonts w:hint="default"/>
                      <w:color w:val="auto"/>
                      <w:highlight w:val="none"/>
                      <w:lang w:val="en-US" w:eastAsia="zh-CN"/>
                    </w:rPr>
                  </w:pPr>
                  <w:r>
                    <w:rPr>
                      <w:rFonts w:hint="eastAsia"/>
                      <w:color w:val="auto"/>
                      <w:highlight w:val="none"/>
                      <w:lang w:val="en-US" w:eastAsia="zh-CN"/>
                    </w:rPr>
                    <w:t>3</w:t>
                  </w:r>
                </w:p>
              </w:tc>
              <w:tc>
                <w:tcPr>
                  <w:tcW w:w="882" w:type="pct"/>
                  <w:shd w:val="clear" w:color="auto" w:fill="auto"/>
                  <w:vAlign w:val="center"/>
                </w:tcPr>
                <w:p w14:paraId="55064EA3">
                  <w:pPr>
                    <w:pStyle w:val="20"/>
                    <w:bidi w:val="0"/>
                    <w:rPr>
                      <w:rFonts w:hint="eastAsia"/>
                      <w:color w:val="auto"/>
                      <w:highlight w:val="none"/>
                    </w:rPr>
                  </w:pPr>
                  <w:r>
                    <w:rPr>
                      <w:rFonts w:hint="eastAsia"/>
                      <w:color w:val="auto"/>
                      <w:highlight w:val="none"/>
                      <w:lang w:val="en-US" w:eastAsia="zh-CN"/>
                    </w:rPr>
                    <w:t>1,3-丁二烯</w:t>
                  </w:r>
                </w:p>
              </w:tc>
              <w:tc>
                <w:tcPr>
                  <w:tcW w:w="1028" w:type="pct"/>
                  <w:shd w:val="clear" w:color="auto" w:fill="auto"/>
                  <w:noWrap/>
                  <w:vAlign w:val="center"/>
                </w:tcPr>
                <w:p w14:paraId="5EBB5ABE">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0.0003</w:t>
                  </w:r>
                </w:p>
              </w:tc>
              <w:tc>
                <w:tcPr>
                  <w:tcW w:w="442" w:type="pct"/>
                  <w:shd w:val="clear" w:color="auto" w:fill="auto"/>
                  <w:noWrap/>
                  <w:vAlign w:val="center"/>
                </w:tcPr>
                <w:p w14:paraId="42C6C1E1">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8</w:t>
                  </w:r>
                </w:p>
              </w:tc>
              <w:tc>
                <w:tcPr>
                  <w:tcW w:w="1176" w:type="pct"/>
                  <w:shd w:val="clear" w:color="auto" w:fill="auto"/>
                  <w:noWrap/>
                  <w:vAlign w:val="center"/>
                </w:tcPr>
                <w:p w14:paraId="51D64A0B">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丙烯酸甲酯</w:t>
                  </w:r>
                </w:p>
              </w:tc>
              <w:tc>
                <w:tcPr>
                  <w:tcW w:w="1028" w:type="pct"/>
                  <w:shd w:val="clear" w:color="auto" w:fill="auto"/>
                  <w:noWrap/>
                  <w:vAlign w:val="center"/>
                </w:tcPr>
                <w:p w14:paraId="7C26DFCF">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0.0019</w:t>
                  </w:r>
                </w:p>
              </w:tc>
            </w:tr>
            <w:tr w14:paraId="060AA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42" w:type="pct"/>
                  <w:shd w:val="clear" w:color="auto" w:fill="auto"/>
                  <w:vAlign w:val="center"/>
                </w:tcPr>
                <w:p w14:paraId="4572FEE9">
                  <w:pPr>
                    <w:pStyle w:val="20"/>
                    <w:bidi w:val="0"/>
                    <w:rPr>
                      <w:rFonts w:hint="default"/>
                      <w:color w:val="auto"/>
                      <w:highlight w:val="none"/>
                      <w:lang w:val="en-US" w:eastAsia="zh-CN"/>
                    </w:rPr>
                  </w:pPr>
                  <w:r>
                    <w:rPr>
                      <w:rFonts w:hint="eastAsia"/>
                      <w:color w:val="auto"/>
                      <w:highlight w:val="none"/>
                      <w:lang w:val="en-US" w:eastAsia="zh-CN"/>
                    </w:rPr>
                    <w:t>4</w:t>
                  </w:r>
                </w:p>
              </w:tc>
              <w:tc>
                <w:tcPr>
                  <w:tcW w:w="882" w:type="pct"/>
                  <w:shd w:val="clear" w:color="auto" w:fill="auto"/>
                  <w:vAlign w:val="center"/>
                </w:tcPr>
                <w:p w14:paraId="71759B03">
                  <w:pPr>
                    <w:pStyle w:val="20"/>
                    <w:bidi w:val="0"/>
                    <w:rPr>
                      <w:rFonts w:hint="eastAsia"/>
                      <w:color w:val="auto"/>
                      <w:highlight w:val="none"/>
                    </w:rPr>
                  </w:pPr>
                  <w:r>
                    <w:rPr>
                      <w:rFonts w:hint="eastAsia"/>
                      <w:color w:val="auto"/>
                      <w:highlight w:val="none"/>
                      <w:lang w:val="en-US" w:eastAsia="zh-CN"/>
                    </w:rPr>
                    <w:t>苯乙烯</w:t>
                  </w:r>
                </w:p>
              </w:tc>
              <w:tc>
                <w:tcPr>
                  <w:tcW w:w="1028" w:type="pct"/>
                  <w:shd w:val="clear" w:color="auto" w:fill="auto"/>
                  <w:noWrap/>
                  <w:vAlign w:val="center"/>
                </w:tcPr>
                <w:p w14:paraId="135BB2F3">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0.1494</w:t>
                  </w:r>
                </w:p>
              </w:tc>
              <w:tc>
                <w:tcPr>
                  <w:tcW w:w="442" w:type="pct"/>
                  <w:shd w:val="clear" w:color="auto" w:fill="auto"/>
                  <w:noWrap/>
                  <w:vAlign w:val="center"/>
                </w:tcPr>
                <w:p w14:paraId="1C3BF4B6">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9</w:t>
                  </w:r>
                </w:p>
              </w:tc>
              <w:tc>
                <w:tcPr>
                  <w:tcW w:w="1176" w:type="pct"/>
                  <w:shd w:val="clear" w:color="auto" w:fill="auto"/>
                  <w:noWrap/>
                  <w:vAlign w:val="center"/>
                </w:tcPr>
                <w:p w14:paraId="42E09CD3">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丙烯酸</w:t>
                  </w:r>
                </w:p>
              </w:tc>
              <w:tc>
                <w:tcPr>
                  <w:tcW w:w="1028" w:type="pct"/>
                  <w:shd w:val="clear" w:color="auto" w:fill="auto"/>
                  <w:noWrap/>
                  <w:vAlign w:val="center"/>
                </w:tcPr>
                <w:p w14:paraId="39F29292">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0.0266</w:t>
                  </w:r>
                </w:p>
              </w:tc>
            </w:tr>
            <w:tr w14:paraId="7F818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42" w:type="pct"/>
                  <w:shd w:val="clear" w:color="auto" w:fill="auto"/>
                  <w:vAlign w:val="center"/>
                </w:tcPr>
                <w:p w14:paraId="6F9D2A1B">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5</w:t>
                  </w:r>
                </w:p>
              </w:tc>
              <w:tc>
                <w:tcPr>
                  <w:tcW w:w="882" w:type="pct"/>
                  <w:shd w:val="clear" w:color="auto" w:fill="auto"/>
                  <w:vAlign w:val="center"/>
                </w:tcPr>
                <w:p w14:paraId="6E8966CE">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甲苯</w:t>
                  </w:r>
                </w:p>
              </w:tc>
              <w:tc>
                <w:tcPr>
                  <w:tcW w:w="1028" w:type="pct"/>
                  <w:shd w:val="clear" w:color="auto" w:fill="auto"/>
                  <w:noWrap/>
                  <w:vAlign w:val="center"/>
                </w:tcPr>
                <w:p w14:paraId="6A8395FF">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0.0042</w:t>
                  </w:r>
                </w:p>
              </w:tc>
              <w:tc>
                <w:tcPr>
                  <w:tcW w:w="442" w:type="pct"/>
                  <w:shd w:val="clear" w:color="auto" w:fill="auto"/>
                  <w:noWrap/>
                  <w:vAlign w:val="center"/>
                </w:tcPr>
                <w:p w14:paraId="6E0ACD1B">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10</w:t>
                  </w:r>
                </w:p>
              </w:tc>
              <w:tc>
                <w:tcPr>
                  <w:tcW w:w="1176" w:type="pct"/>
                  <w:shd w:val="clear" w:color="auto" w:fill="auto"/>
                  <w:noWrap/>
                  <w:vAlign w:val="center"/>
                </w:tcPr>
                <w:p w14:paraId="50C8DD4C">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丙烯酸丁酯</w:t>
                  </w:r>
                </w:p>
              </w:tc>
              <w:tc>
                <w:tcPr>
                  <w:tcW w:w="1028" w:type="pct"/>
                  <w:shd w:val="clear" w:color="auto" w:fill="auto"/>
                  <w:noWrap/>
                  <w:vAlign w:val="center"/>
                </w:tcPr>
                <w:p w14:paraId="6AB4F4FE">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0.1328</w:t>
                  </w:r>
                </w:p>
              </w:tc>
            </w:tr>
          </w:tbl>
          <w:p w14:paraId="51A90271">
            <w:pPr>
              <w:rPr>
                <w:color w:val="auto"/>
                <w:highlight w:val="none"/>
              </w:rPr>
            </w:pPr>
          </w:p>
          <w:p w14:paraId="1B2FCA7D">
            <w:pPr>
              <w:rPr>
                <w:color w:val="auto"/>
                <w:highlight w:val="none"/>
              </w:rPr>
            </w:pPr>
          </w:p>
          <w:p w14:paraId="45248824">
            <w:pPr>
              <w:rPr>
                <w:color w:val="auto"/>
                <w:highlight w:val="none"/>
              </w:rPr>
            </w:pPr>
          </w:p>
          <w:p w14:paraId="0CBC5E74">
            <w:pPr>
              <w:rPr>
                <w:color w:val="auto"/>
                <w:highlight w:val="none"/>
              </w:rPr>
            </w:pPr>
          </w:p>
          <w:p w14:paraId="7D451223">
            <w:pPr>
              <w:rPr>
                <w:color w:val="auto"/>
                <w:highlight w:val="none"/>
              </w:rPr>
            </w:pPr>
          </w:p>
          <w:p w14:paraId="027A8DCC">
            <w:pPr>
              <w:rPr>
                <w:color w:val="auto"/>
                <w:highlight w:val="none"/>
              </w:rPr>
            </w:pPr>
          </w:p>
          <w:p w14:paraId="1E4A3D9F">
            <w:pPr>
              <w:rPr>
                <w:color w:val="auto"/>
                <w:highlight w:val="none"/>
              </w:rPr>
            </w:pPr>
          </w:p>
          <w:p w14:paraId="1122CDA2">
            <w:pPr>
              <w:rPr>
                <w:color w:val="auto"/>
                <w:highlight w:val="none"/>
              </w:rPr>
            </w:pPr>
          </w:p>
          <w:p w14:paraId="3E51BD01">
            <w:pPr>
              <w:rPr>
                <w:color w:val="auto"/>
                <w:highlight w:val="none"/>
              </w:rPr>
            </w:pPr>
          </w:p>
          <w:p w14:paraId="37AF9FBA">
            <w:pPr>
              <w:rPr>
                <w:color w:val="auto"/>
                <w:highlight w:val="none"/>
              </w:rPr>
            </w:pPr>
          </w:p>
          <w:p w14:paraId="63436900">
            <w:pPr>
              <w:rPr>
                <w:color w:val="auto"/>
                <w:highlight w:val="none"/>
              </w:rPr>
            </w:pPr>
          </w:p>
          <w:p w14:paraId="7F31516F">
            <w:pPr>
              <w:rPr>
                <w:color w:val="auto"/>
                <w:highlight w:val="none"/>
              </w:rPr>
            </w:pPr>
          </w:p>
          <w:p w14:paraId="798DCF61">
            <w:pPr>
              <w:rPr>
                <w:color w:val="auto"/>
                <w:highlight w:val="none"/>
              </w:rPr>
            </w:pPr>
          </w:p>
          <w:p w14:paraId="465235E9">
            <w:pPr>
              <w:rPr>
                <w:color w:val="auto"/>
                <w:highlight w:val="none"/>
              </w:rPr>
            </w:pPr>
          </w:p>
          <w:p w14:paraId="44FF4674">
            <w:pPr>
              <w:rPr>
                <w:color w:val="auto"/>
                <w:highlight w:val="none"/>
              </w:rPr>
            </w:pPr>
          </w:p>
          <w:p w14:paraId="0E22C036">
            <w:pPr>
              <w:rPr>
                <w:color w:val="auto"/>
                <w:highlight w:val="none"/>
              </w:rPr>
            </w:pPr>
          </w:p>
          <w:p w14:paraId="530323C0">
            <w:pPr>
              <w:rPr>
                <w:color w:val="auto"/>
                <w:highlight w:val="none"/>
              </w:rPr>
            </w:pPr>
          </w:p>
          <w:p w14:paraId="7CEC9753">
            <w:pPr>
              <w:rPr>
                <w:color w:val="auto"/>
                <w:highlight w:val="none"/>
              </w:rPr>
            </w:pPr>
          </w:p>
          <w:p w14:paraId="72193F3D">
            <w:pPr>
              <w:rPr>
                <w:color w:val="auto"/>
                <w:highlight w:val="none"/>
              </w:rPr>
            </w:pPr>
          </w:p>
          <w:p w14:paraId="310C0D4E">
            <w:pPr>
              <w:rPr>
                <w:color w:val="auto"/>
                <w:highlight w:val="none"/>
              </w:rPr>
            </w:pPr>
          </w:p>
          <w:p w14:paraId="5D06AED4">
            <w:pPr>
              <w:pStyle w:val="18"/>
              <w:ind w:left="0" w:leftChars="0" w:firstLine="0" w:firstLineChars="0"/>
              <w:rPr>
                <w:rFonts w:hint="eastAsia"/>
                <w:color w:val="auto"/>
                <w:highlight w:val="none"/>
              </w:rPr>
            </w:pPr>
          </w:p>
        </w:tc>
      </w:tr>
    </w:tbl>
    <w:p w14:paraId="4316DE37">
      <w:pPr>
        <w:rPr>
          <w:color w:val="auto"/>
          <w:highlight w:val="none"/>
        </w:rPr>
        <w:sectPr>
          <w:pgSz w:w="11906" w:h="16838"/>
          <w:pgMar w:top="1440" w:right="1463" w:bottom="1440" w:left="1463" w:header="720" w:footer="720" w:gutter="0"/>
          <w:cols w:space="425" w:num="1"/>
          <w:docGrid w:type="lines" w:linePitch="312" w:charSpace="0"/>
        </w:sectPr>
      </w:pPr>
    </w:p>
    <w:p w14:paraId="4C21716C">
      <w:pPr>
        <w:spacing w:beforeLines="10" w:afterLines="10"/>
        <w:jc w:val="center"/>
        <w:outlineLvl w:val="0"/>
        <w:rPr>
          <w:rFonts w:eastAsia="黑体"/>
          <w:snapToGrid w:val="0"/>
          <w:color w:val="auto"/>
          <w:sz w:val="30"/>
          <w:szCs w:val="30"/>
          <w:highlight w:val="none"/>
        </w:rPr>
      </w:pPr>
      <w:r>
        <w:rPr>
          <w:rFonts w:hint="eastAsia" w:eastAsia="黑体"/>
          <w:snapToGrid w:val="0"/>
          <w:color w:val="auto"/>
          <w:sz w:val="30"/>
          <w:szCs w:val="30"/>
          <w:highlight w:val="none"/>
        </w:rPr>
        <w:t>四、主要环境影响和保护措施</w:t>
      </w:r>
    </w:p>
    <w:tbl>
      <w:tblPr>
        <w:tblStyle w:val="13"/>
        <w:tblW w:w="50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27"/>
        <w:gridCol w:w="8596"/>
      </w:tblGrid>
      <w:tr w14:paraId="56A4E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40" w:type="pct"/>
            <w:tcMar>
              <w:left w:w="28" w:type="dxa"/>
              <w:right w:w="28" w:type="dxa"/>
            </w:tcMar>
            <w:vAlign w:val="center"/>
          </w:tcPr>
          <w:p w14:paraId="648E13A7">
            <w:pPr>
              <w:pStyle w:val="24"/>
              <w:spacing w:before="93" w:after="93"/>
              <w:rPr>
                <w:rFonts w:cs="宋体"/>
                <w:b/>
                <w:bCs/>
                <w:color w:val="auto"/>
                <w:highlight w:val="none"/>
              </w:rPr>
            </w:pPr>
            <w:r>
              <w:rPr>
                <w:rFonts w:hint="eastAsia"/>
                <w:b/>
                <w:bCs/>
                <w:color w:val="auto"/>
                <w:highlight w:val="none"/>
              </w:rPr>
              <w:t>施工期环境保护措施</w:t>
            </w:r>
          </w:p>
        </w:tc>
        <w:tc>
          <w:tcPr>
            <w:tcW w:w="4659" w:type="pct"/>
          </w:tcPr>
          <w:p w14:paraId="1494FCE2">
            <w:pPr>
              <w:pStyle w:val="18"/>
              <w:rPr>
                <w:color w:val="auto"/>
                <w:highlight w:val="none"/>
              </w:rPr>
            </w:pPr>
            <w:r>
              <w:rPr>
                <w:rFonts w:hint="eastAsia"/>
                <w:color w:val="auto"/>
                <w:highlight w:val="none"/>
              </w:rPr>
              <w:t>项目租用已建厂房，施工期主要是利用现有厂房及设备，</w:t>
            </w:r>
            <w:r>
              <w:rPr>
                <w:rFonts w:hint="eastAsia"/>
                <w:color w:val="auto"/>
                <w:highlight w:val="none"/>
                <w:lang w:val="en-US" w:eastAsia="zh-CN"/>
              </w:rPr>
              <w:t>新增租赁面积，调整设备布局，</w:t>
            </w:r>
            <w:r>
              <w:rPr>
                <w:rFonts w:hint="eastAsia"/>
                <w:color w:val="auto"/>
                <w:highlight w:val="none"/>
              </w:rPr>
              <w:t>工期较短，施工活动对周边环境影响较小，对项目施工期环境影响进行简要分析：</w:t>
            </w:r>
          </w:p>
          <w:p w14:paraId="32F7C73B">
            <w:pPr>
              <w:pStyle w:val="2"/>
              <w:numPr>
                <w:ilvl w:val="0"/>
                <w:numId w:val="9"/>
              </w:numPr>
              <w:spacing w:before="156"/>
              <w:rPr>
                <w:color w:val="auto"/>
                <w:highlight w:val="none"/>
              </w:rPr>
            </w:pPr>
            <w:r>
              <w:rPr>
                <w:rFonts w:hint="eastAsia"/>
                <w:color w:val="auto"/>
                <w:highlight w:val="none"/>
              </w:rPr>
              <w:t>废气环境影响及保护措施</w:t>
            </w:r>
          </w:p>
          <w:p w14:paraId="564BA890">
            <w:pPr>
              <w:pStyle w:val="18"/>
              <w:rPr>
                <w:color w:val="auto"/>
                <w:highlight w:val="none"/>
              </w:rPr>
            </w:pPr>
            <w:r>
              <w:rPr>
                <w:rFonts w:hint="eastAsia"/>
                <w:color w:val="auto"/>
                <w:highlight w:val="none"/>
              </w:rPr>
              <w:t>本项目施工期对设备进行进场安装，废气主要是运输车辆产生的尾气，产生量较小，对大气环境影响较小。</w:t>
            </w:r>
          </w:p>
          <w:p w14:paraId="758443EE">
            <w:pPr>
              <w:pStyle w:val="2"/>
              <w:numPr>
                <w:ilvl w:val="0"/>
                <w:numId w:val="9"/>
              </w:numPr>
              <w:spacing w:before="156"/>
              <w:rPr>
                <w:color w:val="auto"/>
                <w:highlight w:val="none"/>
              </w:rPr>
            </w:pPr>
            <w:r>
              <w:rPr>
                <w:rFonts w:hint="eastAsia"/>
                <w:color w:val="auto"/>
                <w:highlight w:val="none"/>
              </w:rPr>
              <w:t>废水环境影响及保护措施</w:t>
            </w:r>
          </w:p>
          <w:p w14:paraId="212CC342">
            <w:pPr>
              <w:pStyle w:val="18"/>
              <w:rPr>
                <w:color w:val="auto"/>
                <w:highlight w:val="none"/>
              </w:rPr>
            </w:pPr>
            <w:r>
              <w:rPr>
                <w:rFonts w:hint="eastAsia"/>
                <w:color w:val="auto"/>
                <w:highlight w:val="none"/>
              </w:rPr>
              <w:t>施工期间产生的废水主要为施工人员的生活污水，依托厂区现有生化池处理后对地表水影响较小。</w:t>
            </w:r>
          </w:p>
          <w:p w14:paraId="0F020272">
            <w:pPr>
              <w:pStyle w:val="2"/>
              <w:numPr>
                <w:ilvl w:val="0"/>
                <w:numId w:val="9"/>
              </w:numPr>
              <w:spacing w:before="156"/>
              <w:rPr>
                <w:color w:val="auto"/>
                <w:highlight w:val="none"/>
              </w:rPr>
            </w:pPr>
            <w:r>
              <w:rPr>
                <w:rFonts w:hint="eastAsia"/>
                <w:color w:val="auto"/>
                <w:highlight w:val="none"/>
              </w:rPr>
              <w:t>噪声环境影响及保护措施</w:t>
            </w:r>
          </w:p>
          <w:p w14:paraId="696D6A83">
            <w:pPr>
              <w:pStyle w:val="18"/>
              <w:rPr>
                <w:color w:val="auto"/>
                <w:highlight w:val="none"/>
              </w:rPr>
            </w:pPr>
            <w:r>
              <w:rPr>
                <w:rFonts w:hint="eastAsia"/>
                <w:color w:val="auto"/>
                <w:highlight w:val="none"/>
              </w:rPr>
              <w:t>施工期噪声主要来源于施工现场各类机械设备和物料运输的交通噪声。</w:t>
            </w:r>
            <w:r>
              <w:rPr>
                <w:rFonts w:hint="eastAsia"/>
                <w:color w:val="auto"/>
                <w:highlight w:val="none"/>
                <w:lang w:eastAsia="zh-CN"/>
              </w:rPr>
              <w:t>扩建项目</w:t>
            </w:r>
            <w:r>
              <w:rPr>
                <w:rFonts w:hint="eastAsia"/>
                <w:color w:val="auto"/>
                <w:highlight w:val="none"/>
              </w:rPr>
              <w:t>周边均为工业企业及厂房</w:t>
            </w:r>
            <w:r>
              <w:rPr>
                <w:rFonts w:hint="eastAsia"/>
                <w:color w:val="auto"/>
                <w:highlight w:val="none"/>
                <w:lang w:eastAsia="zh-CN"/>
              </w:rPr>
              <w:t>，</w:t>
            </w:r>
            <w:r>
              <w:rPr>
                <w:rFonts w:hint="eastAsia"/>
                <w:color w:val="auto"/>
                <w:highlight w:val="none"/>
              </w:rPr>
              <w:t>居民点距离较远，施工期产生的噪声不会对场地周围的声环境质量产生明显影响，而且随着施工活动的结束，这些影响也将消失。</w:t>
            </w:r>
          </w:p>
          <w:p w14:paraId="35B5147A">
            <w:pPr>
              <w:pStyle w:val="2"/>
              <w:numPr>
                <w:ilvl w:val="0"/>
                <w:numId w:val="9"/>
              </w:numPr>
              <w:spacing w:before="156"/>
              <w:rPr>
                <w:color w:val="auto"/>
                <w:highlight w:val="none"/>
              </w:rPr>
            </w:pPr>
            <w:r>
              <w:rPr>
                <w:rFonts w:hint="eastAsia"/>
                <w:color w:val="auto"/>
                <w:highlight w:val="none"/>
              </w:rPr>
              <w:t>固体废物环境影响及保护措施</w:t>
            </w:r>
          </w:p>
          <w:p w14:paraId="5F60BE34">
            <w:pPr>
              <w:pStyle w:val="18"/>
              <w:rPr>
                <w:color w:val="auto"/>
                <w:highlight w:val="none"/>
              </w:rPr>
            </w:pPr>
            <w:r>
              <w:rPr>
                <w:rFonts w:hint="eastAsia"/>
                <w:color w:val="auto"/>
                <w:highlight w:val="none"/>
              </w:rPr>
              <w:t>施工期固体废物主要为</w:t>
            </w:r>
            <w:r>
              <w:rPr>
                <w:rFonts w:hint="eastAsia"/>
                <w:color w:val="auto"/>
                <w:highlight w:val="none"/>
                <w:lang w:val="en-US" w:eastAsia="zh-CN"/>
              </w:rPr>
              <w:t>生产线改造过程中产生的建筑垃圾以及设备</w:t>
            </w:r>
            <w:r>
              <w:rPr>
                <w:rFonts w:hint="eastAsia"/>
                <w:color w:val="auto"/>
                <w:highlight w:val="none"/>
              </w:rPr>
              <w:t>安装过程中产生的固体废物和施工人员的生活垃圾。施工过</w:t>
            </w:r>
            <w:r>
              <w:rPr>
                <w:rFonts w:hint="eastAsia"/>
                <w:color w:val="auto"/>
                <w:highlight w:val="none"/>
                <w:lang w:eastAsia="zh-CN"/>
              </w:rPr>
              <w:t>程中</w:t>
            </w:r>
            <w:r>
              <w:rPr>
                <w:rFonts w:hint="eastAsia"/>
                <w:color w:val="auto"/>
                <w:highlight w:val="none"/>
              </w:rPr>
              <w:t>应专人负责管理、监督，及时用汽车运至指定场地堆放，并附有相应防护措施；施工人员的生活垃圾送至城市垃圾处理场统一处置。采取以上措施后，施工期固体废弃物对环境影响不大。</w:t>
            </w:r>
          </w:p>
          <w:p w14:paraId="4552CCE3">
            <w:pPr>
              <w:pStyle w:val="18"/>
              <w:rPr>
                <w:color w:val="auto"/>
                <w:highlight w:val="none"/>
              </w:rPr>
            </w:pPr>
            <w:r>
              <w:rPr>
                <w:rFonts w:hint="eastAsia"/>
                <w:color w:val="auto"/>
                <w:highlight w:val="none"/>
              </w:rPr>
              <w:t>总体来说，项目施工期在现有厂房内进行设备安装、调试，施工期相对较短，工程量较小，施工期对环境影响小，施工期结束影响随之消失。</w:t>
            </w:r>
          </w:p>
        </w:tc>
      </w:tr>
      <w:tr w14:paraId="4AF8E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484" w:hRule="atLeast"/>
          <w:jc w:val="center"/>
        </w:trPr>
        <w:tc>
          <w:tcPr>
            <w:tcW w:w="340" w:type="pct"/>
            <w:tcMar>
              <w:left w:w="28" w:type="dxa"/>
              <w:right w:w="28" w:type="dxa"/>
            </w:tcMar>
            <w:vAlign w:val="center"/>
          </w:tcPr>
          <w:p w14:paraId="1ADA5B39">
            <w:pPr>
              <w:pStyle w:val="24"/>
              <w:spacing w:before="93" w:after="93"/>
              <w:rPr>
                <w:rFonts w:cs="宋体"/>
                <w:b/>
                <w:bCs/>
                <w:color w:val="auto"/>
                <w:highlight w:val="none"/>
              </w:rPr>
            </w:pPr>
            <w:r>
              <w:rPr>
                <w:rFonts w:hint="eastAsia"/>
                <w:b/>
                <w:bCs/>
                <w:color w:val="auto"/>
                <w:highlight w:val="none"/>
              </w:rPr>
              <w:t>运营期环境影响和保护措施</w:t>
            </w:r>
          </w:p>
        </w:tc>
        <w:tc>
          <w:tcPr>
            <w:tcW w:w="4659" w:type="pct"/>
          </w:tcPr>
          <w:p w14:paraId="54CCF901">
            <w:pPr>
              <w:pStyle w:val="2"/>
              <w:numPr>
                <w:ilvl w:val="0"/>
                <w:numId w:val="10"/>
              </w:numPr>
              <w:spacing w:before="156"/>
              <w:rPr>
                <w:rFonts w:hint="eastAsia"/>
                <w:color w:val="auto"/>
                <w:highlight w:val="none"/>
              </w:rPr>
            </w:pPr>
            <w:r>
              <w:rPr>
                <w:rFonts w:hint="eastAsia"/>
                <w:color w:val="auto"/>
                <w:highlight w:val="none"/>
              </w:rPr>
              <w:t>废气</w:t>
            </w:r>
          </w:p>
          <w:p w14:paraId="60BC71C5">
            <w:pPr>
              <w:pStyle w:val="3"/>
              <w:ind w:firstLine="482"/>
              <w:rPr>
                <w:rFonts w:hint="eastAsia"/>
                <w:b/>
                <w:bCs/>
                <w:color w:val="auto"/>
                <w:highlight w:val="none"/>
              </w:rPr>
            </w:pPr>
            <w:r>
              <w:rPr>
                <w:rFonts w:hint="eastAsia"/>
                <w:color w:val="auto"/>
                <w:highlight w:val="none"/>
                <w:lang w:val="en-US" w:eastAsia="zh-CN"/>
              </w:rPr>
              <w:t>1</w:t>
            </w:r>
            <w:r>
              <w:rPr>
                <w:rFonts w:hint="eastAsia"/>
                <w:color w:val="auto"/>
                <w:highlight w:val="none"/>
              </w:rPr>
              <w:t>）废气污染物排放源强核算过程</w:t>
            </w:r>
          </w:p>
          <w:p w14:paraId="1AD7BB39">
            <w:pPr>
              <w:pStyle w:val="18"/>
              <w:bidi w:val="0"/>
              <w:rPr>
                <w:rFonts w:hint="default" w:eastAsia="宋体"/>
                <w:color w:val="auto"/>
                <w:highlight w:val="none"/>
                <w:lang w:val="en-US" w:eastAsia="zh-CN"/>
              </w:rPr>
            </w:pPr>
            <w:r>
              <w:rPr>
                <w:rFonts w:hint="eastAsia"/>
                <w:color w:val="auto"/>
                <w:highlight w:val="none"/>
                <w:lang w:val="en-US" w:eastAsia="zh-CN"/>
              </w:rPr>
              <w:t>根据前文项目工艺流程及产污环节分析，</w:t>
            </w:r>
            <w:r>
              <w:rPr>
                <w:rFonts w:hint="eastAsia"/>
                <w:color w:val="auto"/>
                <w:highlight w:val="none"/>
                <w:lang w:eastAsia="zh-CN"/>
              </w:rPr>
              <w:t>扩建项目</w:t>
            </w:r>
            <w:r>
              <w:rPr>
                <w:rFonts w:hint="eastAsia"/>
                <w:color w:val="auto"/>
                <w:highlight w:val="none"/>
              </w:rPr>
              <w:t>运营期废气主要包括：</w:t>
            </w:r>
            <w:r>
              <w:rPr>
                <w:rFonts w:hint="eastAsia"/>
                <w:color w:val="auto"/>
                <w:highlight w:val="none"/>
                <w:lang w:val="en-US" w:eastAsia="zh-CN"/>
              </w:rPr>
              <w:t>注塑废气G</w:t>
            </w:r>
            <w:r>
              <w:rPr>
                <w:rFonts w:hint="eastAsia"/>
                <w:color w:val="auto"/>
                <w:highlight w:val="none"/>
              </w:rPr>
              <w:t>1；</w:t>
            </w:r>
            <w:r>
              <w:rPr>
                <w:rFonts w:hint="eastAsia"/>
                <w:color w:val="auto"/>
                <w:highlight w:val="none"/>
                <w:lang w:val="en-US" w:eastAsia="zh-CN"/>
              </w:rPr>
              <w:t>焊接废气</w:t>
            </w:r>
            <w:r>
              <w:rPr>
                <w:rFonts w:hint="eastAsia"/>
                <w:color w:val="auto"/>
                <w:highlight w:val="none"/>
              </w:rPr>
              <w:t>G2；</w:t>
            </w:r>
            <w:r>
              <w:rPr>
                <w:rFonts w:hint="eastAsia"/>
                <w:color w:val="auto"/>
                <w:kern w:val="0"/>
                <w:sz w:val="24"/>
                <w:szCs w:val="20"/>
                <w:highlight w:val="none"/>
              </w:rPr>
              <w:t>破碎粉尘</w:t>
            </w:r>
            <w:r>
              <w:rPr>
                <w:rFonts w:hint="eastAsia"/>
                <w:color w:val="auto"/>
                <w:highlight w:val="none"/>
              </w:rPr>
              <w:t>G</w:t>
            </w:r>
            <w:r>
              <w:rPr>
                <w:rFonts w:hint="eastAsia"/>
                <w:color w:val="auto"/>
                <w:highlight w:val="none"/>
                <w:lang w:val="en-US" w:eastAsia="zh-CN"/>
              </w:rPr>
              <w:t>3</w:t>
            </w:r>
            <w:r>
              <w:rPr>
                <w:rFonts w:hint="eastAsia"/>
                <w:color w:val="auto"/>
                <w:highlight w:val="none"/>
              </w:rPr>
              <w:t>；</w:t>
            </w:r>
            <w:r>
              <w:rPr>
                <w:rFonts w:hint="eastAsia"/>
                <w:color w:val="auto"/>
                <w:highlight w:val="none"/>
                <w:lang w:val="en-US" w:eastAsia="zh-CN"/>
              </w:rPr>
              <w:t>脱模清洗剂废气</w:t>
            </w:r>
            <w:r>
              <w:rPr>
                <w:rFonts w:hint="eastAsia"/>
                <w:color w:val="auto"/>
                <w:highlight w:val="none"/>
              </w:rPr>
              <w:t>G</w:t>
            </w:r>
            <w:r>
              <w:rPr>
                <w:rFonts w:hint="eastAsia"/>
                <w:color w:val="auto"/>
                <w:highlight w:val="none"/>
                <w:lang w:val="en-US" w:eastAsia="zh-CN"/>
              </w:rPr>
              <w:t>4</w:t>
            </w:r>
            <w:r>
              <w:rPr>
                <w:rFonts w:hint="eastAsia"/>
                <w:color w:val="auto"/>
                <w:highlight w:val="none"/>
                <w:lang w:eastAsia="zh-CN"/>
              </w:rPr>
              <w:t>。</w:t>
            </w:r>
            <w:r>
              <w:rPr>
                <w:rFonts w:hint="eastAsia"/>
                <w:color w:val="auto"/>
                <w:highlight w:val="none"/>
                <w:lang w:val="en-US" w:eastAsia="zh-CN"/>
              </w:rPr>
              <w:t>现有项目废气污染物无组织排放，污染物源强核算按扩建后全厂产污情况统计。</w:t>
            </w:r>
          </w:p>
          <w:p w14:paraId="787C9EAA">
            <w:pPr>
              <w:pStyle w:val="18"/>
              <w:bidi w:val="0"/>
              <w:rPr>
                <w:rFonts w:hint="default"/>
                <w:b/>
                <w:bCs/>
                <w:color w:val="auto"/>
                <w:highlight w:val="none"/>
                <w:lang w:val="en-US" w:eastAsia="zh-CN"/>
              </w:rPr>
            </w:pPr>
            <w:r>
              <w:rPr>
                <w:rFonts w:hint="eastAsia"/>
                <w:b/>
                <w:bCs/>
                <w:color w:val="auto"/>
                <w:highlight w:val="none"/>
              </w:rPr>
              <w:t>⑴注塑废气G1</w:t>
            </w:r>
          </w:p>
          <w:p w14:paraId="2884E359">
            <w:pPr>
              <w:pStyle w:val="18"/>
              <w:bidi w:val="0"/>
              <w:rPr>
                <w:rFonts w:hint="default"/>
                <w:color w:val="auto"/>
                <w:highlight w:val="none"/>
                <w:lang w:val="en-US" w:eastAsia="zh-CN"/>
              </w:rPr>
            </w:pPr>
            <w:r>
              <w:rPr>
                <w:rFonts w:hint="eastAsia"/>
                <w:color w:val="auto"/>
                <w:highlight w:val="none"/>
                <w:lang w:val="en-US" w:eastAsia="zh-CN"/>
              </w:rPr>
              <w:t>项目注塑使用ABS、ASA以及PP材料，注塑加热温度均小于塑料分解温度，加热过程中塑料不会大量分解，但有少量的游离单体逸出。按照</w:t>
            </w:r>
            <w:r>
              <w:rPr>
                <w:color w:val="auto"/>
                <w:sz w:val="24"/>
                <w:highlight w:val="none"/>
              </w:rPr>
              <w:t>《合成树脂工业污染物排放标准》（</w:t>
            </w:r>
            <w:r>
              <w:rPr>
                <w:rFonts w:hint="eastAsia"/>
                <w:color w:val="auto"/>
                <w:sz w:val="24"/>
                <w:highlight w:val="none"/>
              </w:rPr>
              <w:t>GB31572-2015，含2024年修改单</w:t>
            </w:r>
            <w:r>
              <w:rPr>
                <w:rFonts w:hint="eastAsia"/>
                <w:color w:val="auto"/>
                <w:sz w:val="24"/>
                <w:highlight w:val="none"/>
                <w:lang w:eastAsia="zh-CN"/>
              </w:rPr>
              <w:t>），</w:t>
            </w:r>
            <w:r>
              <w:rPr>
                <w:rFonts w:hint="eastAsia"/>
                <w:color w:val="auto"/>
                <w:highlight w:val="none"/>
                <w:lang w:val="en-US" w:eastAsia="zh-CN"/>
              </w:rPr>
              <w:t>ABS塑料加热产生的污染物为丙烯腈、1,3-丁二烯、苯乙烯、甲苯、乙苯、非甲烷总烃等；</w:t>
            </w:r>
            <w:r>
              <w:rPr>
                <w:rFonts w:hint="eastAsia"/>
                <w:color w:val="auto"/>
                <w:highlight w:val="none"/>
              </w:rPr>
              <w:t>ASA</w:t>
            </w:r>
            <w:r>
              <w:rPr>
                <w:rFonts w:hint="eastAsia"/>
                <w:color w:val="auto"/>
                <w:highlight w:val="none"/>
                <w:lang w:val="en-US" w:eastAsia="zh-CN"/>
              </w:rPr>
              <w:t>塑料加热产生的污染物为苯乙烯、丙烯腈、丙烯酸、丙烯酸甲酯、丙烯酸丁酯、甲基丙烯酸甲酯、甲苯、乙苯、非甲烷总烃等；PP塑料加热产生的污染物为非甲烷总烃。此外，加热过程会伴有异味（以臭气浓度计）产生。</w:t>
            </w:r>
          </w:p>
          <w:p w14:paraId="2A2DBDCD">
            <w:pPr>
              <w:pStyle w:val="18"/>
              <w:bidi w:val="0"/>
              <w:rPr>
                <w:rFonts w:hint="eastAsia"/>
                <w:color w:val="auto"/>
                <w:highlight w:val="none"/>
                <w:lang w:eastAsia="zh-CN"/>
              </w:rPr>
            </w:pPr>
            <w:r>
              <w:rPr>
                <w:rFonts w:hint="eastAsia"/>
                <w:color w:val="auto"/>
                <w:highlight w:val="none"/>
                <w:lang w:eastAsia="zh-CN"/>
              </w:rPr>
              <w:t>同时，本项目注塑成型过程中因局部受热不均、单体分布不均等原因，会产生少量气溶胶（表征为颗粒物）产生。气溶胶仅在热熔物料局部受热不均情况下产生，根据《合成树脂行业废气的环境影响评价方法分析》（王海玥，李厦-合成树脂行业废气的环境影响评价方法分析[J].环境与发展，2020,32(12):14-15.），合成树脂行业颗粒物主要源于破碎、过筛等工艺，本次评价不针对项目注塑成型过程中产生的气溶胶（表征为颗粒物）做定量计算，仅提出相应管理要求及达标排放要求。运营期设备定期保养，操作过程中若发现局部过热情况立即停止生产进行设备检修。</w:t>
            </w:r>
          </w:p>
          <w:p w14:paraId="2433B8A1">
            <w:pPr>
              <w:pStyle w:val="18"/>
              <w:bidi w:val="0"/>
              <w:rPr>
                <w:b/>
                <w:bCs/>
                <w:color w:val="auto"/>
                <w:highlight w:val="none"/>
              </w:rPr>
            </w:pPr>
            <w:r>
              <w:rPr>
                <w:rFonts w:hint="eastAsia"/>
                <w:b/>
                <w:bCs/>
                <w:color w:val="auto"/>
                <w:highlight w:val="none"/>
              </w:rPr>
              <w:t>①非甲烷总烃</w:t>
            </w:r>
            <w:r>
              <w:rPr>
                <w:rFonts w:hint="eastAsia"/>
                <w:b/>
                <w:bCs/>
                <w:color w:val="auto"/>
                <w:highlight w:val="none"/>
                <w:lang w:eastAsia="zh-CN"/>
              </w:rPr>
              <w:t>（源于</w:t>
            </w:r>
            <w:r>
              <w:rPr>
                <w:rFonts w:hint="eastAsia"/>
                <w:b/>
                <w:bCs/>
                <w:color w:val="auto"/>
                <w:highlight w:val="none"/>
              </w:rPr>
              <w:t>ABS</w:t>
            </w:r>
            <w:r>
              <w:rPr>
                <w:rFonts w:hint="eastAsia"/>
                <w:b/>
                <w:bCs/>
                <w:color w:val="auto"/>
                <w:highlight w:val="none"/>
                <w:lang w:eastAsia="zh-CN"/>
              </w:rPr>
              <w:t>、</w:t>
            </w:r>
            <w:r>
              <w:rPr>
                <w:rFonts w:hint="eastAsia"/>
                <w:b/>
                <w:bCs/>
                <w:color w:val="auto"/>
                <w:highlight w:val="none"/>
                <w:lang w:val="en-US" w:eastAsia="zh-CN"/>
              </w:rPr>
              <w:t>ASA</w:t>
            </w:r>
            <w:r>
              <w:rPr>
                <w:b/>
                <w:bCs/>
                <w:color w:val="auto"/>
                <w:highlight w:val="none"/>
              </w:rPr>
              <w:t>、</w:t>
            </w:r>
            <w:r>
              <w:rPr>
                <w:rFonts w:hint="eastAsia"/>
                <w:b/>
                <w:bCs/>
                <w:color w:val="auto"/>
                <w:highlight w:val="none"/>
              </w:rPr>
              <w:t>PP塑料</w:t>
            </w:r>
            <w:r>
              <w:rPr>
                <w:rFonts w:hint="eastAsia"/>
                <w:b/>
                <w:bCs/>
                <w:color w:val="auto"/>
                <w:highlight w:val="none"/>
                <w:lang w:eastAsia="zh-CN"/>
              </w:rPr>
              <w:t>）</w:t>
            </w:r>
          </w:p>
          <w:p w14:paraId="7D10EC65">
            <w:pPr>
              <w:pStyle w:val="18"/>
              <w:bidi w:val="0"/>
              <w:rPr>
                <w:rFonts w:hint="default" w:eastAsia="宋体"/>
                <w:color w:val="auto"/>
                <w:highlight w:val="none"/>
                <w:lang w:val="en-US" w:eastAsia="zh-CN"/>
              </w:rPr>
            </w:pPr>
            <w:r>
              <w:rPr>
                <w:rFonts w:hint="eastAsia"/>
                <w:color w:val="auto"/>
                <w:highlight w:val="none"/>
              </w:rPr>
              <w:t>根据</w:t>
            </w:r>
            <w:r>
              <w:rPr>
                <w:color w:val="auto"/>
                <w:highlight w:val="none"/>
              </w:rPr>
              <w:t>《</w:t>
            </w:r>
            <w:r>
              <w:rPr>
                <w:rFonts w:hint="eastAsia"/>
                <w:color w:val="auto"/>
                <w:highlight w:val="none"/>
              </w:rPr>
              <w:t>排放源统计调查产排污核算方法和系数手册</w:t>
            </w:r>
            <w:r>
              <w:rPr>
                <w:color w:val="auto"/>
                <w:highlight w:val="none"/>
              </w:rPr>
              <w:t>》</w:t>
            </w:r>
            <w:r>
              <w:rPr>
                <w:rFonts w:hint="eastAsia"/>
                <w:color w:val="auto"/>
                <w:highlight w:val="none"/>
              </w:rPr>
              <w:t>“2929塑料零件及其他塑料制品材制造行业系数表”中“塑料零件”挥发性有机物（以非甲烷总烃计）产污系数为2.7kg/t产品。</w:t>
            </w:r>
            <w:r>
              <w:rPr>
                <w:rFonts w:hint="eastAsia"/>
                <w:color w:val="auto"/>
                <w:highlight w:val="none"/>
                <w:lang w:eastAsia="zh-CN"/>
              </w:rPr>
              <w:t>本</w:t>
            </w:r>
            <w:r>
              <w:rPr>
                <w:rFonts w:hint="eastAsia"/>
                <w:color w:val="auto"/>
                <w:highlight w:val="none"/>
              </w:rPr>
              <w:t>项目</w:t>
            </w:r>
            <w:r>
              <w:rPr>
                <w:rFonts w:hint="eastAsia"/>
                <w:color w:val="auto"/>
                <w:highlight w:val="none"/>
                <w:lang w:eastAsia="zh-CN"/>
              </w:rPr>
              <w:t>所有产品生产过程中均会产生非甲烷总烃，</w:t>
            </w:r>
            <w:r>
              <w:rPr>
                <w:rFonts w:hint="eastAsia"/>
                <w:color w:val="auto"/>
                <w:highlight w:val="none"/>
                <w:lang w:val="en-US" w:eastAsia="zh-CN"/>
              </w:rPr>
              <w:t>扩建后ABS产品约251.6t；ASA产品约257.6t；PP产品约188.4t，</w:t>
            </w:r>
            <w:r>
              <w:rPr>
                <w:color w:val="auto"/>
                <w:highlight w:val="none"/>
              </w:rPr>
              <w:t>非甲烷总烃的产生量</w:t>
            </w:r>
            <w:r>
              <w:rPr>
                <w:rFonts w:hint="eastAsia"/>
                <w:color w:val="auto"/>
                <w:highlight w:val="none"/>
                <w:lang w:val="en-US" w:eastAsia="zh-CN"/>
              </w:rPr>
              <w:t>分别为0.679t/a、0.696t/a和0.509t/a，</w:t>
            </w:r>
            <w:r>
              <w:rPr>
                <w:color w:val="auto"/>
                <w:highlight w:val="none"/>
              </w:rPr>
              <w:t>非甲烷总烃产生量</w:t>
            </w:r>
            <w:r>
              <w:rPr>
                <w:rFonts w:hint="eastAsia"/>
                <w:color w:val="auto"/>
                <w:highlight w:val="none"/>
                <w:lang w:val="en-US" w:eastAsia="zh-CN"/>
              </w:rPr>
              <w:t>合计</w:t>
            </w:r>
            <w:r>
              <w:rPr>
                <w:color w:val="auto"/>
                <w:highlight w:val="none"/>
              </w:rPr>
              <w:t>为</w:t>
            </w:r>
            <w:r>
              <w:rPr>
                <w:rFonts w:hint="eastAsia"/>
                <w:color w:val="auto"/>
                <w:highlight w:val="none"/>
                <w:lang w:val="en-US" w:eastAsia="zh-CN"/>
              </w:rPr>
              <w:t>1.884</w:t>
            </w:r>
            <w:r>
              <w:rPr>
                <w:color w:val="auto"/>
                <w:highlight w:val="none"/>
              </w:rPr>
              <w:t>t/a</w:t>
            </w:r>
            <w:r>
              <w:rPr>
                <w:rFonts w:hint="eastAsia"/>
                <w:color w:val="auto"/>
                <w:highlight w:val="none"/>
                <w:lang w:eastAsia="zh-CN"/>
              </w:rPr>
              <w:t>。</w:t>
            </w:r>
          </w:p>
          <w:p w14:paraId="38AB96DF">
            <w:pPr>
              <w:pStyle w:val="18"/>
              <w:bidi w:val="0"/>
              <w:rPr>
                <w:b/>
                <w:bCs/>
                <w:color w:val="auto"/>
                <w:highlight w:val="none"/>
              </w:rPr>
            </w:pPr>
            <w:r>
              <w:rPr>
                <w:rFonts w:hint="eastAsia"/>
                <w:b/>
                <w:bCs/>
                <w:color w:val="auto"/>
                <w:highlight w:val="none"/>
              </w:rPr>
              <w:t>②丙烯腈、1,3-丁二烯、苯乙烯、甲苯、乙苯（</w:t>
            </w:r>
            <w:r>
              <w:rPr>
                <w:rFonts w:hint="eastAsia"/>
                <w:b/>
                <w:bCs/>
                <w:color w:val="auto"/>
                <w:highlight w:val="none"/>
                <w:lang w:eastAsia="zh-CN"/>
              </w:rPr>
              <w:t>源于</w:t>
            </w:r>
            <w:r>
              <w:rPr>
                <w:rFonts w:hint="eastAsia"/>
                <w:b/>
                <w:bCs/>
                <w:color w:val="auto"/>
                <w:highlight w:val="none"/>
              </w:rPr>
              <w:t>ABS</w:t>
            </w:r>
            <w:r>
              <w:rPr>
                <w:rFonts w:hint="eastAsia"/>
                <w:b/>
                <w:bCs/>
                <w:color w:val="auto"/>
                <w:highlight w:val="none"/>
                <w:lang w:eastAsia="zh-CN"/>
              </w:rPr>
              <w:t>塑料</w:t>
            </w:r>
            <w:r>
              <w:rPr>
                <w:rFonts w:hint="eastAsia"/>
                <w:b/>
                <w:bCs/>
                <w:color w:val="auto"/>
                <w:highlight w:val="none"/>
              </w:rPr>
              <w:t>）</w:t>
            </w:r>
          </w:p>
          <w:p w14:paraId="00B3D2CA">
            <w:pPr>
              <w:pStyle w:val="18"/>
              <w:bidi w:val="0"/>
              <w:rPr>
                <w:rFonts w:hint="eastAsia"/>
                <w:color w:val="auto"/>
                <w:highlight w:val="none"/>
              </w:rPr>
            </w:pPr>
            <w:r>
              <w:rPr>
                <w:rFonts w:hint="eastAsia"/>
                <w:color w:val="auto"/>
                <w:highlight w:val="none"/>
                <w:lang w:val="en-US" w:eastAsia="zh-CN"/>
              </w:rPr>
              <w:t>根据国内相关文献研究成果，参考</w:t>
            </w:r>
            <w:r>
              <w:rPr>
                <w:rFonts w:hint="eastAsia"/>
                <w:color w:val="auto"/>
                <w:highlight w:val="none"/>
                <w:lang w:eastAsia="zh-CN"/>
              </w:rPr>
              <w:t>《</w:t>
            </w:r>
            <w:r>
              <w:rPr>
                <w:rFonts w:hint="eastAsia"/>
                <w:color w:val="auto"/>
                <w:highlight w:val="none"/>
              </w:rPr>
              <w:t>丙烯腈-丁二烯-苯乙烯(ABS)塑料中残留单体的溶解沉淀-气相色谱法测定</w:t>
            </w:r>
            <w:r>
              <w:rPr>
                <w:rFonts w:hint="eastAsia"/>
                <w:color w:val="auto"/>
                <w:highlight w:val="none"/>
                <w:lang w:eastAsia="zh-CN"/>
              </w:rPr>
              <w:t>》（</w:t>
            </w:r>
            <w:r>
              <w:rPr>
                <w:rFonts w:hint="eastAsia"/>
                <w:color w:val="auto"/>
                <w:highlight w:val="none"/>
              </w:rPr>
              <w:t>袁丽凤,邬蓓蕾,崔家玲,等.分析测试学报,2008,(10):1095-1098.</w:t>
            </w:r>
            <w:r>
              <w:rPr>
                <w:rFonts w:hint="eastAsia"/>
                <w:color w:val="auto"/>
                <w:highlight w:val="none"/>
                <w:lang w:eastAsia="zh-CN"/>
              </w:rPr>
              <w:t>）</w:t>
            </w:r>
            <w:r>
              <w:rPr>
                <w:rFonts w:hint="eastAsia"/>
                <w:color w:val="auto"/>
                <w:highlight w:val="none"/>
                <w:lang w:val="en-US" w:eastAsia="zh-CN"/>
              </w:rPr>
              <w:t>中分析</w:t>
            </w:r>
            <w:r>
              <w:rPr>
                <w:rFonts w:hint="eastAsia"/>
                <w:color w:val="auto"/>
                <w:highlight w:val="none"/>
              </w:rPr>
              <w:t>实验结果</w:t>
            </w:r>
            <w:r>
              <w:rPr>
                <w:rFonts w:hint="eastAsia"/>
                <w:color w:val="auto"/>
                <w:highlight w:val="none"/>
                <w:lang w:eastAsia="zh-CN"/>
              </w:rPr>
              <w:t>，</w:t>
            </w:r>
            <w:r>
              <w:rPr>
                <w:rFonts w:hint="eastAsia"/>
                <w:color w:val="auto"/>
                <w:highlight w:val="none"/>
                <w:lang w:val="en-US" w:eastAsia="zh-CN"/>
              </w:rPr>
              <w:t>测定的两种</w:t>
            </w:r>
            <w:r>
              <w:rPr>
                <w:rFonts w:hint="eastAsia"/>
                <w:color w:val="auto"/>
                <w:highlight w:val="none"/>
              </w:rPr>
              <w:t>ABS树脂中苯乙烯单体含量</w:t>
            </w:r>
            <w:r>
              <w:rPr>
                <w:rFonts w:hint="eastAsia"/>
                <w:color w:val="auto"/>
                <w:highlight w:val="none"/>
                <w:lang w:val="en-US" w:eastAsia="zh-CN"/>
              </w:rPr>
              <w:t>为637.8～</w:t>
            </w:r>
            <w:r>
              <w:rPr>
                <w:rFonts w:hint="eastAsia"/>
                <w:color w:val="auto"/>
                <w:highlight w:val="none"/>
              </w:rPr>
              <w:t>1142.0mg/kg，丙烯腈单体含量</w:t>
            </w:r>
            <w:r>
              <w:rPr>
                <w:rFonts w:hint="eastAsia"/>
                <w:color w:val="auto"/>
                <w:highlight w:val="none"/>
                <w:lang w:val="en-US" w:eastAsia="zh-CN"/>
              </w:rPr>
              <w:t>47.2～</w:t>
            </w:r>
            <w:r>
              <w:rPr>
                <w:rFonts w:hint="eastAsia"/>
                <w:color w:val="auto"/>
                <w:highlight w:val="none"/>
              </w:rPr>
              <w:t>51.3mg/kg，甲苯单体含量</w:t>
            </w:r>
            <w:r>
              <w:rPr>
                <w:rFonts w:hint="eastAsia"/>
                <w:color w:val="auto"/>
                <w:highlight w:val="none"/>
                <w:lang w:val="en-US" w:eastAsia="zh-CN"/>
              </w:rPr>
              <w:t>32.9～</w:t>
            </w:r>
            <w:r>
              <w:rPr>
                <w:rFonts w:hint="eastAsia"/>
                <w:color w:val="auto"/>
                <w:highlight w:val="none"/>
              </w:rPr>
              <w:t>33.2mg/kg，乙苯单体含量79.6</w:t>
            </w:r>
            <w:r>
              <w:rPr>
                <w:rFonts w:hint="eastAsia"/>
                <w:color w:val="auto"/>
                <w:highlight w:val="none"/>
                <w:lang w:val="en-US" w:eastAsia="zh-CN"/>
              </w:rPr>
              <w:t>～135.2</w:t>
            </w:r>
            <w:r>
              <w:rPr>
                <w:rFonts w:hint="eastAsia"/>
                <w:color w:val="auto"/>
                <w:highlight w:val="none"/>
              </w:rPr>
              <w:t>mg/kg</w:t>
            </w:r>
            <w:r>
              <w:rPr>
                <w:rFonts w:hint="eastAsia"/>
                <w:color w:val="auto"/>
                <w:highlight w:val="none"/>
                <w:lang w:eastAsia="zh-CN"/>
              </w:rPr>
              <w:t>。</w:t>
            </w:r>
            <w:r>
              <w:rPr>
                <w:rFonts w:hint="eastAsia"/>
                <w:color w:val="auto"/>
                <w:highlight w:val="none"/>
              </w:rPr>
              <w:t>ABS树脂中1</w:t>
            </w:r>
            <w:r>
              <w:rPr>
                <w:rFonts w:hint="eastAsia"/>
                <w:color w:val="auto"/>
                <w:highlight w:val="none"/>
                <w:lang w:val="en-US" w:eastAsia="zh-CN"/>
              </w:rPr>
              <w:t>,</w:t>
            </w:r>
            <w:r>
              <w:rPr>
                <w:rFonts w:hint="eastAsia"/>
                <w:color w:val="auto"/>
                <w:highlight w:val="none"/>
              </w:rPr>
              <w:t>3-丁二烯单体含量参考文献</w:t>
            </w:r>
            <w:r>
              <w:rPr>
                <w:rFonts w:hint="eastAsia"/>
                <w:color w:val="auto"/>
                <w:highlight w:val="none"/>
                <w:lang w:eastAsia="zh-CN"/>
              </w:rPr>
              <w:t>《PS和ABS制品中1,3-丁二烯残留量的测定》（陈旭明,刘贵深,候晓东.塑料包装,2018,28(03):29-32.）</w:t>
            </w:r>
            <w:r>
              <w:rPr>
                <w:rFonts w:hint="eastAsia"/>
                <w:color w:val="auto"/>
                <w:highlight w:val="none"/>
              </w:rPr>
              <w:t>，ABS树脂中1</w:t>
            </w:r>
            <w:r>
              <w:rPr>
                <w:rFonts w:hint="eastAsia"/>
                <w:color w:val="auto"/>
                <w:highlight w:val="none"/>
                <w:lang w:val="en-US" w:eastAsia="zh-CN"/>
              </w:rPr>
              <w:t>,</w:t>
            </w:r>
            <w:r>
              <w:rPr>
                <w:rFonts w:hint="eastAsia"/>
                <w:color w:val="auto"/>
                <w:highlight w:val="none"/>
              </w:rPr>
              <w:t>3-丁二烯单体含量</w:t>
            </w:r>
            <w:r>
              <w:rPr>
                <w:rFonts w:hint="eastAsia"/>
                <w:color w:val="auto"/>
                <w:highlight w:val="none"/>
                <w:lang w:val="en-US" w:eastAsia="zh-CN"/>
              </w:rPr>
              <w:t>4.31</w:t>
            </w:r>
            <w:r>
              <w:rPr>
                <w:rFonts w:hint="eastAsia"/>
                <w:color w:val="auto"/>
                <w:highlight w:val="none"/>
              </w:rPr>
              <w:t>mg/kg</w:t>
            </w:r>
            <w:r>
              <w:rPr>
                <w:rFonts w:hint="eastAsia"/>
                <w:color w:val="auto"/>
                <w:highlight w:val="none"/>
                <w:lang w:eastAsia="zh-CN"/>
              </w:rPr>
              <w:t>。</w:t>
            </w:r>
            <w:r>
              <w:rPr>
                <w:rFonts w:hint="eastAsia"/>
                <w:color w:val="auto"/>
                <w:highlight w:val="none"/>
              </w:rPr>
              <w:t>本评价考虑</w:t>
            </w:r>
            <w:r>
              <w:rPr>
                <w:rFonts w:hint="eastAsia"/>
                <w:color w:val="auto"/>
                <w:highlight w:val="none"/>
                <w:lang w:val="en-US" w:eastAsia="zh-CN"/>
              </w:rPr>
              <w:t>ABS塑料中</w:t>
            </w:r>
            <w:r>
              <w:rPr>
                <w:rFonts w:hint="eastAsia"/>
                <w:color w:val="auto"/>
                <w:highlight w:val="none"/>
                <w:lang w:eastAsia="zh-CN"/>
              </w:rPr>
              <w:t>以上单体物质在生产</w:t>
            </w:r>
            <w:r>
              <w:rPr>
                <w:rFonts w:hint="eastAsia"/>
                <w:color w:val="auto"/>
                <w:highlight w:val="none"/>
              </w:rPr>
              <w:t>过</w:t>
            </w:r>
            <w:r>
              <w:rPr>
                <w:rFonts w:hint="eastAsia"/>
                <w:color w:val="auto"/>
                <w:highlight w:val="none"/>
                <w:lang w:eastAsia="zh-CN"/>
              </w:rPr>
              <w:t>程中</w:t>
            </w:r>
            <w:r>
              <w:rPr>
                <w:rFonts w:hint="eastAsia"/>
                <w:color w:val="auto"/>
                <w:highlight w:val="none"/>
              </w:rPr>
              <w:t>全部以气体形式挥发</w:t>
            </w:r>
            <w:r>
              <w:rPr>
                <w:rFonts w:hint="eastAsia"/>
                <w:color w:val="auto"/>
                <w:highlight w:val="none"/>
                <w:lang w:eastAsia="zh-CN"/>
              </w:rPr>
              <w:t>，</w:t>
            </w:r>
            <w:r>
              <w:rPr>
                <w:rFonts w:hint="eastAsia"/>
                <w:color w:val="auto"/>
                <w:highlight w:val="none"/>
                <w:lang w:val="en-US" w:eastAsia="zh-CN"/>
              </w:rPr>
              <w:t>参考最大值计算</w:t>
            </w:r>
            <w:r>
              <w:rPr>
                <w:rFonts w:hint="eastAsia"/>
                <w:color w:val="auto"/>
                <w:highlight w:val="none"/>
                <w:lang w:eastAsia="zh-CN"/>
              </w:rPr>
              <w:t>，</w:t>
            </w:r>
            <w:r>
              <w:rPr>
                <w:rFonts w:hint="eastAsia"/>
                <w:color w:val="auto"/>
                <w:highlight w:val="none"/>
                <w:lang w:val="en-US" w:eastAsia="zh-CN"/>
              </w:rPr>
              <w:t>由上得游离单体挥发量约为1366.01mg/kg-原料</w:t>
            </w:r>
            <w:r>
              <w:rPr>
                <w:rFonts w:hint="eastAsia"/>
                <w:color w:val="auto"/>
                <w:highlight w:val="none"/>
              </w:rPr>
              <w:t>。</w:t>
            </w:r>
          </w:p>
          <w:p w14:paraId="24029CA0">
            <w:pPr>
              <w:pStyle w:val="18"/>
              <w:bidi w:val="0"/>
              <w:rPr>
                <w:rFonts w:hint="default" w:eastAsia="宋体"/>
                <w:color w:val="auto"/>
                <w:highlight w:val="none"/>
                <w:lang w:val="en-US" w:eastAsia="zh-CN"/>
              </w:rPr>
            </w:pPr>
            <w:r>
              <w:rPr>
                <w:rFonts w:hint="eastAsia"/>
                <w:color w:val="auto"/>
                <w:highlight w:val="none"/>
                <w:lang w:val="en-US" w:eastAsia="zh-CN"/>
              </w:rPr>
              <w:t>本项目ABS塑料用量252.709t，污染物</w:t>
            </w:r>
            <w:r>
              <w:rPr>
                <w:rFonts w:hint="eastAsia"/>
                <w:color w:val="auto"/>
                <w:highlight w:val="none"/>
              </w:rPr>
              <w:t>源强</w:t>
            </w:r>
            <w:r>
              <w:rPr>
                <w:rFonts w:hint="eastAsia"/>
                <w:color w:val="auto"/>
                <w:highlight w:val="none"/>
                <w:lang w:val="en-US" w:eastAsia="zh-CN"/>
              </w:rPr>
              <w:t>核算如下：</w:t>
            </w:r>
          </w:p>
          <w:p w14:paraId="6F1048DF">
            <w:pPr>
              <w:pStyle w:val="19"/>
              <w:spacing w:before="156"/>
              <w:rPr>
                <w:rFonts w:hint="default"/>
                <w:color w:val="auto"/>
                <w:highlight w:val="none"/>
                <w:lang w:val="en-US" w:eastAsia="zh-CN"/>
              </w:rPr>
            </w:pPr>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1</w:t>
            </w:r>
            <w:r>
              <w:rPr>
                <w:color w:val="auto"/>
                <w:highlight w:val="none"/>
              </w:rPr>
              <w:fldChar w:fldCharType="end"/>
            </w:r>
            <w:r>
              <w:rPr>
                <w:rFonts w:hint="eastAsia"/>
                <w:color w:val="auto"/>
                <w:highlight w:val="none"/>
              </w:rPr>
              <w:t xml:space="preserve">  </w:t>
            </w:r>
            <w:r>
              <w:rPr>
                <w:rFonts w:hint="eastAsia"/>
                <w:color w:val="auto"/>
                <w:highlight w:val="none"/>
                <w:lang w:val="en-US" w:eastAsia="zh-CN"/>
              </w:rPr>
              <w:t>项目ABS</w:t>
            </w:r>
            <w:r>
              <w:rPr>
                <w:rFonts w:hint="eastAsia"/>
                <w:color w:val="auto"/>
                <w:highlight w:val="none"/>
                <w:lang w:eastAsia="zh-CN"/>
              </w:rPr>
              <w:t>塑料</w:t>
            </w:r>
            <w:r>
              <w:rPr>
                <w:rFonts w:hint="eastAsia"/>
                <w:color w:val="auto"/>
                <w:highlight w:val="none"/>
                <w:lang w:val="en-US" w:eastAsia="zh-CN"/>
              </w:rPr>
              <w:t>产品注塑废气其他污染物</w:t>
            </w:r>
            <w:r>
              <w:rPr>
                <w:rFonts w:hint="eastAsia"/>
                <w:color w:val="auto"/>
                <w:highlight w:val="none"/>
              </w:rPr>
              <w:t>源强计算表</w:t>
            </w: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179"/>
              <w:gridCol w:w="1994"/>
              <w:gridCol w:w="1781"/>
              <w:gridCol w:w="1430"/>
              <w:gridCol w:w="2083"/>
            </w:tblGrid>
            <w:tr w14:paraId="69116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696" w:type="pct"/>
                  <w:tcBorders>
                    <w:left w:val="single" w:color="auto" w:sz="4" w:space="0"/>
                    <w:right w:val="single" w:color="auto" w:sz="4" w:space="0"/>
                  </w:tcBorders>
                  <w:vAlign w:val="center"/>
                </w:tcPr>
                <w:p w14:paraId="7AEB8C4A">
                  <w:pPr>
                    <w:pStyle w:val="20"/>
                    <w:bidi w:val="0"/>
                    <w:rPr>
                      <w:rFonts w:hint="default"/>
                      <w:b/>
                      <w:bCs/>
                      <w:color w:val="auto"/>
                      <w:highlight w:val="none"/>
                      <w:lang w:val="en-US" w:eastAsia="zh-CN"/>
                    </w:rPr>
                  </w:pPr>
                  <w:r>
                    <w:rPr>
                      <w:rFonts w:hint="eastAsia"/>
                      <w:b/>
                      <w:bCs/>
                      <w:color w:val="auto"/>
                      <w:highlight w:val="none"/>
                      <w:lang w:val="en-US" w:eastAsia="zh-CN"/>
                    </w:rPr>
                    <w:t>ABS用量</w:t>
                  </w:r>
                </w:p>
              </w:tc>
              <w:tc>
                <w:tcPr>
                  <w:tcW w:w="1177" w:type="pct"/>
                  <w:tcBorders>
                    <w:left w:val="single" w:color="auto" w:sz="4" w:space="0"/>
                    <w:right w:val="single" w:color="auto" w:sz="4" w:space="0"/>
                  </w:tcBorders>
                  <w:vAlign w:val="center"/>
                </w:tcPr>
                <w:p w14:paraId="77A1FF42">
                  <w:pPr>
                    <w:pStyle w:val="20"/>
                    <w:bidi w:val="0"/>
                    <w:rPr>
                      <w:b/>
                      <w:bCs/>
                      <w:color w:val="auto"/>
                      <w:highlight w:val="none"/>
                    </w:rPr>
                  </w:pPr>
                  <w:r>
                    <w:rPr>
                      <w:rFonts w:hint="eastAsia"/>
                      <w:b/>
                      <w:bCs/>
                      <w:color w:val="auto"/>
                      <w:highlight w:val="none"/>
                    </w:rPr>
                    <w:t>污染物</w:t>
                  </w:r>
                </w:p>
              </w:tc>
              <w:tc>
                <w:tcPr>
                  <w:tcW w:w="1051" w:type="pct"/>
                  <w:tcBorders>
                    <w:left w:val="single" w:color="auto" w:sz="4" w:space="0"/>
                    <w:right w:val="single" w:color="auto" w:sz="4" w:space="0"/>
                  </w:tcBorders>
                  <w:vAlign w:val="center"/>
                </w:tcPr>
                <w:p w14:paraId="34820FE6">
                  <w:pPr>
                    <w:pStyle w:val="20"/>
                    <w:bidi w:val="0"/>
                    <w:rPr>
                      <w:b/>
                      <w:bCs/>
                      <w:color w:val="auto"/>
                      <w:highlight w:val="none"/>
                    </w:rPr>
                  </w:pPr>
                  <w:r>
                    <w:rPr>
                      <w:rFonts w:hint="eastAsia"/>
                      <w:b/>
                      <w:bCs/>
                      <w:color w:val="auto"/>
                      <w:highlight w:val="none"/>
                    </w:rPr>
                    <w:t>系数</w:t>
                  </w:r>
                </w:p>
              </w:tc>
              <w:tc>
                <w:tcPr>
                  <w:tcW w:w="844" w:type="pct"/>
                  <w:tcBorders>
                    <w:left w:val="single" w:color="auto" w:sz="4" w:space="0"/>
                    <w:right w:val="single" w:color="auto" w:sz="4" w:space="0"/>
                  </w:tcBorders>
                  <w:vAlign w:val="center"/>
                </w:tcPr>
                <w:p w14:paraId="688B34A7">
                  <w:pPr>
                    <w:pStyle w:val="20"/>
                    <w:bidi w:val="0"/>
                    <w:rPr>
                      <w:rFonts w:hint="default"/>
                      <w:b/>
                      <w:bCs/>
                      <w:color w:val="auto"/>
                      <w:highlight w:val="none"/>
                      <w:lang w:val="en-US" w:eastAsia="zh-CN"/>
                    </w:rPr>
                  </w:pPr>
                  <w:r>
                    <w:rPr>
                      <w:rFonts w:hint="eastAsia"/>
                      <w:b/>
                      <w:bCs/>
                      <w:color w:val="auto"/>
                      <w:highlight w:val="none"/>
                      <w:lang w:val="en-US" w:eastAsia="zh-CN"/>
                    </w:rPr>
                    <w:t>单位</w:t>
                  </w:r>
                </w:p>
              </w:tc>
              <w:tc>
                <w:tcPr>
                  <w:tcW w:w="1229" w:type="pct"/>
                  <w:tcBorders>
                    <w:left w:val="single" w:color="auto" w:sz="4" w:space="0"/>
                    <w:right w:val="single" w:color="auto" w:sz="4" w:space="0"/>
                  </w:tcBorders>
                  <w:vAlign w:val="center"/>
                </w:tcPr>
                <w:p w14:paraId="6F742CF6">
                  <w:pPr>
                    <w:pStyle w:val="20"/>
                    <w:bidi w:val="0"/>
                    <w:rPr>
                      <w:b/>
                      <w:bCs/>
                      <w:color w:val="auto"/>
                      <w:highlight w:val="none"/>
                    </w:rPr>
                  </w:pPr>
                  <w:r>
                    <w:rPr>
                      <w:rFonts w:hint="eastAsia"/>
                      <w:b/>
                      <w:bCs/>
                      <w:color w:val="auto"/>
                      <w:highlight w:val="none"/>
                      <w:lang w:val="en-US" w:eastAsia="zh-CN"/>
                    </w:rPr>
                    <w:t>污染物产生</w:t>
                  </w:r>
                  <w:r>
                    <w:rPr>
                      <w:rFonts w:hint="eastAsia"/>
                      <w:b/>
                      <w:bCs/>
                      <w:color w:val="auto"/>
                      <w:highlight w:val="none"/>
                    </w:rPr>
                    <w:t>量t/a</w:t>
                  </w:r>
                </w:p>
              </w:tc>
            </w:tr>
            <w:tr w14:paraId="6E253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96" w:type="pct"/>
                  <w:vMerge w:val="restart"/>
                  <w:tcBorders>
                    <w:left w:val="single" w:color="auto" w:sz="4" w:space="0"/>
                    <w:right w:val="single" w:color="auto" w:sz="4" w:space="0"/>
                  </w:tcBorders>
                  <w:vAlign w:val="center"/>
                </w:tcPr>
                <w:p w14:paraId="7EF38EF7">
                  <w:pPr>
                    <w:pStyle w:val="20"/>
                    <w:bidi w:val="0"/>
                    <w:rPr>
                      <w:rFonts w:hint="default"/>
                      <w:color w:val="auto"/>
                      <w:highlight w:val="none"/>
                      <w:lang w:val="en-US" w:eastAsia="zh-CN"/>
                    </w:rPr>
                  </w:pPr>
                  <w:r>
                    <w:rPr>
                      <w:rFonts w:hint="eastAsia"/>
                      <w:color w:val="auto"/>
                      <w:highlight w:val="none"/>
                      <w:lang w:val="en-US" w:eastAsia="zh-CN"/>
                    </w:rPr>
                    <w:t>252.709t</w:t>
                  </w:r>
                </w:p>
              </w:tc>
              <w:tc>
                <w:tcPr>
                  <w:tcW w:w="1177" w:type="pct"/>
                  <w:tcBorders>
                    <w:left w:val="single" w:color="auto" w:sz="4" w:space="0"/>
                    <w:right w:val="single" w:color="auto" w:sz="4" w:space="0"/>
                  </w:tcBorders>
                  <w:vAlign w:val="center"/>
                </w:tcPr>
                <w:p w14:paraId="341CF3E5">
                  <w:pPr>
                    <w:pStyle w:val="20"/>
                    <w:bidi w:val="0"/>
                    <w:rPr>
                      <w:rFonts w:hint="eastAsia"/>
                      <w:color w:val="auto"/>
                      <w:highlight w:val="none"/>
                      <w:lang w:eastAsia="zh-CN"/>
                    </w:rPr>
                  </w:pPr>
                  <w:r>
                    <w:rPr>
                      <w:rFonts w:hint="default"/>
                      <w:color w:val="auto"/>
                      <w:highlight w:val="none"/>
                    </w:rPr>
                    <w:t>苯乙烯</w:t>
                  </w:r>
                </w:p>
              </w:tc>
              <w:tc>
                <w:tcPr>
                  <w:tcW w:w="1051" w:type="pct"/>
                  <w:tcBorders>
                    <w:left w:val="single" w:color="auto" w:sz="4" w:space="0"/>
                    <w:right w:val="single" w:color="auto" w:sz="4" w:space="0"/>
                  </w:tcBorders>
                  <w:vAlign w:val="center"/>
                </w:tcPr>
                <w:p w14:paraId="5A3AA1BB">
                  <w:pPr>
                    <w:pStyle w:val="20"/>
                    <w:bidi w:val="0"/>
                    <w:rPr>
                      <w:color w:val="auto"/>
                      <w:highlight w:val="none"/>
                    </w:rPr>
                  </w:pPr>
                  <w:r>
                    <w:rPr>
                      <w:rFonts w:hint="eastAsia"/>
                      <w:color w:val="auto"/>
                      <w:highlight w:val="none"/>
                    </w:rPr>
                    <w:t>1142.0</w:t>
                  </w:r>
                </w:p>
              </w:tc>
              <w:tc>
                <w:tcPr>
                  <w:tcW w:w="844" w:type="pct"/>
                  <w:tcBorders>
                    <w:left w:val="single" w:color="auto" w:sz="4" w:space="0"/>
                    <w:right w:val="single" w:color="auto" w:sz="4" w:space="0"/>
                  </w:tcBorders>
                  <w:vAlign w:val="center"/>
                </w:tcPr>
                <w:p w14:paraId="5C89E05E">
                  <w:pPr>
                    <w:pStyle w:val="20"/>
                    <w:bidi w:val="0"/>
                    <w:rPr>
                      <w:rFonts w:hint="default"/>
                      <w:color w:val="auto"/>
                      <w:highlight w:val="none"/>
                      <w:lang w:val="en-US" w:eastAsia="zh-CN"/>
                    </w:rPr>
                  </w:pPr>
                  <w:r>
                    <w:rPr>
                      <w:rFonts w:hint="eastAsia"/>
                      <w:color w:val="auto"/>
                      <w:highlight w:val="none"/>
                      <w:lang w:val="en-US" w:eastAsia="zh-CN"/>
                    </w:rPr>
                    <w:t>mg/kg</w:t>
                  </w:r>
                </w:p>
              </w:tc>
              <w:tc>
                <w:tcPr>
                  <w:tcW w:w="1229" w:type="pct"/>
                  <w:tcBorders>
                    <w:left w:val="single" w:color="auto" w:sz="4" w:space="0"/>
                    <w:right w:val="single" w:color="auto" w:sz="4" w:space="0"/>
                  </w:tcBorders>
                  <w:vAlign w:val="center"/>
                </w:tcPr>
                <w:p w14:paraId="7128F164">
                  <w:pPr>
                    <w:pStyle w:val="20"/>
                    <w:bidi w:val="0"/>
                    <w:rPr>
                      <w:rFonts w:hint="default" w:eastAsia="宋体"/>
                      <w:color w:val="auto"/>
                      <w:highlight w:val="none"/>
                      <w:lang w:val="en-US" w:eastAsia="zh-CN"/>
                    </w:rPr>
                  </w:pPr>
                  <w:r>
                    <w:rPr>
                      <w:rFonts w:hint="eastAsia"/>
                      <w:color w:val="auto"/>
                      <w:highlight w:val="none"/>
                      <w:lang w:val="en-US" w:eastAsia="zh-CN"/>
                    </w:rPr>
                    <w:t>0.289</w:t>
                  </w:r>
                </w:p>
              </w:tc>
            </w:tr>
            <w:tr w14:paraId="7CF54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96" w:type="pct"/>
                  <w:vMerge w:val="continue"/>
                  <w:tcBorders>
                    <w:left w:val="single" w:color="auto" w:sz="4" w:space="0"/>
                    <w:right w:val="single" w:color="auto" w:sz="4" w:space="0"/>
                  </w:tcBorders>
                  <w:vAlign w:val="center"/>
                </w:tcPr>
                <w:p w14:paraId="5009D7FA">
                  <w:pPr>
                    <w:pStyle w:val="20"/>
                    <w:bidi w:val="0"/>
                    <w:rPr>
                      <w:rFonts w:hint="eastAsia"/>
                      <w:color w:val="auto"/>
                      <w:highlight w:val="none"/>
                    </w:rPr>
                  </w:pPr>
                </w:p>
              </w:tc>
              <w:tc>
                <w:tcPr>
                  <w:tcW w:w="1177" w:type="pct"/>
                  <w:tcBorders>
                    <w:left w:val="single" w:color="auto" w:sz="4" w:space="0"/>
                    <w:right w:val="single" w:color="auto" w:sz="4" w:space="0"/>
                  </w:tcBorders>
                  <w:vAlign w:val="center"/>
                </w:tcPr>
                <w:p w14:paraId="0D8A4EA8">
                  <w:pPr>
                    <w:pStyle w:val="20"/>
                    <w:bidi w:val="0"/>
                    <w:rPr>
                      <w:rFonts w:hint="eastAsia"/>
                      <w:color w:val="auto"/>
                      <w:highlight w:val="none"/>
                    </w:rPr>
                  </w:pPr>
                  <w:r>
                    <w:rPr>
                      <w:rFonts w:hint="eastAsia"/>
                      <w:color w:val="auto"/>
                      <w:highlight w:val="none"/>
                    </w:rPr>
                    <w:t>丙烯腈</w:t>
                  </w:r>
                </w:p>
              </w:tc>
              <w:tc>
                <w:tcPr>
                  <w:tcW w:w="1051" w:type="pct"/>
                  <w:tcBorders>
                    <w:left w:val="single" w:color="auto" w:sz="4" w:space="0"/>
                    <w:right w:val="single" w:color="auto" w:sz="4" w:space="0"/>
                  </w:tcBorders>
                  <w:vAlign w:val="center"/>
                </w:tcPr>
                <w:p w14:paraId="1477D373">
                  <w:pPr>
                    <w:pStyle w:val="20"/>
                    <w:bidi w:val="0"/>
                    <w:rPr>
                      <w:rFonts w:hint="default"/>
                      <w:color w:val="auto"/>
                      <w:highlight w:val="none"/>
                      <w:lang w:val="en-US" w:eastAsia="zh-CN"/>
                    </w:rPr>
                  </w:pPr>
                  <w:r>
                    <w:rPr>
                      <w:rFonts w:hint="eastAsia"/>
                      <w:color w:val="auto"/>
                      <w:highlight w:val="none"/>
                    </w:rPr>
                    <w:t>51.3</w:t>
                  </w:r>
                </w:p>
              </w:tc>
              <w:tc>
                <w:tcPr>
                  <w:tcW w:w="844" w:type="pct"/>
                  <w:tcBorders>
                    <w:left w:val="single" w:color="auto" w:sz="4" w:space="0"/>
                    <w:right w:val="single" w:color="auto" w:sz="4" w:space="0"/>
                  </w:tcBorders>
                  <w:vAlign w:val="center"/>
                </w:tcPr>
                <w:p w14:paraId="014CD19F">
                  <w:pPr>
                    <w:pStyle w:val="20"/>
                    <w:bidi w:val="0"/>
                    <w:rPr>
                      <w:rFonts w:hint="default"/>
                      <w:color w:val="auto"/>
                      <w:highlight w:val="none"/>
                      <w:lang w:val="en-US" w:eastAsia="zh-CN"/>
                    </w:rPr>
                  </w:pPr>
                  <w:r>
                    <w:rPr>
                      <w:rFonts w:hint="eastAsia"/>
                      <w:color w:val="auto"/>
                      <w:highlight w:val="none"/>
                      <w:lang w:val="en-US" w:eastAsia="zh-CN"/>
                    </w:rPr>
                    <w:t>mg/kg</w:t>
                  </w:r>
                </w:p>
              </w:tc>
              <w:tc>
                <w:tcPr>
                  <w:tcW w:w="1229" w:type="pct"/>
                  <w:tcBorders>
                    <w:left w:val="single" w:color="auto" w:sz="4" w:space="0"/>
                    <w:right w:val="single" w:color="auto" w:sz="4" w:space="0"/>
                  </w:tcBorders>
                  <w:vAlign w:val="center"/>
                </w:tcPr>
                <w:p w14:paraId="62E1A99E">
                  <w:pPr>
                    <w:pStyle w:val="20"/>
                    <w:bidi w:val="0"/>
                    <w:rPr>
                      <w:rFonts w:hint="default"/>
                      <w:color w:val="auto"/>
                      <w:highlight w:val="none"/>
                      <w:lang w:val="en-US" w:eastAsia="zh-CN"/>
                    </w:rPr>
                  </w:pPr>
                  <w:r>
                    <w:rPr>
                      <w:rFonts w:hint="eastAsia"/>
                      <w:color w:val="auto"/>
                      <w:highlight w:val="none"/>
                      <w:lang w:val="en-US" w:eastAsia="zh-CN"/>
                    </w:rPr>
                    <w:t>0.013</w:t>
                  </w:r>
                </w:p>
              </w:tc>
            </w:tr>
            <w:tr w14:paraId="66DF9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96" w:type="pct"/>
                  <w:vMerge w:val="continue"/>
                  <w:tcBorders>
                    <w:left w:val="single" w:color="auto" w:sz="4" w:space="0"/>
                    <w:right w:val="single" w:color="auto" w:sz="4" w:space="0"/>
                  </w:tcBorders>
                  <w:vAlign w:val="center"/>
                </w:tcPr>
                <w:p w14:paraId="555C0B18">
                  <w:pPr>
                    <w:pStyle w:val="20"/>
                    <w:bidi w:val="0"/>
                    <w:rPr>
                      <w:rFonts w:hint="eastAsia"/>
                      <w:color w:val="auto"/>
                      <w:highlight w:val="none"/>
                    </w:rPr>
                  </w:pPr>
                </w:p>
              </w:tc>
              <w:tc>
                <w:tcPr>
                  <w:tcW w:w="1177" w:type="pct"/>
                  <w:tcBorders>
                    <w:left w:val="single" w:color="auto" w:sz="4" w:space="0"/>
                    <w:right w:val="single" w:color="auto" w:sz="4" w:space="0"/>
                  </w:tcBorders>
                  <w:vAlign w:val="center"/>
                </w:tcPr>
                <w:p w14:paraId="2AF4D62D">
                  <w:pPr>
                    <w:pStyle w:val="20"/>
                    <w:bidi w:val="0"/>
                    <w:rPr>
                      <w:rFonts w:hint="eastAsia"/>
                      <w:color w:val="auto"/>
                      <w:highlight w:val="none"/>
                    </w:rPr>
                  </w:pPr>
                  <w:r>
                    <w:rPr>
                      <w:rFonts w:hint="eastAsia"/>
                      <w:color w:val="auto"/>
                      <w:highlight w:val="none"/>
                      <w:lang w:val="en-US" w:eastAsia="zh-CN"/>
                    </w:rPr>
                    <w:t>甲</w:t>
                  </w:r>
                  <w:r>
                    <w:rPr>
                      <w:rFonts w:hint="eastAsia"/>
                      <w:color w:val="auto"/>
                      <w:highlight w:val="none"/>
                    </w:rPr>
                    <w:t>苯</w:t>
                  </w:r>
                </w:p>
              </w:tc>
              <w:tc>
                <w:tcPr>
                  <w:tcW w:w="1051" w:type="pct"/>
                  <w:tcBorders>
                    <w:left w:val="single" w:color="auto" w:sz="4" w:space="0"/>
                    <w:right w:val="single" w:color="auto" w:sz="4" w:space="0"/>
                  </w:tcBorders>
                  <w:vAlign w:val="center"/>
                </w:tcPr>
                <w:p w14:paraId="34D645A9">
                  <w:pPr>
                    <w:pStyle w:val="20"/>
                    <w:bidi w:val="0"/>
                    <w:rPr>
                      <w:rFonts w:hint="default"/>
                      <w:color w:val="auto"/>
                      <w:highlight w:val="none"/>
                      <w:lang w:val="en-US" w:eastAsia="zh-CN"/>
                    </w:rPr>
                  </w:pPr>
                  <w:r>
                    <w:rPr>
                      <w:rFonts w:hint="eastAsia"/>
                      <w:color w:val="auto"/>
                      <w:highlight w:val="none"/>
                    </w:rPr>
                    <w:t>33.2</w:t>
                  </w:r>
                </w:p>
              </w:tc>
              <w:tc>
                <w:tcPr>
                  <w:tcW w:w="844" w:type="pct"/>
                  <w:tcBorders>
                    <w:left w:val="single" w:color="auto" w:sz="4" w:space="0"/>
                    <w:right w:val="single" w:color="auto" w:sz="4" w:space="0"/>
                  </w:tcBorders>
                  <w:vAlign w:val="center"/>
                </w:tcPr>
                <w:p w14:paraId="37FB4944">
                  <w:pPr>
                    <w:pStyle w:val="20"/>
                    <w:bidi w:val="0"/>
                    <w:rPr>
                      <w:rFonts w:hint="default"/>
                      <w:color w:val="auto"/>
                      <w:highlight w:val="none"/>
                      <w:lang w:val="en-US" w:eastAsia="zh-CN"/>
                    </w:rPr>
                  </w:pPr>
                  <w:r>
                    <w:rPr>
                      <w:rFonts w:hint="eastAsia"/>
                      <w:color w:val="auto"/>
                      <w:highlight w:val="none"/>
                      <w:lang w:val="en-US" w:eastAsia="zh-CN"/>
                    </w:rPr>
                    <w:t>mg/kg</w:t>
                  </w:r>
                </w:p>
              </w:tc>
              <w:tc>
                <w:tcPr>
                  <w:tcW w:w="1229" w:type="pct"/>
                  <w:tcBorders>
                    <w:left w:val="single" w:color="auto" w:sz="4" w:space="0"/>
                    <w:right w:val="single" w:color="auto" w:sz="4" w:space="0"/>
                  </w:tcBorders>
                  <w:vAlign w:val="center"/>
                </w:tcPr>
                <w:p w14:paraId="12A7ECEB">
                  <w:pPr>
                    <w:pStyle w:val="20"/>
                    <w:bidi w:val="0"/>
                    <w:rPr>
                      <w:rFonts w:hint="default"/>
                      <w:color w:val="auto"/>
                      <w:highlight w:val="none"/>
                      <w:lang w:val="en-US" w:eastAsia="zh-CN"/>
                    </w:rPr>
                  </w:pPr>
                  <w:r>
                    <w:rPr>
                      <w:rFonts w:hint="eastAsia"/>
                      <w:color w:val="auto"/>
                      <w:highlight w:val="none"/>
                      <w:lang w:val="en-US" w:eastAsia="zh-CN"/>
                    </w:rPr>
                    <w:t>0.008</w:t>
                  </w:r>
                </w:p>
              </w:tc>
            </w:tr>
            <w:tr w14:paraId="573D9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96" w:type="pct"/>
                  <w:vMerge w:val="continue"/>
                  <w:tcBorders>
                    <w:left w:val="single" w:color="auto" w:sz="4" w:space="0"/>
                    <w:right w:val="single" w:color="auto" w:sz="4" w:space="0"/>
                  </w:tcBorders>
                  <w:vAlign w:val="center"/>
                </w:tcPr>
                <w:p w14:paraId="079DF996">
                  <w:pPr>
                    <w:pStyle w:val="20"/>
                    <w:bidi w:val="0"/>
                    <w:rPr>
                      <w:rFonts w:hint="eastAsia"/>
                      <w:color w:val="auto"/>
                      <w:highlight w:val="none"/>
                    </w:rPr>
                  </w:pPr>
                </w:p>
              </w:tc>
              <w:tc>
                <w:tcPr>
                  <w:tcW w:w="1177" w:type="pct"/>
                  <w:tcBorders>
                    <w:left w:val="single" w:color="auto" w:sz="4" w:space="0"/>
                    <w:right w:val="single" w:color="auto" w:sz="4" w:space="0"/>
                  </w:tcBorders>
                  <w:vAlign w:val="center"/>
                </w:tcPr>
                <w:p w14:paraId="58440C86">
                  <w:pPr>
                    <w:pStyle w:val="20"/>
                    <w:bidi w:val="0"/>
                    <w:rPr>
                      <w:rFonts w:hint="eastAsia"/>
                      <w:color w:val="auto"/>
                      <w:highlight w:val="none"/>
                    </w:rPr>
                  </w:pPr>
                  <w:r>
                    <w:rPr>
                      <w:rFonts w:hint="eastAsia"/>
                      <w:color w:val="auto"/>
                      <w:highlight w:val="none"/>
                    </w:rPr>
                    <w:t>乙苯</w:t>
                  </w:r>
                </w:p>
              </w:tc>
              <w:tc>
                <w:tcPr>
                  <w:tcW w:w="1051" w:type="pct"/>
                  <w:tcBorders>
                    <w:left w:val="single" w:color="auto" w:sz="4" w:space="0"/>
                    <w:right w:val="single" w:color="auto" w:sz="4" w:space="0"/>
                  </w:tcBorders>
                  <w:vAlign w:val="center"/>
                </w:tcPr>
                <w:p w14:paraId="239C607C">
                  <w:pPr>
                    <w:pStyle w:val="20"/>
                    <w:bidi w:val="0"/>
                    <w:rPr>
                      <w:color w:val="auto"/>
                      <w:highlight w:val="none"/>
                    </w:rPr>
                  </w:pPr>
                  <w:r>
                    <w:rPr>
                      <w:rFonts w:hint="eastAsia"/>
                      <w:color w:val="auto"/>
                      <w:highlight w:val="none"/>
                      <w:lang w:val="en-US" w:eastAsia="zh-CN"/>
                    </w:rPr>
                    <w:t>135.2</w:t>
                  </w:r>
                </w:p>
              </w:tc>
              <w:tc>
                <w:tcPr>
                  <w:tcW w:w="844" w:type="pct"/>
                  <w:tcBorders>
                    <w:left w:val="single" w:color="auto" w:sz="4" w:space="0"/>
                    <w:right w:val="single" w:color="auto" w:sz="4" w:space="0"/>
                  </w:tcBorders>
                  <w:vAlign w:val="center"/>
                </w:tcPr>
                <w:p w14:paraId="4D2D3B88">
                  <w:pPr>
                    <w:pStyle w:val="20"/>
                    <w:bidi w:val="0"/>
                    <w:rPr>
                      <w:rFonts w:hint="default"/>
                      <w:color w:val="auto"/>
                      <w:highlight w:val="none"/>
                      <w:lang w:val="en-US" w:eastAsia="zh-CN"/>
                    </w:rPr>
                  </w:pPr>
                  <w:r>
                    <w:rPr>
                      <w:rFonts w:hint="eastAsia"/>
                      <w:color w:val="auto"/>
                      <w:highlight w:val="none"/>
                      <w:lang w:val="en-US" w:eastAsia="zh-CN"/>
                    </w:rPr>
                    <w:t>mg/kg</w:t>
                  </w:r>
                </w:p>
              </w:tc>
              <w:tc>
                <w:tcPr>
                  <w:tcW w:w="1229" w:type="pct"/>
                  <w:tcBorders>
                    <w:left w:val="single" w:color="auto" w:sz="4" w:space="0"/>
                    <w:right w:val="single" w:color="auto" w:sz="4" w:space="0"/>
                  </w:tcBorders>
                  <w:vAlign w:val="center"/>
                </w:tcPr>
                <w:p w14:paraId="5CCFC571">
                  <w:pPr>
                    <w:pStyle w:val="20"/>
                    <w:bidi w:val="0"/>
                    <w:rPr>
                      <w:rFonts w:hint="default"/>
                      <w:color w:val="auto"/>
                      <w:highlight w:val="none"/>
                      <w:lang w:val="en-US" w:eastAsia="zh-CN"/>
                    </w:rPr>
                  </w:pPr>
                  <w:r>
                    <w:rPr>
                      <w:rFonts w:hint="eastAsia"/>
                      <w:color w:val="auto"/>
                      <w:highlight w:val="none"/>
                      <w:lang w:val="en-US" w:eastAsia="zh-CN"/>
                    </w:rPr>
                    <w:t>0.034</w:t>
                  </w:r>
                </w:p>
              </w:tc>
            </w:tr>
            <w:tr w14:paraId="3F34A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96" w:type="pct"/>
                  <w:vMerge w:val="continue"/>
                  <w:tcBorders>
                    <w:left w:val="single" w:color="auto" w:sz="4" w:space="0"/>
                    <w:right w:val="single" w:color="auto" w:sz="4" w:space="0"/>
                  </w:tcBorders>
                  <w:vAlign w:val="center"/>
                </w:tcPr>
                <w:p w14:paraId="2C6A0619">
                  <w:pPr>
                    <w:pStyle w:val="20"/>
                    <w:bidi w:val="0"/>
                    <w:rPr>
                      <w:rFonts w:hint="eastAsia"/>
                      <w:color w:val="auto"/>
                      <w:highlight w:val="none"/>
                    </w:rPr>
                  </w:pPr>
                </w:p>
              </w:tc>
              <w:tc>
                <w:tcPr>
                  <w:tcW w:w="1177" w:type="pct"/>
                  <w:tcBorders>
                    <w:left w:val="single" w:color="auto" w:sz="4" w:space="0"/>
                    <w:right w:val="single" w:color="auto" w:sz="4" w:space="0"/>
                  </w:tcBorders>
                  <w:vAlign w:val="center"/>
                </w:tcPr>
                <w:p w14:paraId="76BB615D">
                  <w:pPr>
                    <w:pStyle w:val="20"/>
                    <w:bidi w:val="0"/>
                    <w:rPr>
                      <w:rFonts w:hint="eastAsia"/>
                      <w:color w:val="auto"/>
                      <w:highlight w:val="none"/>
                    </w:rPr>
                  </w:pPr>
                  <w:r>
                    <w:rPr>
                      <w:rFonts w:hint="eastAsia"/>
                      <w:color w:val="auto"/>
                      <w:highlight w:val="none"/>
                    </w:rPr>
                    <w:t>1</w:t>
                  </w:r>
                  <w:r>
                    <w:rPr>
                      <w:rFonts w:hint="eastAsia"/>
                      <w:color w:val="auto"/>
                      <w:highlight w:val="none"/>
                      <w:lang w:val="en-US" w:eastAsia="zh-CN"/>
                    </w:rPr>
                    <w:t>,</w:t>
                  </w:r>
                  <w:r>
                    <w:rPr>
                      <w:rFonts w:hint="eastAsia"/>
                      <w:color w:val="auto"/>
                      <w:highlight w:val="none"/>
                    </w:rPr>
                    <w:t>3-丁二烯</w:t>
                  </w:r>
                </w:p>
              </w:tc>
              <w:tc>
                <w:tcPr>
                  <w:tcW w:w="1051" w:type="pct"/>
                  <w:tcBorders>
                    <w:left w:val="single" w:color="auto" w:sz="4" w:space="0"/>
                    <w:right w:val="single" w:color="auto" w:sz="4" w:space="0"/>
                  </w:tcBorders>
                  <w:vAlign w:val="center"/>
                </w:tcPr>
                <w:p w14:paraId="0D0236B7">
                  <w:pPr>
                    <w:pStyle w:val="20"/>
                    <w:bidi w:val="0"/>
                    <w:rPr>
                      <w:rFonts w:hint="default"/>
                      <w:color w:val="auto"/>
                      <w:highlight w:val="none"/>
                      <w:lang w:val="en-US" w:eastAsia="zh-CN"/>
                    </w:rPr>
                  </w:pPr>
                  <w:r>
                    <w:rPr>
                      <w:rFonts w:hint="eastAsia"/>
                      <w:color w:val="auto"/>
                      <w:highlight w:val="none"/>
                      <w:lang w:val="en-US" w:eastAsia="zh-CN"/>
                    </w:rPr>
                    <w:t>4.31</w:t>
                  </w:r>
                </w:p>
              </w:tc>
              <w:tc>
                <w:tcPr>
                  <w:tcW w:w="844" w:type="pct"/>
                  <w:tcBorders>
                    <w:left w:val="single" w:color="auto" w:sz="4" w:space="0"/>
                    <w:right w:val="single" w:color="auto" w:sz="4" w:space="0"/>
                  </w:tcBorders>
                  <w:vAlign w:val="center"/>
                </w:tcPr>
                <w:p w14:paraId="4846BC9A">
                  <w:pPr>
                    <w:pStyle w:val="20"/>
                    <w:bidi w:val="0"/>
                    <w:rPr>
                      <w:rFonts w:hint="eastAsia"/>
                      <w:color w:val="auto"/>
                      <w:highlight w:val="none"/>
                      <w:lang w:val="en-US" w:eastAsia="zh-CN"/>
                    </w:rPr>
                  </w:pPr>
                  <w:r>
                    <w:rPr>
                      <w:rFonts w:hint="eastAsia"/>
                      <w:color w:val="auto"/>
                      <w:highlight w:val="none"/>
                      <w:lang w:val="en-US" w:eastAsia="zh-CN"/>
                    </w:rPr>
                    <w:t>mg/kg</w:t>
                  </w:r>
                </w:p>
              </w:tc>
              <w:tc>
                <w:tcPr>
                  <w:tcW w:w="1229" w:type="pct"/>
                  <w:tcBorders>
                    <w:left w:val="single" w:color="auto" w:sz="4" w:space="0"/>
                    <w:right w:val="single" w:color="auto" w:sz="4" w:space="0"/>
                  </w:tcBorders>
                  <w:vAlign w:val="center"/>
                </w:tcPr>
                <w:p w14:paraId="0D1194DD">
                  <w:pPr>
                    <w:pStyle w:val="20"/>
                    <w:bidi w:val="0"/>
                    <w:rPr>
                      <w:rFonts w:hint="default"/>
                      <w:color w:val="auto"/>
                      <w:highlight w:val="none"/>
                      <w:lang w:val="en-US" w:eastAsia="zh-CN"/>
                    </w:rPr>
                  </w:pPr>
                  <w:r>
                    <w:rPr>
                      <w:rFonts w:hint="eastAsia"/>
                      <w:color w:val="auto"/>
                      <w:highlight w:val="none"/>
                      <w:lang w:val="en-US" w:eastAsia="zh-CN"/>
                    </w:rPr>
                    <w:t>0.001</w:t>
                  </w:r>
                </w:p>
              </w:tc>
            </w:tr>
            <w:tr w14:paraId="59F06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96" w:type="pct"/>
                  <w:tcBorders>
                    <w:left w:val="single" w:color="auto" w:sz="4" w:space="0"/>
                    <w:right w:val="single" w:color="auto" w:sz="4" w:space="0"/>
                  </w:tcBorders>
                  <w:vAlign w:val="center"/>
                </w:tcPr>
                <w:p w14:paraId="2D0671E2">
                  <w:pPr>
                    <w:pStyle w:val="20"/>
                    <w:bidi w:val="0"/>
                    <w:rPr>
                      <w:rFonts w:hint="eastAsia"/>
                      <w:color w:val="auto"/>
                      <w:highlight w:val="none"/>
                      <w:lang w:val="en-US" w:eastAsia="zh-CN"/>
                    </w:rPr>
                  </w:pPr>
                  <w:r>
                    <w:rPr>
                      <w:rFonts w:hint="eastAsia"/>
                      <w:color w:val="auto"/>
                      <w:highlight w:val="none"/>
                      <w:lang w:val="en-US" w:eastAsia="zh-CN"/>
                    </w:rPr>
                    <w:t>总计</w:t>
                  </w:r>
                </w:p>
              </w:tc>
              <w:tc>
                <w:tcPr>
                  <w:tcW w:w="1177" w:type="pct"/>
                  <w:tcBorders>
                    <w:left w:val="single" w:color="auto" w:sz="4" w:space="0"/>
                    <w:right w:val="single" w:color="auto" w:sz="4" w:space="0"/>
                  </w:tcBorders>
                  <w:vAlign w:val="center"/>
                </w:tcPr>
                <w:p w14:paraId="1E0A2A71">
                  <w:pPr>
                    <w:pStyle w:val="20"/>
                    <w:bidi w:val="0"/>
                    <w:rPr>
                      <w:rFonts w:hint="default"/>
                      <w:color w:val="auto"/>
                      <w:highlight w:val="none"/>
                      <w:lang w:val="en-US" w:eastAsia="zh-CN"/>
                    </w:rPr>
                  </w:pPr>
                  <w:r>
                    <w:rPr>
                      <w:rFonts w:hint="eastAsia"/>
                      <w:color w:val="auto"/>
                      <w:highlight w:val="none"/>
                      <w:lang w:val="en-US" w:eastAsia="zh-CN"/>
                    </w:rPr>
                    <w:t>/</w:t>
                  </w:r>
                </w:p>
              </w:tc>
              <w:tc>
                <w:tcPr>
                  <w:tcW w:w="1051" w:type="pct"/>
                  <w:tcBorders>
                    <w:left w:val="single" w:color="auto" w:sz="4" w:space="0"/>
                    <w:right w:val="single" w:color="auto" w:sz="4" w:space="0"/>
                  </w:tcBorders>
                  <w:vAlign w:val="center"/>
                </w:tcPr>
                <w:p w14:paraId="43F230D4">
                  <w:pPr>
                    <w:pStyle w:val="20"/>
                    <w:bidi w:val="0"/>
                    <w:rPr>
                      <w:rFonts w:hint="default"/>
                      <w:color w:val="auto"/>
                      <w:highlight w:val="none"/>
                      <w:lang w:val="en-US" w:eastAsia="zh-CN"/>
                    </w:rPr>
                  </w:pPr>
                  <w:r>
                    <w:rPr>
                      <w:rFonts w:hint="eastAsia"/>
                      <w:color w:val="auto"/>
                      <w:highlight w:val="none"/>
                      <w:lang w:val="en-US" w:eastAsia="zh-CN"/>
                    </w:rPr>
                    <w:t>1366.01</w:t>
                  </w:r>
                </w:p>
              </w:tc>
              <w:tc>
                <w:tcPr>
                  <w:tcW w:w="844" w:type="pct"/>
                  <w:tcBorders>
                    <w:left w:val="single" w:color="auto" w:sz="4" w:space="0"/>
                    <w:right w:val="single" w:color="auto" w:sz="4" w:space="0"/>
                  </w:tcBorders>
                  <w:vAlign w:val="center"/>
                </w:tcPr>
                <w:p w14:paraId="4C782070">
                  <w:pPr>
                    <w:pStyle w:val="20"/>
                    <w:bidi w:val="0"/>
                    <w:rPr>
                      <w:rFonts w:hint="eastAsia"/>
                      <w:color w:val="auto"/>
                      <w:highlight w:val="none"/>
                      <w:lang w:val="en-US" w:eastAsia="zh-CN"/>
                    </w:rPr>
                  </w:pPr>
                  <w:r>
                    <w:rPr>
                      <w:rFonts w:hint="eastAsia"/>
                      <w:color w:val="auto"/>
                      <w:highlight w:val="none"/>
                      <w:lang w:val="en-US" w:eastAsia="zh-CN"/>
                    </w:rPr>
                    <w:t>mg/kg</w:t>
                  </w:r>
                </w:p>
              </w:tc>
              <w:tc>
                <w:tcPr>
                  <w:tcW w:w="1229" w:type="pct"/>
                  <w:tcBorders>
                    <w:left w:val="single" w:color="auto" w:sz="4" w:space="0"/>
                    <w:right w:val="single" w:color="auto" w:sz="4" w:space="0"/>
                  </w:tcBorders>
                  <w:vAlign w:val="center"/>
                </w:tcPr>
                <w:p w14:paraId="6E06A1B5">
                  <w:pPr>
                    <w:pStyle w:val="20"/>
                    <w:bidi w:val="0"/>
                    <w:rPr>
                      <w:rFonts w:hint="default"/>
                      <w:color w:val="auto"/>
                      <w:highlight w:val="none"/>
                      <w:lang w:val="en-US" w:eastAsia="zh-CN"/>
                    </w:rPr>
                  </w:pPr>
                  <w:r>
                    <w:rPr>
                      <w:rFonts w:hint="eastAsia"/>
                      <w:color w:val="auto"/>
                      <w:highlight w:val="none"/>
                      <w:lang w:val="en-US" w:eastAsia="zh-CN"/>
                    </w:rPr>
                    <w:t>0.345</w:t>
                  </w:r>
                </w:p>
              </w:tc>
            </w:tr>
          </w:tbl>
          <w:p w14:paraId="5BA77FC0">
            <w:pPr>
              <w:pStyle w:val="18"/>
              <w:bidi w:val="0"/>
              <w:rPr>
                <w:b/>
                <w:bCs/>
                <w:color w:val="auto"/>
                <w:highlight w:val="none"/>
              </w:rPr>
            </w:pPr>
            <w:r>
              <w:rPr>
                <w:rFonts w:hint="default"/>
                <w:b/>
                <w:bCs/>
                <w:color w:val="auto"/>
                <w:highlight w:val="none"/>
              </w:rPr>
              <w:t>③苯乙烯、丙烯腈、丙烯酸、丙烯酸甲酯、丙烯酸丁酯、甲基丙烯酸甲酯、甲苯、乙苯</w:t>
            </w:r>
            <w:r>
              <w:rPr>
                <w:rFonts w:hint="eastAsia"/>
                <w:b/>
                <w:bCs/>
                <w:color w:val="auto"/>
                <w:highlight w:val="none"/>
              </w:rPr>
              <w:t>（</w:t>
            </w:r>
            <w:r>
              <w:rPr>
                <w:rFonts w:hint="eastAsia"/>
                <w:b/>
                <w:bCs/>
                <w:color w:val="auto"/>
                <w:highlight w:val="none"/>
                <w:lang w:eastAsia="zh-CN"/>
              </w:rPr>
              <w:t>源于</w:t>
            </w:r>
            <w:r>
              <w:rPr>
                <w:rFonts w:hint="eastAsia"/>
                <w:b/>
                <w:bCs/>
                <w:color w:val="auto"/>
                <w:highlight w:val="none"/>
              </w:rPr>
              <w:t>AS</w:t>
            </w:r>
            <w:r>
              <w:rPr>
                <w:rFonts w:hint="eastAsia"/>
                <w:b/>
                <w:bCs/>
                <w:color w:val="auto"/>
                <w:highlight w:val="none"/>
                <w:lang w:val="en-US" w:eastAsia="zh-CN"/>
              </w:rPr>
              <w:t>A</w:t>
            </w:r>
            <w:r>
              <w:rPr>
                <w:rFonts w:hint="eastAsia"/>
                <w:b/>
                <w:bCs/>
                <w:color w:val="auto"/>
                <w:highlight w:val="none"/>
                <w:lang w:eastAsia="zh-CN"/>
              </w:rPr>
              <w:t>塑料</w:t>
            </w:r>
            <w:r>
              <w:rPr>
                <w:rFonts w:hint="eastAsia"/>
                <w:b/>
                <w:bCs/>
                <w:color w:val="auto"/>
                <w:highlight w:val="none"/>
              </w:rPr>
              <w:t>）</w:t>
            </w:r>
          </w:p>
          <w:p w14:paraId="42B51FD7">
            <w:pPr>
              <w:pStyle w:val="18"/>
              <w:jc w:val="left"/>
              <w:rPr>
                <w:rFonts w:hint="eastAsia"/>
                <w:color w:val="auto"/>
                <w:highlight w:val="none"/>
                <w:lang w:val="en-US" w:eastAsia="zh-CN"/>
              </w:rPr>
            </w:pPr>
            <w:r>
              <w:rPr>
                <w:rFonts w:hint="eastAsia"/>
                <w:color w:val="auto"/>
                <w:highlight w:val="none"/>
                <w:lang w:val="en-US" w:eastAsia="zh-CN"/>
              </w:rPr>
              <w:t>ASA树脂加热有少量的游离单体逸出，根据ASA树脂合成工艺，ASA树脂合成工艺核心是采用接枝共聚的方法，在聚丙烯酸酯橡胶的骨架上，接枝上苯乙烯-丙烯腈的共聚物链（SAN），SAN树脂占比通常为50%-70%，比例越高，树脂刚性越强，但抗冲击性会相应减弱，评价按平均值60%计。ABS注塑中的挥发主要来自</w:t>
            </w:r>
            <w:r>
              <w:rPr>
                <w:rFonts w:hint="default"/>
                <w:color w:val="auto"/>
                <w:highlight w:val="none"/>
                <w:lang w:val="en-US" w:eastAsia="zh-CN"/>
              </w:rPr>
              <w:t>SAN相中未反应的苯乙烯和丙烯腈</w:t>
            </w:r>
            <w:r>
              <w:rPr>
                <w:rFonts w:hint="eastAsia"/>
                <w:color w:val="auto"/>
                <w:highlight w:val="none"/>
                <w:lang w:val="en-US" w:eastAsia="zh-CN"/>
              </w:rPr>
              <w:t>，</w:t>
            </w:r>
            <w:r>
              <w:rPr>
                <w:rFonts w:hint="default"/>
                <w:color w:val="auto"/>
                <w:highlight w:val="none"/>
                <w:lang w:val="en-US" w:eastAsia="zh-CN"/>
              </w:rPr>
              <w:t>聚丙烯酸酯橡胶相非常稳定，不易发生热氧化降解，挥发主要来自初始残留单体</w:t>
            </w:r>
            <w:r>
              <w:rPr>
                <w:rFonts w:hint="eastAsia"/>
                <w:color w:val="auto"/>
                <w:highlight w:val="none"/>
                <w:lang w:val="en-US" w:eastAsia="zh-CN"/>
              </w:rPr>
              <w:t>。</w:t>
            </w:r>
          </w:p>
          <w:p w14:paraId="51F252CC">
            <w:pPr>
              <w:pStyle w:val="18"/>
              <w:bidi w:val="0"/>
              <w:rPr>
                <w:rFonts w:hint="eastAsia"/>
                <w:color w:val="auto"/>
                <w:highlight w:val="none"/>
                <w:lang w:val="en-US" w:eastAsia="zh-CN"/>
              </w:rPr>
            </w:pPr>
            <w:r>
              <w:rPr>
                <w:rFonts w:hint="eastAsia"/>
                <w:color w:val="auto"/>
                <w:highlight w:val="none"/>
                <w:lang w:val="en-US" w:eastAsia="zh-CN"/>
              </w:rPr>
              <w:t>ABS和ASA塑料合成工艺都主要采用接枝共聚工艺，核心步骤都是：先制备橡胶相→在橡胶相上接枝硬相（SAN）→后处理与掺混造粒，ABS使用聚丁二烯橡胶作为增韧骨架，ASA使用聚丙烯酸酯橡胶作为增韧骨架。故ASA塑料中</w:t>
            </w:r>
            <w:r>
              <w:rPr>
                <w:rFonts w:hint="default"/>
                <w:color w:val="auto"/>
                <w:highlight w:val="none"/>
              </w:rPr>
              <w:t>苯乙烯、丙烯腈</w:t>
            </w:r>
            <w:r>
              <w:rPr>
                <w:rFonts w:hint="eastAsia"/>
                <w:color w:val="auto"/>
                <w:highlight w:val="none"/>
                <w:lang w:eastAsia="zh-CN"/>
              </w:rPr>
              <w:t>、</w:t>
            </w:r>
            <w:r>
              <w:rPr>
                <w:rFonts w:hint="default"/>
                <w:color w:val="auto"/>
                <w:highlight w:val="none"/>
              </w:rPr>
              <w:t>甲苯、乙苯</w:t>
            </w:r>
            <w:r>
              <w:rPr>
                <w:rFonts w:hint="eastAsia"/>
                <w:color w:val="auto"/>
                <w:highlight w:val="none"/>
                <w:lang w:val="en-US" w:eastAsia="zh-CN"/>
              </w:rPr>
              <w:t>单体含量参照上文ABS塑料残留单体系数核算，</w:t>
            </w:r>
            <w:r>
              <w:rPr>
                <w:rFonts w:hint="eastAsia"/>
                <w:color w:val="auto"/>
                <w:highlight w:val="none"/>
              </w:rPr>
              <w:t>苯乙烯单体含量</w:t>
            </w:r>
            <w:r>
              <w:rPr>
                <w:rFonts w:hint="eastAsia"/>
                <w:color w:val="auto"/>
                <w:highlight w:val="none"/>
                <w:lang w:val="en-US" w:eastAsia="zh-CN"/>
              </w:rPr>
              <w:t>为</w:t>
            </w:r>
            <w:r>
              <w:rPr>
                <w:rFonts w:hint="eastAsia"/>
                <w:color w:val="auto"/>
                <w:highlight w:val="none"/>
              </w:rPr>
              <w:t>1142.0mg/kg</w:t>
            </w:r>
            <w:r>
              <w:rPr>
                <w:rFonts w:hint="eastAsia"/>
                <w:color w:val="auto"/>
                <w:highlight w:val="none"/>
                <w:lang w:eastAsia="zh-CN"/>
              </w:rPr>
              <w:t>，</w:t>
            </w:r>
            <w:r>
              <w:rPr>
                <w:rFonts w:hint="eastAsia"/>
                <w:color w:val="auto"/>
                <w:highlight w:val="none"/>
              </w:rPr>
              <w:t>丙烯腈单体含量51.3mg/kg</w:t>
            </w:r>
            <w:r>
              <w:rPr>
                <w:rFonts w:hint="eastAsia"/>
                <w:color w:val="auto"/>
                <w:highlight w:val="none"/>
                <w:lang w:eastAsia="zh-CN"/>
              </w:rPr>
              <w:t>，</w:t>
            </w:r>
            <w:r>
              <w:rPr>
                <w:rFonts w:hint="eastAsia"/>
                <w:color w:val="auto"/>
                <w:highlight w:val="none"/>
                <w:lang w:val="en-US" w:eastAsia="zh-CN"/>
              </w:rPr>
              <w:t>甲</w:t>
            </w:r>
            <w:r>
              <w:rPr>
                <w:rFonts w:hint="eastAsia"/>
                <w:color w:val="auto"/>
                <w:highlight w:val="none"/>
              </w:rPr>
              <w:t>苯单体含量33.2mg/kg，乙苯单体含量</w:t>
            </w:r>
            <w:r>
              <w:rPr>
                <w:rFonts w:hint="eastAsia"/>
                <w:color w:val="auto"/>
                <w:highlight w:val="none"/>
                <w:lang w:val="en-US" w:eastAsia="zh-CN"/>
              </w:rPr>
              <w:t>135.2</w:t>
            </w:r>
            <w:r>
              <w:rPr>
                <w:rFonts w:hint="eastAsia"/>
                <w:color w:val="auto"/>
                <w:highlight w:val="none"/>
              </w:rPr>
              <w:t>mg/kg</w:t>
            </w:r>
            <w:r>
              <w:rPr>
                <w:rFonts w:hint="eastAsia"/>
                <w:color w:val="auto"/>
                <w:highlight w:val="none"/>
                <w:lang w:eastAsia="zh-CN"/>
              </w:rPr>
              <w:t>。</w:t>
            </w:r>
          </w:p>
          <w:p w14:paraId="6722880E">
            <w:pPr>
              <w:pStyle w:val="18"/>
              <w:rPr>
                <w:rFonts w:hint="eastAsia"/>
                <w:color w:val="auto"/>
                <w:highlight w:val="none"/>
                <w:lang w:val="en-US" w:eastAsia="zh-CN"/>
              </w:rPr>
            </w:pPr>
            <w:r>
              <w:rPr>
                <w:rFonts w:hint="eastAsia"/>
                <w:color w:val="auto"/>
                <w:highlight w:val="none"/>
                <w:lang w:val="en-US" w:eastAsia="zh-CN"/>
              </w:rPr>
              <w:t>丙烯酸酯残留单体，参考</w:t>
            </w:r>
            <w:r>
              <w:rPr>
                <w:rFonts w:hint="eastAsia"/>
                <w:color w:val="auto"/>
                <w:highlight w:val="none"/>
                <w:lang w:eastAsia="zh-CN"/>
              </w:rPr>
              <w:t>《溶解沉淀-顶空气相色谱/质谱法测定丙烯酸树脂中残余单体》</w:t>
            </w:r>
            <w:r>
              <w:rPr>
                <w:rFonts w:hint="eastAsia"/>
                <w:color w:val="auto"/>
                <w:highlight w:val="none"/>
                <w:lang w:val="en-US" w:eastAsia="zh-CN"/>
              </w:rPr>
              <w:t>（</w:t>
            </w:r>
            <w:r>
              <w:rPr>
                <w:rFonts w:hint="eastAsia"/>
                <w:color w:val="auto"/>
                <w:highlight w:val="none"/>
                <w:lang w:eastAsia="zh-CN"/>
              </w:rPr>
              <w:t>张琛,李成发,刘冬春,等.分析试验室,2015,34(01):81-86.）</w:t>
            </w:r>
            <w:r>
              <w:rPr>
                <w:rFonts w:hint="eastAsia"/>
                <w:color w:val="auto"/>
                <w:highlight w:val="none"/>
                <w:lang w:val="en-US" w:eastAsia="zh-CN"/>
              </w:rPr>
              <w:t>中检测实例，称取5个丙烯酸树脂样品进行分析，5个样品均被检出含有甲基丙烯酸甲酯单体，含量在667.3~2181.7mg/kg之间；其中4个样品检出含有丙烯酸甲酯单体，含量为53.9~60.6mg/kg之间。参考《毛细管气相色谱法测定丙烯酸树脂中残余单体》（王妍,李亚波,石基强,等.中国涂料,2009,24(07):40-44.）中残余单体测定结果，丙烯酸残余单体含量约为0.08%，丙烯酸丁酯残余单体含量约为0.4%。</w:t>
            </w:r>
          </w:p>
          <w:p w14:paraId="5ACB5BE4">
            <w:pPr>
              <w:pStyle w:val="18"/>
              <w:bidi w:val="0"/>
              <w:rPr>
                <w:rFonts w:hint="default" w:eastAsia="宋体"/>
                <w:color w:val="auto"/>
                <w:highlight w:val="none"/>
                <w:lang w:val="en-US" w:eastAsia="zh-CN"/>
              </w:rPr>
            </w:pPr>
            <w:r>
              <w:rPr>
                <w:rFonts w:hint="eastAsia"/>
                <w:color w:val="auto"/>
                <w:highlight w:val="none"/>
                <w:lang w:val="en-US" w:eastAsia="zh-CN"/>
              </w:rPr>
              <w:t>综上，</w:t>
            </w:r>
            <w:r>
              <w:rPr>
                <w:rFonts w:hint="eastAsia"/>
                <w:color w:val="auto"/>
                <w:highlight w:val="none"/>
              </w:rPr>
              <w:t>考虑</w:t>
            </w:r>
            <w:r>
              <w:rPr>
                <w:rFonts w:hint="eastAsia"/>
                <w:color w:val="auto"/>
                <w:highlight w:val="none"/>
                <w:lang w:val="en-US" w:eastAsia="zh-CN"/>
              </w:rPr>
              <w:t>ASA塑料中</w:t>
            </w:r>
            <w:r>
              <w:rPr>
                <w:rFonts w:hint="eastAsia"/>
                <w:color w:val="auto"/>
                <w:highlight w:val="none"/>
                <w:lang w:eastAsia="zh-CN"/>
              </w:rPr>
              <w:t>以上单体物质在生产</w:t>
            </w:r>
            <w:r>
              <w:rPr>
                <w:rFonts w:hint="eastAsia"/>
                <w:color w:val="auto"/>
                <w:highlight w:val="none"/>
              </w:rPr>
              <w:t>过</w:t>
            </w:r>
            <w:r>
              <w:rPr>
                <w:rFonts w:hint="eastAsia"/>
                <w:color w:val="auto"/>
                <w:highlight w:val="none"/>
                <w:lang w:eastAsia="zh-CN"/>
              </w:rPr>
              <w:t>程中</w:t>
            </w:r>
            <w:r>
              <w:rPr>
                <w:rFonts w:hint="eastAsia"/>
                <w:color w:val="auto"/>
                <w:highlight w:val="none"/>
              </w:rPr>
              <w:t>全部以气体形式挥发</w:t>
            </w:r>
            <w:r>
              <w:rPr>
                <w:rFonts w:hint="eastAsia"/>
                <w:color w:val="auto"/>
                <w:highlight w:val="none"/>
                <w:lang w:eastAsia="zh-CN"/>
              </w:rPr>
              <w:t>，</w:t>
            </w:r>
            <w:r>
              <w:rPr>
                <w:rFonts w:hint="eastAsia"/>
                <w:color w:val="auto"/>
                <w:highlight w:val="none"/>
                <w:lang w:val="en-US" w:eastAsia="zh-CN"/>
              </w:rPr>
              <w:t>参考最大值计算</w:t>
            </w:r>
            <w:r>
              <w:rPr>
                <w:rFonts w:hint="eastAsia"/>
                <w:color w:val="auto"/>
                <w:highlight w:val="none"/>
                <w:lang w:eastAsia="zh-CN"/>
              </w:rPr>
              <w:t>，</w:t>
            </w:r>
            <w:r>
              <w:rPr>
                <w:rFonts w:hint="eastAsia"/>
                <w:color w:val="auto"/>
                <w:highlight w:val="none"/>
                <w:lang w:val="en-US" w:eastAsia="zh-CN"/>
              </w:rPr>
              <w:t>游离单体挥发量约为3633.94mg/kg-原料</w:t>
            </w:r>
            <w:r>
              <w:rPr>
                <w:rFonts w:hint="eastAsia"/>
                <w:color w:val="auto"/>
                <w:highlight w:val="none"/>
              </w:rPr>
              <w:t>。</w:t>
            </w:r>
            <w:r>
              <w:rPr>
                <w:rFonts w:hint="eastAsia"/>
                <w:color w:val="auto"/>
                <w:highlight w:val="none"/>
                <w:lang w:val="en-US" w:eastAsia="zh-CN"/>
              </w:rPr>
              <w:t>本项目ASA总用量259.325t，污染物</w:t>
            </w:r>
            <w:r>
              <w:rPr>
                <w:rFonts w:hint="eastAsia"/>
                <w:color w:val="auto"/>
                <w:highlight w:val="none"/>
              </w:rPr>
              <w:t>源强</w:t>
            </w:r>
            <w:r>
              <w:rPr>
                <w:rFonts w:hint="eastAsia"/>
                <w:color w:val="auto"/>
                <w:highlight w:val="none"/>
                <w:lang w:val="en-US" w:eastAsia="zh-CN"/>
              </w:rPr>
              <w:t>核算如下：</w:t>
            </w:r>
          </w:p>
          <w:p w14:paraId="6B502293">
            <w:pPr>
              <w:pStyle w:val="19"/>
              <w:spacing w:before="156"/>
              <w:rPr>
                <w:rFonts w:hint="default"/>
                <w:color w:val="auto"/>
                <w:highlight w:val="none"/>
                <w:lang w:val="en-US" w:eastAsia="zh-CN"/>
              </w:rPr>
            </w:pPr>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2</w:t>
            </w:r>
            <w:r>
              <w:rPr>
                <w:color w:val="auto"/>
                <w:highlight w:val="none"/>
              </w:rPr>
              <w:fldChar w:fldCharType="end"/>
            </w:r>
            <w:r>
              <w:rPr>
                <w:rFonts w:hint="eastAsia"/>
                <w:color w:val="auto"/>
                <w:highlight w:val="none"/>
              </w:rPr>
              <w:t xml:space="preserve">  </w:t>
            </w:r>
            <w:r>
              <w:rPr>
                <w:rFonts w:hint="eastAsia"/>
                <w:color w:val="auto"/>
                <w:highlight w:val="none"/>
                <w:lang w:val="en-US" w:eastAsia="zh-CN"/>
              </w:rPr>
              <w:t>项目</w:t>
            </w:r>
            <w:r>
              <w:rPr>
                <w:rFonts w:hint="eastAsia"/>
                <w:color w:val="auto"/>
                <w:highlight w:val="none"/>
              </w:rPr>
              <w:t>A</w:t>
            </w:r>
            <w:r>
              <w:rPr>
                <w:rFonts w:hint="eastAsia"/>
                <w:color w:val="auto"/>
                <w:highlight w:val="none"/>
                <w:lang w:val="en-US" w:eastAsia="zh-CN"/>
              </w:rPr>
              <w:t>SA</w:t>
            </w:r>
            <w:r>
              <w:rPr>
                <w:rFonts w:hint="eastAsia"/>
                <w:color w:val="auto"/>
                <w:highlight w:val="none"/>
                <w:lang w:eastAsia="zh-CN"/>
              </w:rPr>
              <w:t>塑料</w:t>
            </w:r>
            <w:r>
              <w:rPr>
                <w:rFonts w:hint="eastAsia"/>
                <w:color w:val="auto"/>
                <w:highlight w:val="none"/>
                <w:lang w:val="en-US" w:eastAsia="zh-CN"/>
              </w:rPr>
              <w:t>产品注塑废气其他污染物</w:t>
            </w:r>
            <w:r>
              <w:rPr>
                <w:rFonts w:hint="eastAsia"/>
                <w:color w:val="auto"/>
                <w:highlight w:val="none"/>
              </w:rPr>
              <w:t>源强计算表</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040"/>
              <w:gridCol w:w="1007"/>
              <w:gridCol w:w="1758"/>
              <w:gridCol w:w="1569"/>
              <w:gridCol w:w="1261"/>
              <w:gridCol w:w="1834"/>
            </w:tblGrid>
            <w:tr w14:paraId="3EB72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614" w:type="pct"/>
                  <w:tcBorders>
                    <w:left w:val="single" w:color="auto" w:sz="4" w:space="0"/>
                    <w:right w:val="single" w:color="auto" w:sz="4" w:space="0"/>
                  </w:tcBorders>
                  <w:vAlign w:val="center"/>
                </w:tcPr>
                <w:p w14:paraId="2474CE46">
                  <w:pPr>
                    <w:pStyle w:val="20"/>
                    <w:bidi w:val="0"/>
                    <w:rPr>
                      <w:rFonts w:hint="default"/>
                      <w:b/>
                      <w:bCs/>
                      <w:color w:val="auto"/>
                      <w:highlight w:val="none"/>
                      <w:lang w:val="en-US" w:eastAsia="zh-CN"/>
                    </w:rPr>
                  </w:pPr>
                  <w:r>
                    <w:rPr>
                      <w:rFonts w:hint="eastAsia"/>
                      <w:b/>
                      <w:bCs/>
                      <w:color w:val="auto"/>
                      <w:highlight w:val="none"/>
                      <w:lang w:val="en-US" w:eastAsia="zh-CN"/>
                    </w:rPr>
                    <w:t>ASA用量</w:t>
                  </w:r>
                </w:p>
              </w:tc>
              <w:tc>
                <w:tcPr>
                  <w:tcW w:w="594" w:type="pct"/>
                  <w:tcBorders>
                    <w:left w:val="single" w:color="auto" w:sz="4" w:space="0"/>
                    <w:right w:val="single" w:color="auto" w:sz="4" w:space="0"/>
                  </w:tcBorders>
                  <w:vAlign w:val="center"/>
                </w:tcPr>
                <w:p w14:paraId="49AB912F">
                  <w:pPr>
                    <w:pStyle w:val="20"/>
                    <w:bidi w:val="0"/>
                    <w:rPr>
                      <w:rFonts w:hint="eastAsia"/>
                      <w:b/>
                      <w:bCs/>
                      <w:color w:val="auto"/>
                      <w:highlight w:val="none"/>
                      <w:lang w:eastAsia="zh-CN"/>
                    </w:rPr>
                  </w:pPr>
                  <w:r>
                    <w:rPr>
                      <w:rFonts w:hint="eastAsia"/>
                      <w:b/>
                      <w:bCs/>
                      <w:color w:val="auto"/>
                      <w:highlight w:val="none"/>
                      <w:lang w:val="en-US" w:eastAsia="zh-CN"/>
                    </w:rPr>
                    <w:t>类别</w:t>
                  </w:r>
                </w:p>
              </w:tc>
              <w:tc>
                <w:tcPr>
                  <w:tcW w:w="1037" w:type="pct"/>
                  <w:tcBorders>
                    <w:left w:val="single" w:color="auto" w:sz="4" w:space="0"/>
                    <w:right w:val="single" w:color="auto" w:sz="4" w:space="0"/>
                  </w:tcBorders>
                  <w:vAlign w:val="center"/>
                </w:tcPr>
                <w:p w14:paraId="4DE652FE">
                  <w:pPr>
                    <w:pStyle w:val="20"/>
                    <w:bidi w:val="0"/>
                    <w:rPr>
                      <w:b/>
                      <w:bCs/>
                      <w:color w:val="auto"/>
                      <w:highlight w:val="none"/>
                    </w:rPr>
                  </w:pPr>
                  <w:r>
                    <w:rPr>
                      <w:rFonts w:hint="eastAsia"/>
                      <w:b/>
                      <w:bCs/>
                      <w:color w:val="auto"/>
                      <w:highlight w:val="none"/>
                    </w:rPr>
                    <w:t>污染物</w:t>
                  </w:r>
                </w:p>
              </w:tc>
              <w:tc>
                <w:tcPr>
                  <w:tcW w:w="926" w:type="pct"/>
                  <w:tcBorders>
                    <w:left w:val="single" w:color="auto" w:sz="4" w:space="0"/>
                    <w:right w:val="single" w:color="auto" w:sz="4" w:space="0"/>
                  </w:tcBorders>
                  <w:vAlign w:val="center"/>
                </w:tcPr>
                <w:p w14:paraId="4EFE8506">
                  <w:pPr>
                    <w:pStyle w:val="20"/>
                    <w:bidi w:val="0"/>
                    <w:rPr>
                      <w:b/>
                      <w:bCs/>
                      <w:color w:val="auto"/>
                      <w:highlight w:val="none"/>
                    </w:rPr>
                  </w:pPr>
                  <w:r>
                    <w:rPr>
                      <w:rFonts w:hint="eastAsia"/>
                      <w:b/>
                      <w:bCs/>
                      <w:color w:val="auto"/>
                      <w:highlight w:val="none"/>
                    </w:rPr>
                    <w:t>系数</w:t>
                  </w:r>
                </w:p>
              </w:tc>
              <w:tc>
                <w:tcPr>
                  <w:tcW w:w="744" w:type="pct"/>
                  <w:tcBorders>
                    <w:left w:val="single" w:color="auto" w:sz="4" w:space="0"/>
                    <w:right w:val="single" w:color="auto" w:sz="4" w:space="0"/>
                  </w:tcBorders>
                  <w:vAlign w:val="center"/>
                </w:tcPr>
                <w:p w14:paraId="11550C2F">
                  <w:pPr>
                    <w:pStyle w:val="20"/>
                    <w:bidi w:val="0"/>
                    <w:rPr>
                      <w:rFonts w:hint="default"/>
                      <w:b/>
                      <w:bCs/>
                      <w:color w:val="auto"/>
                      <w:highlight w:val="none"/>
                      <w:lang w:val="en-US" w:eastAsia="zh-CN"/>
                    </w:rPr>
                  </w:pPr>
                  <w:r>
                    <w:rPr>
                      <w:rFonts w:hint="eastAsia"/>
                      <w:b/>
                      <w:bCs/>
                      <w:color w:val="auto"/>
                      <w:highlight w:val="none"/>
                      <w:lang w:val="en-US" w:eastAsia="zh-CN"/>
                    </w:rPr>
                    <w:t>单位</w:t>
                  </w:r>
                </w:p>
              </w:tc>
              <w:tc>
                <w:tcPr>
                  <w:tcW w:w="1082" w:type="pct"/>
                  <w:tcBorders>
                    <w:left w:val="single" w:color="auto" w:sz="4" w:space="0"/>
                    <w:right w:val="single" w:color="auto" w:sz="4" w:space="0"/>
                  </w:tcBorders>
                  <w:vAlign w:val="center"/>
                </w:tcPr>
                <w:p w14:paraId="1A9804E6">
                  <w:pPr>
                    <w:pStyle w:val="20"/>
                    <w:bidi w:val="0"/>
                    <w:rPr>
                      <w:b/>
                      <w:bCs/>
                      <w:color w:val="auto"/>
                      <w:highlight w:val="none"/>
                    </w:rPr>
                  </w:pPr>
                  <w:r>
                    <w:rPr>
                      <w:rFonts w:hint="eastAsia"/>
                      <w:b/>
                      <w:bCs/>
                      <w:color w:val="auto"/>
                      <w:highlight w:val="none"/>
                      <w:lang w:val="en-US" w:eastAsia="zh-CN"/>
                    </w:rPr>
                    <w:t>污染物产生</w:t>
                  </w:r>
                  <w:r>
                    <w:rPr>
                      <w:rFonts w:hint="eastAsia"/>
                      <w:b/>
                      <w:bCs/>
                      <w:color w:val="auto"/>
                      <w:highlight w:val="none"/>
                    </w:rPr>
                    <w:t>量t/a</w:t>
                  </w:r>
                </w:p>
              </w:tc>
            </w:tr>
            <w:tr w14:paraId="273E4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14" w:type="pct"/>
                  <w:vMerge w:val="restart"/>
                  <w:tcBorders>
                    <w:left w:val="single" w:color="auto" w:sz="4" w:space="0"/>
                    <w:right w:val="single" w:color="auto" w:sz="4" w:space="0"/>
                  </w:tcBorders>
                  <w:vAlign w:val="center"/>
                </w:tcPr>
                <w:p w14:paraId="53E54A64">
                  <w:pPr>
                    <w:pStyle w:val="20"/>
                    <w:bidi w:val="0"/>
                    <w:rPr>
                      <w:rFonts w:hint="default"/>
                      <w:color w:val="auto"/>
                      <w:highlight w:val="none"/>
                      <w:lang w:val="en-US" w:eastAsia="zh-CN"/>
                    </w:rPr>
                  </w:pPr>
                  <w:r>
                    <w:rPr>
                      <w:rFonts w:hint="eastAsia"/>
                      <w:color w:val="auto"/>
                      <w:highlight w:val="none"/>
                      <w:lang w:val="en-US" w:eastAsia="zh-CN"/>
                    </w:rPr>
                    <w:t>259.325t</w:t>
                  </w:r>
                </w:p>
              </w:tc>
              <w:tc>
                <w:tcPr>
                  <w:tcW w:w="594" w:type="pct"/>
                  <w:vMerge w:val="restart"/>
                  <w:tcBorders>
                    <w:left w:val="single" w:color="auto" w:sz="4" w:space="0"/>
                    <w:right w:val="single" w:color="auto" w:sz="4" w:space="0"/>
                  </w:tcBorders>
                  <w:vAlign w:val="center"/>
                </w:tcPr>
                <w:p w14:paraId="02A8F3B1">
                  <w:pPr>
                    <w:pStyle w:val="20"/>
                    <w:bidi w:val="0"/>
                    <w:rPr>
                      <w:rFonts w:hint="default"/>
                      <w:color w:val="auto"/>
                      <w:highlight w:val="none"/>
                      <w:lang w:val="en-US" w:eastAsia="zh-CN"/>
                    </w:rPr>
                  </w:pPr>
                  <w:r>
                    <w:rPr>
                      <w:rFonts w:hint="eastAsia"/>
                      <w:color w:val="auto"/>
                      <w:highlight w:val="none"/>
                      <w:lang w:val="en-US" w:eastAsia="zh-CN"/>
                    </w:rPr>
                    <w:t>SAN（60%）</w:t>
                  </w:r>
                </w:p>
              </w:tc>
              <w:tc>
                <w:tcPr>
                  <w:tcW w:w="1037" w:type="pct"/>
                  <w:tcBorders>
                    <w:left w:val="single" w:color="auto" w:sz="4" w:space="0"/>
                    <w:right w:val="single" w:color="auto" w:sz="4" w:space="0"/>
                  </w:tcBorders>
                  <w:vAlign w:val="center"/>
                </w:tcPr>
                <w:p w14:paraId="08C1A72D">
                  <w:pPr>
                    <w:pStyle w:val="20"/>
                    <w:bidi w:val="0"/>
                    <w:rPr>
                      <w:rFonts w:hint="eastAsia"/>
                      <w:color w:val="auto"/>
                      <w:highlight w:val="none"/>
                      <w:lang w:eastAsia="zh-CN"/>
                    </w:rPr>
                  </w:pPr>
                  <w:r>
                    <w:rPr>
                      <w:rFonts w:hint="default"/>
                      <w:color w:val="auto"/>
                      <w:highlight w:val="none"/>
                    </w:rPr>
                    <w:t>苯乙烯</w:t>
                  </w:r>
                </w:p>
              </w:tc>
              <w:tc>
                <w:tcPr>
                  <w:tcW w:w="926" w:type="pct"/>
                  <w:tcBorders>
                    <w:left w:val="single" w:color="auto" w:sz="4" w:space="0"/>
                    <w:right w:val="single" w:color="auto" w:sz="4" w:space="0"/>
                  </w:tcBorders>
                  <w:vAlign w:val="center"/>
                </w:tcPr>
                <w:p w14:paraId="4F16D28E">
                  <w:pPr>
                    <w:pStyle w:val="20"/>
                    <w:bidi w:val="0"/>
                    <w:rPr>
                      <w:color w:val="auto"/>
                      <w:highlight w:val="none"/>
                    </w:rPr>
                  </w:pPr>
                  <w:r>
                    <w:rPr>
                      <w:rFonts w:hint="eastAsia"/>
                      <w:color w:val="auto"/>
                      <w:highlight w:val="none"/>
                    </w:rPr>
                    <w:t>1142.0</w:t>
                  </w:r>
                </w:p>
              </w:tc>
              <w:tc>
                <w:tcPr>
                  <w:tcW w:w="744" w:type="pct"/>
                  <w:tcBorders>
                    <w:left w:val="single" w:color="auto" w:sz="4" w:space="0"/>
                    <w:right w:val="single" w:color="auto" w:sz="4" w:space="0"/>
                  </w:tcBorders>
                  <w:vAlign w:val="center"/>
                </w:tcPr>
                <w:p w14:paraId="64DA5338">
                  <w:pPr>
                    <w:pStyle w:val="20"/>
                    <w:bidi w:val="0"/>
                    <w:rPr>
                      <w:rFonts w:hint="default"/>
                      <w:color w:val="auto"/>
                      <w:highlight w:val="none"/>
                      <w:lang w:val="en-US" w:eastAsia="zh-CN"/>
                    </w:rPr>
                  </w:pPr>
                  <w:r>
                    <w:rPr>
                      <w:rFonts w:hint="eastAsia"/>
                      <w:color w:val="auto"/>
                      <w:highlight w:val="none"/>
                      <w:lang w:val="en-US" w:eastAsia="zh-CN"/>
                    </w:rPr>
                    <w:t>mg/kg</w:t>
                  </w:r>
                </w:p>
              </w:tc>
              <w:tc>
                <w:tcPr>
                  <w:tcW w:w="1834" w:type="dxa"/>
                  <w:tcBorders>
                    <w:left w:val="single" w:color="auto" w:sz="4" w:space="0"/>
                    <w:right w:val="single" w:color="auto" w:sz="4" w:space="0"/>
                  </w:tcBorders>
                  <w:vAlign w:val="center"/>
                </w:tcPr>
                <w:p w14:paraId="25B577BF">
                  <w:pPr>
                    <w:pStyle w:val="20"/>
                    <w:bidi w:val="0"/>
                    <w:rPr>
                      <w:rFonts w:hint="default"/>
                      <w:color w:val="auto"/>
                      <w:highlight w:val="none"/>
                      <w:lang w:val="en-US"/>
                    </w:rPr>
                  </w:pPr>
                  <w:r>
                    <w:rPr>
                      <w:rFonts w:hint="default"/>
                      <w:color w:val="auto"/>
                      <w:highlight w:val="none"/>
                      <w:lang w:val="en-US" w:eastAsia="zh-CN"/>
                    </w:rPr>
                    <w:t>0.178</w:t>
                  </w:r>
                </w:p>
              </w:tc>
            </w:tr>
            <w:tr w14:paraId="435D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14" w:type="pct"/>
                  <w:vMerge w:val="continue"/>
                  <w:tcBorders>
                    <w:left w:val="single" w:color="auto" w:sz="4" w:space="0"/>
                    <w:right w:val="single" w:color="auto" w:sz="4" w:space="0"/>
                  </w:tcBorders>
                  <w:vAlign w:val="center"/>
                </w:tcPr>
                <w:p w14:paraId="06996834">
                  <w:pPr>
                    <w:pStyle w:val="20"/>
                    <w:bidi w:val="0"/>
                    <w:rPr>
                      <w:rFonts w:hint="eastAsia"/>
                      <w:color w:val="auto"/>
                      <w:highlight w:val="none"/>
                    </w:rPr>
                  </w:pPr>
                </w:p>
              </w:tc>
              <w:tc>
                <w:tcPr>
                  <w:tcW w:w="594" w:type="pct"/>
                  <w:vMerge w:val="continue"/>
                  <w:tcBorders>
                    <w:left w:val="single" w:color="auto" w:sz="4" w:space="0"/>
                    <w:right w:val="single" w:color="auto" w:sz="4" w:space="0"/>
                  </w:tcBorders>
                  <w:vAlign w:val="center"/>
                </w:tcPr>
                <w:p w14:paraId="2DA86FAA">
                  <w:pPr>
                    <w:pStyle w:val="20"/>
                    <w:bidi w:val="0"/>
                    <w:rPr>
                      <w:rFonts w:hint="eastAsia"/>
                      <w:color w:val="auto"/>
                      <w:highlight w:val="none"/>
                    </w:rPr>
                  </w:pPr>
                </w:p>
              </w:tc>
              <w:tc>
                <w:tcPr>
                  <w:tcW w:w="1037" w:type="pct"/>
                  <w:tcBorders>
                    <w:left w:val="single" w:color="auto" w:sz="4" w:space="0"/>
                    <w:right w:val="single" w:color="auto" w:sz="4" w:space="0"/>
                  </w:tcBorders>
                  <w:vAlign w:val="center"/>
                </w:tcPr>
                <w:p w14:paraId="29152BFC">
                  <w:pPr>
                    <w:pStyle w:val="20"/>
                    <w:bidi w:val="0"/>
                    <w:rPr>
                      <w:rFonts w:hint="eastAsia"/>
                      <w:color w:val="auto"/>
                      <w:highlight w:val="none"/>
                    </w:rPr>
                  </w:pPr>
                  <w:r>
                    <w:rPr>
                      <w:rFonts w:hint="eastAsia"/>
                      <w:color w:val="auto"/>
                      <w:highlight w:val="none"/>
                    </w:rPr>
                    <w:t>丙烯腈</w:t>
                  </w:r>
                </w:p>
              </w:tc>
              <w:tc>
                <w:tcPr>
                  <w:tcW w:w="926" w:type="pct"/>
                  <w:tcBorders>
                    <w:left w:val="single" w:color="auto" w:sz="4" w:space="0"/>
                    <w:right w:val="single" w:color="auto" w:sz="4" w:space="0"/>
                  </w:tcBorders>
                  <w:vAlign w:val="center"/>
                </w:tcPr>
                <w:p w14:paraId="0731E876">
                  <w:pPr>
                    <w:pStyle w:val="20"/>
                    <w:bidi w:val="0"/>
                    <w:rPr>
                      <w:rFonts w:hint="default"/>
                      <w:color w:val="auto"/>
                      <w:highlight w:val="none"/>
                      <w:lang w:val="en-US" w:eastAsia="zh-CN"/>
                    </w:rPr>
                  </w:pPr>
                  <w:r>
                    <w:rPr>
                      <w:rFonts w:hint="eastAsia"/>
                      <w:color w:val="auto"/>
                      <w:highlight w:val="none"/>
                    </w:rPr>
                    <w:t>51.3</w:t>
                  </w:r>
                </w:p>
              </w:tc>
              <w:tc>
                <w:tcPr>
                  <w:tcW w:w="744" w:type="pct"/>
                  <w:tcBorders>
                    <w:left w:val="single" w:color="auto" w:sz="4" w:space="0"/>
                    <w:right w:val="single" w:color="auto" w:sz="4" w:space="0"/>
                  </w:tcBorders>
                  <w:vAlign w:val="center"/>
                </w:tcPr>
                <w:p w14:paraId="3D5618C7">
                  <w:pPr>
                    <w:pStyle w:val="20"/>
                    <w:bidi w:val="0"/>
                    <w:rPr>
                      <w:rFonts w:hint="default"/>
                      <w:color w:val="auto"/>
                      <w:highlight w:val="none"/>
                      <w:lang w:val="en-US" w:eastAsia="zh-CN"/>
                    </w:rPr>
                  </w:pPr>
                  <w:r>
                    <w:rPr>
                      <w:rFonts w:hint="eastAsia"/>
                      <w:color w:val="auto"/>
                      <w:highlight w:val="none"/>
                      <w:lang w:val="en-US" w:eastAsia="zh-CN"/>
                    </w:rPr>
                    <w:t>mg/kg</w:t>
                  </w:r>
                </w:p>
              </w:tc>
              <w:tc>
                <w:tcPr>
                  <w:tcW w:w="1834" w:type="dxa"/>
                  <w:tcBorders>
                    <w:left w:val="single" w:color="auto" w:sz="4" w:space="0"/>
                    <w:right w:val="single" w:color="auto" w:sz="4" w:space="0"/>
                  </w:tcBorders>
                  <w:vAlign w:val="center"/>
                </w:tcPr>
                <w:p w14:paraId="2C8A1187">
                  <w:pPr>
                    <w:pStyle w:val="20"/>
                    <w:bidi w:val="0"/>
                    <w:rPr>
                      <w:rFonts w:hint="eastAsia"/>
                      <w:color w:val="auto"/>
                      <w:highlight w:val="none"/>
                      <w:lang w:val="en-US" w:eastAsia="zh-CN"/>
                    </w:rPr>
                  </w:pPr>
                  <w:r>
                    <w:rPr>
                      <w:rFonts w:hint="default"/>
                      <w:color w:val="auto"/>
                      <w:highlight w:val="none"/>
                      <w:lang w:val="en-US" w:eastAsia="zh-CN"/>
                    </w:rPr>
                    <w:t>0.008</w:t>
                  </w:r>
                </w:p>
              </w:tc>
            </w:tr>
            <w:tr w14:paraId="6E037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14" w:type="pct"/>
                  <w:vMerge w:val="continue"/>
                  <w:tcBorders>
                    <w:left w:val="single" w:color="auto" w:sz="4" w:space="0"/>
                    <w:right w:val="single" w:color="auto" w:sz="4" w:space="0"/>
                  </w:tcBorders>
                  <w:vAlign w:val="center"/>
                </w:tcPr>
                <w:p w14:paraId="1B595D76">
                  <w:pPr>
                    <w:pStyle w:val="20"/>
                    <w:bidi w:val="0"/>
                    <w:rPr>
                      <w:rFonts w:hint="eastAsia"/>
                      <w:color w:val="auto"/>
                      <w:highlight w:val="none"/>
                    </w:rPr>
                  </w:pPr>
                </w:p>
              </w:tc>
              <w:tc>
                <w:tcPr>
                  <w:tcW w:w="594" w:type="pct"/>
                  <w:vMerge w:val="continue"/>
                  <w:tcBorders>
                    <w:left w:val="single" w:color="auto" w:sz="4" w:space="0"/>
                    <w:right w:val="single" w:color="auto" w:sz="4" w:space="0"/>
                  </w:tcBorders>
                  <w:vAlign w:val="center"/>
                </w:tcPr>
                <w:p w14:paraId="471FD6FA">
                  <w:pPr>
                    <w:pStyle w:val="20"/>
                    <w:bidi w:val="0"/>
                    <w:rPr>
                      <w:rFonts w:hint="eastAsia"/>
                      <w:color w:val="auto"/>
                      <w:highlight w:val="none"/>
                    </w:rPr>
                  </w:pPr>
                </w:p>
              </w:tc>
              <w:tc>
                <w:tcPr>
                  <w:tcW w:w="1037" w:type="pct"/>
                  <w:tcBorders>
                    <w:left w:val="single" w:color="auto" w:sz="4" w:space="0"/>
                    <w:right w:val="single" w:color="auto" w:sz="4" w:space="0"/>
                  </w:tcBorders>
                  <w:vAlign w:val="center"/>
                </w:tcPr>
                <w:p w14:paraId="4BCC0437">
                  <w:pPr>
                    <w:pStyle w:val="20"/>
                    <w:bidi w:val="0"/>
                    <w:rPr>
                      <w:rFonts w:hint="eastAsia"/>
                      <w:color w:val="auto"/>
                      <w:highlight w:val="none"/>
                    </w:rPr>
                  </w:pPr>
                  <w:r>
                    <w:rPr>
                      <w:rFonts w:hint="eastAsia"/>
                      <w:color w:val="auto"/>
                      <w:highlight w:val="none"/>
                      <w:lang w:val="en-US" w:eastAsia="zh-CN"/>
                    </w:rPr>
                    <w:t>甲</w:t>
                  </w:r>
                  <w:r>
                    <w:rPr>
                      <w:rFonts w:hint="eastAsia"/>
                      <w:color w:val="auto"/>
                      <w:highlight w:val="none"/>
                    </w:rPr>
                    <w:t>苯</w:t>
                  </w:r>
                </w:p>
              </w:tc>
              <w:tc>
                <w:tcPr>
                  <w:tcW w:w="926" w:type="pct"/>
                  <w:tcBorders>
                    <w:left w:val="single" w:color="auto" w:sz="4" w:space="0"/>
                    <w:right w:val="single" w:color="auto" w:sz="4" w:space="0"/>
                  </w:tcBorders>
                  <w:vAlign w:val="center"/>
                </w:tcPr>
                <w:p w14:paraId="450AA89E">
                  <w:pPr>
                    <w:pStyle w:val="20"/>
                    <w:bidi w:val="0"/>
                    <w:rPr>
                      <w:rFonts w:hint="default"/>
                      <w:color w:val="auto"/>
                      <w:highlight w:val="none"/>
                      <w:lang w:val="en-US" w:eastAsia="zh-CN"/>
                    </w:rPr>
                  </w:pPr>
                  <w:r>
                    <w:rPr>
                      <w:rFonts w:hint="eastAsia"/>
                      <w:color w:val="auto"/>
                      <w:highlight w:val="none"/>
                    </w:rPr>
                    <w:t>33.2</w:t>
                  </w:r>
                </w:p>
              </w:tc>
              <w:tc>
                <w:tcPr>
                  <w:tcW w:w="744" w:type="pct"/>
                  <w:tcBorders>
                    <w:left w:val="single" w:color="auto" w:sz="4" w:space="0"/>
                    <w:right w:val="single" w:color="auto" w:sz="4" w:space="0"/>
                  </w:tcBorders>
                  <w:vAlign w:val="center"/>
                </w:tcPr>
                <w:p w14:paraId="26967FFB">
                  <w:pPr>
                    <w:pStyle w:val="20"/>
                    <w:bidi w:val="0"/>
                    <w:rPr>
                      <w:rFonts w:hint="default"/>
                      <w:color w:val="auto"/>
                      <w:highlight w:val="none"/>
                      <w:lang w:val="en-US" w:eastAsia="zh-CN"/>
                    </w:rPr>
                  </w:pPr>
                  <w:r>
                    <w:rPr>
                      <w:rFonts w:hint="eastAsia"/>
                      <w:color w:val="auto"/>
                      <w:highlight w:val="none"/>
                      <w:lang w:val="en-US" w:eastAsia="zh-CN"/>
                    </w:rPr>
                    <w:t>mg/kg</w:t>
                  </w:r>
                </w:p>
              </w:tc>
              <w:tc>
                <w:tcPr>
                  <w:tcW w:w="1834" w:type="dxa"/>
                  <w:tcBorders>
                    <w:left w:val="single" w:color="auto" w:sz="4" w:space="0"/>
                    <w:right w:val="single" w:color="auto" w:sz="4" w:space="0"/>
                  </w:tcBorders>
                  <w:vAlign w:val="center"/>
                </w:tcPr>
                <w:p w14:paraId="2A86128A">
                  <w:pPr>
                    <w:pStyle w:val="20"/>
                    <w:bidi w:val="0"/>
                    <w:rPr>
                      <w:rFonts w:hint="eastAsia"/>
                      <w:color w:val="auto"/>
                      <w:highlight w:val="none"/>
                      <w:lang w:val="en-US" w:eastAsia="zh-CN"/>
                    </w:rPr>
                  </w:pPr>
                  <w:r>
                    <w:rPr>
                      <w:rFonts w:hint="default"/>
                      <w:color w:val="auto"/>
                      <w:highlight w:val="none"/>
                      <w:lang w:val="en-US" w:eastAsia="zh-CN"/>
                    </w:rPr>
                    <w:t>0.005</w:t>
                  </w:r>
                </w:p>
              </w:tc>
            </w:tr>
            <w:tr w14:paraId="56484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14" w:type="pct"/>
                  <w:vMerge w:val="continue"/>
                  <w:tcBorders>
                    <w:left w:val="single" w:color="auto" w:sz="4" w:space="0"/>
                    <w:right w:val="single" w:color="auto" w:sz="4" w:space="0"/>
                  </w:tcBorders>
                  <w:vAlign w:val="center"/>
                </w:tcPr>
                <w:p w14:paraId="55DC908D">
                  <w:pPr>
                    <w:pStyle w:val="20"/>
                    <w:bidi w:val="0"/>
                    <w:rPr>
                      <w:rFonts w:hint="eastAsia"/>
                      <w:color w:val="auto"/>
                      <w:highlight w:val="none"/>
                    </w:rPr>
                  </w:pPr>
                </w:p>
              </w:tc>
              <w:tc>
                <w:tcPr>
                  <w:tcW w:w="594" w:type="pct"/>
                  <w:vMerge w:val="continue"/>
                  <w:tcBorders>
                    <w:left w:val="single" w:color="auto" w:sz="4" w:space="0"/>
                    <w:right w:val="single" w:color="auto" w:sz="4" w:space="0"/>
                  </w:tcBorders>
                  <w:vAlign w:val="center"/>
                </w:tcPr>
                <w:p w14:paraId="509D09F6">
                  <w:pPr>
                    <w:pStyle w:val="20"/>
                    <w:bidi w:val="0"/>
                    <w:rPr>
                      <w:rFonts w:hint="eastAsia"/>
                      <w:color w:val="auto"/>
                      <w:highlight w:val="none"/>
                    </w:rPr>
                  </w:pPr>
                </w:p>
              </w:tc>
              <w:tc>
                <w:tcPr>
                  <w:tcW w:w="1037" w:type="pct"/>
                  <w:tcBorders>
                    <w:left w:val="single" w:color="auto" w:sz="4" w:space="0"/>
                    <w:right w:val="single" w:color="auto" w:sz="4" w:space="0"/>
                  </w:tcBorders>
                  <w:vAlign w:val="center"/>
                </w:tcPr>
                <w:p w14:paraId="2887ACD2">
                  <w:pPr>
                    <w:pStyle w:val="20"/>
                    <w:bidi w:val="0"/>
                    <w:rPr>
                      <w:rFonts w:hint="eastAsia"/>
                      <w:color w:val="auto"/>
                      <w:highlight w:val="none"/>
                    </w:rPr>
                  </w:pPr>
                  <w:r>
                    <w:rPr>
                      <w:rFonts w:hint="eastAsia"/>
                      <w:color w:val="auto"/>
                      <w:highlight w:val="none"/>
                    </w:rPr>
                    <w:t>乙苯</w:t>
                  </w:r>
                </w:p>
              </w:tc>
              <w:tc>
                <w:tcPr>
                  <w:tcW w:w="926" w:type="pct"/>
                  <w:tcBorders>
                    <w:left w:val="single" w:color="auto" w:sz="4" w:space="0"/>
                    <w:right w:val="single" w:color="auto" w:sz="4" w:space="0"/>
                  </w:tcBorders>
                  <w:vAlign w:val="center"/>
                </w:tcPr>
                <w:p w14:paraId="4F039012">
                  <w:pPr>
                    <w:pStyle w:val="20"/>
                    <w:bidi w:val="0"/>
                    <w:rPr>
                      <w:color w:val="auto"/>
                      <w:highlight w:val="none"/>
                    </w:rPr>
                  </w:pPr>
                  <w:r>
                    <w:rPr>
                      <w:rFonts w:hint="eastAsia"/>
                      <w:color w:val="auto"/>
                      <w:highlight w:val="none"/>
                      <w:lang w:val="en-US" w:eastAsia="zh-CN"/>
                    </w:rPr>
                    <w:t>135.2</w:t>
                  </w:r>
                </w:p>
              </w:tc>
              <w:tc>
                <w:tcPr>
                  <w:tcW w:w="744" w:type="pct"/>
                  <w:tcBorders>
                    <w:left w:val="single" w:color="auto" w:sz="4" w:space="0"/>
                    <w:right w:val="single" w:color="auto" w:sz="4" w:space="0"/>
                  </w:tcBorders>
                  <w:vAlign w:val="center"/>
                </w:tcPr>
                <w:p w14:paraId="2A8E76F6">
                  <w:pPr>
                    <w:pStyle w:val="20"/>
                    <w:bidi w:val="0"/>
                    <w:rPr>
                      <w:rFonts w:hint="default"/>
                      <w:color w:val="auto"/>
                      <w:highlight w:val="none"/>
                      <w:lang w:val="en-US" w:eastAsia="zh-CN"/>
                    </w:rPr>
                  </w:pPr>
                  <w:r>
                    <w:rPr>
                      <w:rFonts w:hint="eastAsia"/>
                      <w:color w:val="auto"/>
                      <w:highlight w:val="none"/>
                      <w:lang w:val="en-US" w:eastAsia="zh-CN"/>
                    </w:rPr>
                    <w:t>mg/kg</w:t>
                  </w:r>
                </w:p>
              </w:tc>
              <w:tc>
                <w:tcPr>
                  <w:tcW w:w="1834" w:type="dxa"/>
                  <w:tcBorders>
                    <w:left w:val="single" w:color="auto" w:sz="4" w:space="0"/>
                    <w:right w:val="single" w:color="auto" w:sz="4" w:space="0"/>
                  </w:tcBorders>
                  <w:vAlign w:val="center"/>
                </w:tcPr>
                <w:p w14:paraId="541F2CA0">
                  <w:pPr>
                    <w:pStyle w:val="20"/>
                    <w:bidi w:val="0"/>
                    <w:rPr>
                      <w:rFonts w:hint="eastAsia"/>
                      <w:color w:val="auto"/>
                      <w:highlight w:val="none"/>
                      <w:lang w:val="en-US" w:eastAsia="zh-CN"/>
                    </w:rPr>
                  </w:pPr>
                  <w:r>
                    <w:rPr>
                      <w:rFonts w:hint="default"/>
                      <w:color w:val="auto"/>
                      <w:highlight w:val="none"/>
                      <w:lang w:val="en-US" w:eastAsia="zh-CN"/>
                    </w:rPr>
                    <w:t>0.021</w:t>
                  </w:r>
                </w:p>
              </w:tc>
            </w:tr>
            <w:tr w14:paraId="5F47C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14" w:type="pct"/>
                  <w:vMerge w:val="continue"/>
                  <w:tcBorders>
                    <w:left w:val="single" w:color="auto" w:sz="4" w:space="0"/>
                    <w:right w:val="single" w:color="auto" w:sz="4" w:space="0"/>
                  </w:tcBorders>
                  <w:vAlign w:val="center"/>
                </w:tcPr>
                <w:p w14:paraId="293A4466">
                  <w:pPr>
                    <w:pStyle w:val="20"/>
                    <w:bidi w:val="0"/>
                    <w:rPr>
                      <w:rFonts w:hint="eastAsia"/>
                      <w:color w:val="auto"/>
                      <w:highlight w:val="none"/>
                      <w:lang w:val="en-US" w:eastAsia="zh-CN"/>
                    </w:rPr>
                  </w:pPr>
                </w:p>
              </w:tc>
              <w:tc>
                <w:tcPr>
                  <w:tcW w:w="594" w:type="pct"/>
                  <w:vMerge w:val="restart"/>
                  <w:tcBorders>
                    <w:left w:val="single" w:color="auto" w:sz="4" w:space="0"/>
                    <w:right w:val="single" w:color="auto" w:sz="4" w:space="0"/>
                  </w:tcBorders>
                  <w:vAlign w:val="center"/>
                </w:tcPr>
                <w:p w14:paraId="1B43442D">
                  <w:pPr>
                    <w:pStyle w:val="20"/>
                    <w:bidi w:val="0"/>
                    <w:rPr>
                      <w:rFonts w:hint="default"/>
                      <w:color w:val="auto"/>
                      <w:highlight w:val="none"/>
                      <w:lang w:val="en-US"/>
                    </w:rPr>
                  </w:pPr>
                  <w:r>
                    <w:rPr>
                      <w:rFonts w:hint="eastAsia"/>
                      <w:color w:val="auto"/>
                      <w:highlight w:val="none"/>
                      <w:lang w:val="en-US" w:eastAsia="zh-CN"/>
                    </w:rPr>
                    <w:t>丙烯酸酯残留单体（40%）</w:t>
                  </w:r>
                </w:p>
              </w:tc>
              <w:tc>
                <w:tcPr>
                  <w:tcW w:w="1037" w:type="pct"/>
                  <w:tcBorders>
                    <w:left w:val="single" w:color="auto" w:sz="4" w:space="0"/>
                    <w:right w:val="single" w:color="auto" w:sz="4" w:space="0"/>
                  </w:tcBorders>
                  <w:vAlign w:val="center"/>
                </w:tcPr>
                <w:p w14:paraId="4D83B21E">
                  <w:pPr>
                    <w:pStyle w:val="20"/>
                    <w:bidi w:val="0"/>
                    <w:rPr>
                      <w:rFonts w:hint="eastAsia"/>
                      <w:color w:val="auto"/>
                      <w:highlight w:val="none"/>
                    </w:rPr>
                  </w:pPr>
                  <w:r>
                    <w:rPr>
                      <w:rFonts w:hint="eastAsia"/>
                      <w:color w:val="auto"/>
                      <w:highlight w:val="none"/>
                      <w:lang w:val="en-US" w:eastAsia="zh-CN"/>
                    </w:rPr>
                    <w:t>甲基丙烯酸甲酯</w:t>
                  </w:r>
                </w:p>
              </w:tc>
              <w:tc>
                <w:tcPr>
                  <w:tcW w:w="926" w:type="pct"/>
                  <w:tcBorders>
                    <w:left w:val="single" w:color="auto" w:sz="4" w:space="0"/>
                    <w:right w:val="single" w:color="auto" w:sz="4" w:space="0"/>
                  </w:tcBorders>
                  <w:vAlign w:val="center"/>
                </w:tcPr>
                <w:p w14:paraId="05BD7025">
                  <w:pPr>
                    <w:pStyle w:val="20"/>
                    <w:bidi w:val="0"/>
                    <w:rPr>
                      <w:rFonts w:hint="eastAsia"/>
                      <w:color w:val="auto"/>
                      <w:highlight w:val="none"/>
                      <w:lang w:val="en-US" w:eastAsia="zh-CN"/>
                    </w:rPr>
                  </w:pPr>
                  <w:r>
                    <w:rPr>
                      <w:rFonts w:hint="eastAsia"/>
                      <w:color w:val="auto"/>
                      <w:highlight w:val="none"/>
                      <w:lang w:val="en-US" w:eastAsia="zh-CN"/>
                    </w:rPr>
                    <w:t>2181.7</w:t>
                  </w:r>
                </w:p>
              </w:tc>
              <w:tc>
                <w:tcPr>
                  <w:tcW w:w="744" w:type="pct"/>
                  <w:tcBorders>
                    <w:left w:val="single" w:color="auto" w:sz="4" w:space="0"/>
                    <w:right w:val="single" w:color="auto" w:sz="4" w:space="0"/>
                  </w:tcBorders>
                  <w:vAlign w:val="center"/>
                </w:tcPr>
                <w:p w14:paraId="742A95C6">
                  <w:pPr>
                    <w:pStyle w:val="20"/>
                    <w:bidi w:val="0"/>
                    <w:rPr>
                      <w:rFonts w:hint="default"/>
                      <w:color w:val="auto"/>
                      <w:highlight w:val="none"/>
                      <w:lang w:val="en-US" w:eastAsia="zh-CN"/>
                    </w:rPr>
                  </w:pPr>
                  <w:r>
                    <w:rPr>
                      <w:rFonts w:hint="eastAsia"/>
                      <w:color w:val="auto"/>
                      <w:highlight w:val="none"/>
                      <w:lang w:val="en-US" w:eastAsia="zh-CN"/>
                    </w:rPr>
                    <w:t>mg/kg</w:t>
                  </w:r>
                </w:p>
              </w:tc>
              <w:tc>
                <w:tcPr>
                  <w:tcW w:w="1834" w:type="dxa"/>
                  <w:tcBorders>
                    <w:left w:val="single" w:color="auto" w:sz="4" w:space="0"/>
                    <w:right w:val="single" w:color="auto" w:sz="4" w:space="0"/>
                  </w:tcBorders>
                  <w:vAlign w:val="center"/>
                </w:tcPr>
                <w:p w14:paraId="3A24897E">
                  <w:pPr>
                    <w:pStyle w:val="20"/>
                    <w:bidi w:val="0"/>
                    <w:rPr>
                      <w:rFonts w:hint="eastAsia"/>
                      <w:color w:val="auto"/>
                      <w:highlight w:val="none"/>
                      <w:lang w:val="en-US" w:eastAsia="zh-CN"/>
                    </w:rPr>
                  </w:pPr>
                  <w:r>
                    <w:rPr>
                      <w:rFonts w:hint="default"/>
                      <w:color w:val="auto"/>
                      <w:highlight w:val="none"/>
                      <w:lang w:val="en-US" w:eastAsia="zh-CN"/>
                    </w:rPr>
                    <w:t>0.226</w:t>
                  </w:r>
                </w:p>
              </w:tc>
            </w:tr>
            <w:tr w14:paraId="4B46E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14" w:type="pct"/>
                  <w:vMerge w:val="continue"/>
                  <w:tcBorders>
                    <w:left w:val="single" w:color="auto" w:sz="4" w:space="0"/>
                    <w:right w:val="single" w:color="auto" w:sz="4" w:space="0"/>
                  </w:tcBorders>
                  <w:vAlign w:val="center"/>
                </w:tcPr>
                <w:p w14:paraId="0BB66FDD">
                  <w:pPr>
                    <w:pStyle w:val="20"/>
                    <w:bidi w:val="0"/>
                    <w:rPr>
                      <w:rFonts w:hint="eastAsia"/>
                      <w:color w:val="auto"/>
                      <w:highlight w:val="none"/>
                    </w:rPr>
                  </w:pPr>
                </w:p>
              </w:tc>
              <w:tc>
                <w:tcPr>
                  <w:tcW w:w="594" w:type="pct"/>
                  <w:vMerge w:val="continue"/>
                  <w:tcBorders>
                    <w:left w:val="single" w:color="auto" w:sz="4" w:space="0"/>
                    <w:right w:val="single" w:color="auto" w:sz="4" w:space="0"/>
                  </w:tcBorders>
                  <w:vAlign w:val="center"/>
                </w:tcPr>
                <w:p w14:paraId="2912E350">
                  <w:pPr>
                    <w:pStyle w:val="20"/>
                    <w:bidi w:val="0"/>
                    <w:rPr>
                      <w:rFonts w:hint="eastAsia"/>
                      <w:color w:val="auto"/>
                      <w:highlight w:val="none"/>
                    </w:rPr>
                  </w:pPr>
                </w:p>
              </w:tc>
              <w:tc>
                <w:tcPr>
                  <w:tcW w:w="1037" w:type="pct"/>
                  <w:tcBorders>
                    <w:left w:val="single" w:color="auto" w:sz="4" w:space="0"/>
                    <w:right w:val="single" w:color="auto" w:sz="4" w:space="0"/>
                  </w:tcBorders>
                  <w:vAlign w:val="center"/>
                </w:tcPr>
                <w:p w14:paraId="6F77D7EA">
                  <w:pPr>
                    <w:pStyle w:val="20"/>
                    <w:bidi w:val="0"/>
                    <w:rPr>
                      <w:rFonts w:hint="eastAsia"/>
                      <w:color w:val="auto"/>
                      <w:highlight w:val="none"/>
                    </w:rPr>
                  </w:pPr>
                  <w:r>
                    <w:rPr>
                      <w:rFonts w:hint="eastAsia"/>
                      <w:color w:val="auto"/>
                      <w:highlight w:val="none"/>
                      <w:lang w:val="en-US" w:eastAsia="zh-CN"/>
                    </w:rPr>
                    <w:t>丙烯酸甲酯</w:t>
                  </w:r>
                </w:p>
              </w:tc>
              <w:tc>
                <w:tcPr>
                  <w:tcW w:w="926" w:type="pct"/>
                  <w:tcBorders>
                    <w:left w:val="single" w:color="auto" w:sz="4" w:space="0"/>
                    <w:right w:val="single" w:color="auto" w:sz="4" w:space="0"/>
                  </w:tcBorders>
                  <w:vAlign w:val="center"/>
                </w:tcPr>
                <w:p w14:paraId="32110394">
                  <w:pPr>
                    <w:pStyle w:val="20"/>
                    <w:bidi w:val="0"/>
                    <w:rPr>
                      <w:rFonts w:hint="eastAsia"/>
                      <w:color w:val="auto"/>
                      <w:highlight w:val="none"/>
                      <w:lang w:val="en-US" w:eastAsia="zh-CN"/>
                    </w:rPr>
                  </w:pPr>
                  <w:r>
                    <w:rPr>
                      <w:rFonts w:hint="eastAsia"/>
                      <w:color w:val="auto"/>
                      <w:highlight w:val="none"/>
                      <w:lang w:val="en-US" w:eastAsia="zh-CN"/>
                    </w:rPr>
                    <w:t>60.6</w:t>
                  </w:r>
                </w:p>
              </w:tc>
              <w:tc>
                <w:tcPr>
                  <w:tcW w:w="744" w:type="pct"/>
                  <w:tcBorders>
                    <w:left w:val="single" w:color="auto" w:sz="4" w:space="0"/>
                    <w:right w:val="single" w:color="auto" w:sz="4" w:space="0"/>
                  </w:tcBorders>
                  <w:vAlign w:val="center"/>
                </w:tcPr>
                <w:p w14:paraId="3D4BD447">
                  <w:pPr>
                    <w:pStyle w:val="20"/>
                    <w:bidi w:val="0"/>
                    <w:rPr>
                      <w:rFonts w:hint="default"/>
                      <w:color w:val="auto"/>
                      <w:highlight w:val="none"/>
                      <w:lang w:val="en-US" w:eastAsia="zh-CN"/>
                    </w:rPr>
                  </w:pPr>
                  <w:r>
                    <w:rPr>
                      <w:rFonts w:hint="eastAsia"/>
                      <w:color w:val="auto"/>
                      <w:highlight w:val="none"/>
                      <w:lang w:val="en-US" w:eastAsia="zh-CN"/>
                    </w:rPr>
                    <w:t>mg/kg</w:t>
                  </w:r>
                </w:p>
              </w:tc>
              <w:tc>
                <w:tcPr>
                  <w:tcW w:w="1834" w:type="dxa"/>
                  <w:tcBorders>
                    <w:left w:val="single" w:color="auto" w:sz="4" w:space="0"/>
                    <w:right w:val="single" w:color="auto" w:sz="4" w:space="0"/>
                  </w:tcBorders>
                  <w:vAlign w:val="center"/>
                </w:tcPr>
                <w:p w14:paraId="64A39BDB">
                  <w:pPr>
                    <w:pStyle w:val="20"/>
                    <w:bidi w:val="0"/>
                    <w:rPr>
                      <w:rFonts w:hint="eastAsia"/>
                      <w:color w:val="auto"/>
                      <w:highlight w:val="none"/>
                      <w:lang w:val="en-US" w:eastAsia="zh-CN"/>
                    </w:rPr>
                  </w:pPr>
                  <w:r>
                    <w:rPr>
                      <w:rFonts w:hint="default"/>
                      <w:color w:val="auto"/>
                      <w:highlight w:val="none"/>
                      <w:lang w:val="en-US" w:eastAsia="zh-CN"/>
                    </w:rPr>
                    <w:t>0.006</w:t>
                  </w:r>
                </w:p>
              </w:tc>
            </w:tr>
            <w:tr w14:paraId="65CF2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14" w:type="pct"/>
                  <w:vMerge w:val="continue"/>
                  <w:tcBorders>
                    <w:left w:val="single" w:color="auto" w:sz="4" w:space="0"/>
                    <w:right w:val="single" w:color="auto" w:sz="4" w:space="0"/>
                  </w:tcBorders>
                  <w:vAlign w:val="center"/>
                </w:tcPr>
                <w:p w14:paraId="4C02356E">
                  <w:pPr>
                    <w:pStyle w:val="20"/>
                    <w:bidi w:val="0"/>
                    <w:rPr>
                      <w:rFonts w:hint="eastAsia"/>
                      <w:color w:val="auto"/>
                      <w:highlight w:val="none"/>
                    </w:rPr>
                  </w:pPr>
                </w:p>
              </w:tc>
              <w:tc>
                <w:tcPr>
                  <w:tcW w:w="594" w:type="pct"/>
                  <w:vMerge w:val="continue"/>
                  <w:tcBorders>
                    <w:left w:val="single" w:color="auto" w:sz="4" w:space="0"/>
                    <w:right w:val="single" w:color="auto" w:sz="4" w:space="0"/>
                  </w:tcBorders>
                  <w:vAlign w:val="center"/>
                </w:tcPr>
                <w:p w14:paraId="203C1514">
                  <w:pPr>
                    <w:pStyle w:val="20"/>
                    <w:bidi w:val="0"/>
                    <w:rPr>
                      <w:rFonts w:hint="eastAsia"/>
                      <w:color w:val="auto"/>
                      <w:highlight w:val="none"/>
                    </w:rPr>
                  </w:pPr>
                </w:p>
              </w:tc>
              <w:tc>
                <w:tcPr>
                  <w:tcW w:w="1037" w:type="pct"/>
                  <w:tcBorders>
                    <w:left w:val="single" w:color="auto" w:sz="4" w:space="0"/>
                    <w:right w:val="single" w:color="auto" w:sz="4" w:space="0"/>
                  </w:tcBorders>
                  <w:vAlign w:val="center"/>
                </w:tcPr>
                <w:p w14:paraId="50A8DA5D">
                  <w:pPr>
                    <w:pStyle w:val="20"/>
                    <w:bidi w:val="0"/>
                    <w:rPr>
                      <w:rFonts w:hint="eastAsia"/>
                      <w:color w:val="auto"/>
                      <w:highlight w:val="none"/>
                      <w:lang w:val="en-US" w:eastAsia="zh-CN"/>
                    </w:rPr>
                  </w:pPr>
                  <w:r>
                    <w:rPr>
                      <w:rFonts w:hint="eastAsia"/>
                      <w:color w:val="auto"/>
                      <w:highlight w:val="none"/>
                      <w:lang w:val="en-US" w:eastAsia="zh-CN"/>
                    </w:rPr>
                    <w:t>丙烯酸</w:t>
                  </w:r>
                </w:p>
              </w:tc>
              <w:tc>
                <w:tcPr>
                  <w:tcW w:w="926" w:type="pct"/>
                  <w:tcBorders>
                    <w:left w:val="single" w:color="auto" w:sz="4" w:space="0"/>
                    <w:right w:val="single" w:color="auto" w:sz="4" w:space="0"/>
                  </w:tcBorders>
                  <w:vAlign w:val="center"/>
                </w:tcPr>
                <w:p w14:paraId="4C05644A">
                  <w:pPr>
                    <w:pStyle w:val="20"/>
                    <w:bidi w:val="0"/>
                    <w:rPr>
                      <w:rFonts w:hint="default"/>
                      <w:color w:val="auto"/>
                      <w:highlight w:val="none"/>
                      <w:lang w:val="en-US" w:eastAsia="zh-CN"/>
                    </w:rPr>
                  </w:pPr>
                  <w:r>
                    <w:rPr>
                      <w:rFonts w:hint="eastAsia"/>
                      <w:color w:val="auto"/>
                      <w:highlight w:val="none"/>
                      <w:lang w:val="en-US" w:eastAsia="zh-CN"/>
                    </w:rPr>
                    <w:t>800（0.08%）</w:t>
                  </w:r>
                </w:p>
              </w:tc>
              <w:tc>
                <w:tcPr>
                  <w:tcW w:w="744" w:type="pct"/>
                  <w:tcBorders>
                    <w:left w:val="single" w:color="auto" w:sz="4" w:space="0"/>
                    <w:right w:val="single" w:color="auto" w:sz="4" w:space="0"/>
                  </w:tcBorders>
                  <w:vAlign w:val="center"/>
                </w:tcPr>
                <w:p w14:paraId="5E5811A0">
                  <w:pPr>
                    <w:pStyle w:val="20"/>
                    <w:bidi w:val="0"/>
                    <w:rPr>
                      <w:rFonts w:hint="default"/>
                      <w:color w:val="auto"/>
                      <w:highlight w:val="none"/>
                      <w:lang w:val="en-US" w:eastAsia="zh-CN"/>
                    </w:rPr>
                  </w:pPr>
                  <w:r>
                    <w:rPr>
                      <w:rFonts w:hint="eastAsia"/>
                      <w:color w:val="auto"/>
                      <w:highlight w:val="none"/>
                      <w:lang w:val="en-US" w:eastAsia="zh-CN"/>
                    </w:rPr>
                    <w:t>mg/kg</w:t>
                  </w:r>
                </w:p>
              </w:tc>
              <w:tc>
                <w:tcPr>
                  <w:tcW w:w="1834" w:type="dxa"/>
                  <w:tcBorders>
                    <w:left w:val="single" w:color="auto" w:sz="4" w:space="0"/>
                    <w:right w:val="single" w:color="auto" w:sz="4" w:space="0"/>
                  </w:tcBorders>
                  <w:vAlign w:val="center"/>
                </w:tcPr>
                <w:p w14:paraId="3DA25429">
                  <w:pPr>
                    <w:pStyle w:val="20"/>
                    <w:bidi w:val="0"/>
                    <w:rPr>
                      <w:rFonts w:hint="eastAsia"/>
                      <w:color w:val="auto"/>
                      <w:highlight w:val="none"/>
                      <w:lang w:val="en-US" w:eastAsia="zh-CN"/>
                    </w:rPr>
                  </w:pPr>
                  <w:r>
                    <w:rPr>
                      <w:rFonts w:hint="default"/>
                      <w:color w:val="auto"/>
                      <w:highlight w:val="none"/>
                      <w:lang w:val="en-US" w:eastAsia="zh-CN"/>
                    </w:rPr>
                    <w:t>0.083</w:t>
                  </w:r>
                </w:p>
              </w:tc>
            </w:tr>
            <w:tr w14:paraId="2F053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14" w:type="pct"/>
                  <w:vMerge w:val="continue"/>
                  <w:tcBorders>
                    <w:left w:val="single" w:color="auto" w:sz="4" w:space="0"/>
                    <w:right w:val="single" w:color="auto" w:sz="4" w:space="0"/>
                  </w:tcBorders>
                  <w:vAlign w:val="center"/>
                </w:tcPr>
                <w:p w14:paraId="1B58D481">
                  <w:pPr>
                    <w:pStyle w:val="20"/>
                    <w:bidi w:val="0"/>
                    <w:rPr>
                      <w:rFonts w:hint="eastAsia"/>
                      <w:color w:val="auto"/>
                      <w:highlight w:val="none"/>
                    </w:rPr>
                  </w:pPr>
                </w:p>
              </w:tc>
              <w:tc>
                <w:tcPr>
                  <w:tcW w:w="594" w:type="pct"/>
                  <w:vMerge w:val="continue"/>
                  <w:tcBorders>
                    <w:left w:val="single" w:color="auto" w:sz="4" w:space="0"/>
                    <w:right w:val="single" w:color="auto" w:sz="4" w:space="0"/>
                  </w:tcBorders>
                  <w:vAlign w:val="center"/>
                </w:tcPr>
                <w:p w14:paraId="276E6D37">
                  <w:pPr>
                    <w:pStyle w:val="20"/>
                    <w:bidi w:val="0"/>
                    <w:rPr>
                      <w:rFonts w:hint="eastAsia"/>
                      <w:color w:val="auto"/>
                      <w:highlight w:val="none"/>
                    </w:rPr>
                  </w:pPr>
                </w:p>
              </w:tc>
              <w:tc>
                <w:tcPr>
                  <w:tcW w:w="1037" w:type="pct"/>
                  <w:tcBorders>
                    <w:left w:val="single" w:color="auto" w:sz="4" w:space="0"/>
                    <w:right w:val="single" w:color="auto" w:sz="4" w:space="0"/>
                  </w:tcBorders>
                  <w:vAlign w:val="center"/>
                </w:tcPr>
                <w:p w14:paraId="4F1EEBF7">
                  <w:pPr>
                    <w:pStyle w:val="20"/>
                    <w:bidi w:val="0"/>
                    <w:rPr>
                      <w:rFonts w:hint="eastAsia"/>
                      <w:color w:val="auto"/>
                      <w:highlight w:val="none"/>
                      <w:lang w:val="en-US" w:eastAsia="zh-CN"/>
                    </w:rPr>
                  </w:pPr>
                  <w:r>
                    <w:rPr>
                      <w:rFonts w:hint="eastAsia"/>
                      <w:color w:val="auto"/>
                      <w:highlight w:val="none"/>
                      <w:lang w:val="en-US" w:eastAsia="zh-CN"/>
                    </w:rPr>
                    <w:t>丙烯酸丁酯</w:t>
                  </w:r>
                </w:p>
              </w:tc>
              <w:tc>
                <w:tcPr>
                  <w:tcW w:w="926" w:type="pct"/>
                  <w:tcBorders>
                    <w:left w:val="single" w:color="auto" w:sz="4" w:space="0"/>
                    <w:right w:val="single" w:color="auto" w:sz="4" w:space="0"/>
                  </w:tcBorders>
                  <w:vAlign w:val="center"/>
                </w:tcPr>
                <w:p w14:paraId="2EC98D84">
                  <w:pPr>
                    <w:pStyle w:val="20"/>
                    <w:bidi w:val="0"/>
                    <w:rPr>
                      <w:rFonts w:hint="eastAsia"/>
                      <w:color w:val="auto"/>
                      <w:highlight w:val="none"/>
                      <w:lang w:val="en-US" w:eastAsia="zh-CN"/>
                    </w:rPr>
                  </w:pPr>
                  <w:r>
                    <w:rPr>
                      <w:rFonts w:hint="eastAsia"/>
                      <w:color w:val="auto"/>
                      <w:highlight w:val="none"/>
                      <w:lang w:val="en-US" w:eastAsia="zh-CN"/>
                    </w:rPr>
                    <w:t>4000（0.4%）</w:t>
                  </w:r>
                </w:p>
              </w:tc>
              <w:tc>
                <w:tcPr>
                  <w:tcW w:w="744" w:type="pct"/>
                  <w:tcBorders>
                    <w:left w:val="single" w:color="auto" w:sz="4" w:space="0"/>
                    <w:right w:val="single" w:color="auto" w:sz="4" w:space="0"/>
                  </w:tcBorders>
                  <w:vAlign w:val="center"/>
                </w:tcPr>
                <w:p w14:paraId="7557D532">
                  <w:pPr>
                    <w:pStyle w:val="20"/>
                    <w:bidi w:val="0"/>
                    <w:rPr>
                      <w:rFonts w:hint="default"/>
                      <w:color w:val="auto"/>
                      <w:highlight w:val="none"/>
                      <w:lang w:val="en-US" w:eastAsia="zh-CN"/>
                    </w:rPr>
                  </w:pPr>
                  <w:r>
                    <w:rPr>
                      <w:rFonts w:hint="eastAsia"/>
                      <w:color w:val="auto"/>
                      <w:highlight w:val="none"/>
                      <w:lang w:val="en-US" w:eastAsia="zh-CN"/>
                    </w:rPr>
                    <w:t>mg/kg</w:t>
                  </w:r>
                </w:p>
              </w:tc>
              <w:tc>
                <w:tcPr>
                  <w:tcW w:w="1834" w:type="dxa"/>
                  <w:tcBorders>
                    <w:left w:val="single" w:color="auto" w:sz="4" w:space="0"/>
                    <w:right w:val="single" w:color="auto" w:sz="4" w:space="0"/>
                  </w:tcBorders>
                  <w:vAlign w:val="center"/>
                </w:tcPr>
                <w:p w14:paraId="65F50946">
                  <w:pPr>
                    <w:pStyle w:val="20"/>
                    <w:bidi w:val="0"/>
                    <w:rPr>
                      <w:rFonts w:hint="eastAsia"/>
                      <w:color w:val="auto"/>
                      <w:highlight w:val="none"/>
                      <w:lang w:val="en-US" w:eastAsia="zh-CN"/>
                    </w:rPr>
                  </w:pPr>
                  <w:r>
                    <w:rPr>
                      <w:rFonts w:hint="default"/>
                      <w:color w:val="auto"/>
                      <w:highlight w:val="none"/>
                      <w:lang w:val="en-US" w:eastAsia="zh-CN"/>
                    </w:rPr>
                    <w:t>0.415</w:t>
                  </w:r>
                </w:p>
              </w:tc>
            </w:tr>
            <w:tr w14:paraId="601D8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14" w:type="pct"/>
                  <w:tcBorders>
                    <w:left w:val="single" w:color="auto" w:sz="4" w:space="0"/>
                    <w:right w:val="single" w:color="auto" w:sz="4" w:space="0"/>
                  </w:tcBorders>
                  <w:vAlign w:val="center"/>
                </w:tcPr>
                <w:p w14:paraId="4C0DBDCC">
                  <w:pPr>
                    <w:pStyle w:val="20"/>
                    <w:bidi w:val="0"/>
                    <w:rPr>
                      <w:rFonts w:hint="eastAsia"/>
                      <w:color w:val="auto"/>
                      <w:highlight w:val="none"/>
                      <w:lang w:val="en-US" w:eastAsia="zh-CN"/>
                    </w:rPr>
                  </w:pPr>
                  <w:r>
                    <w:rPr>
                      <w:rFonts w:hint="eastAsia"/>
                      <w:color w:val="auto"/>
                      <w:highlight w:val="none"/>
                      <w:lang w:val="en-US" w:eastAsia="zh-CN"/>
                    </w:rPr>
                    <w:t>总计</w:t>
                  </w:r>
                </w:p>
              </w:tc>
              <w:tc>
                <w:tcPr>
                  <w:tcW w:w="594" w:type="pct"/>
                  <w:tcBorders>
                    <w:left w:val="single" w:color="auto" w:sz="4" w:space="0"/>
                    <w:right w:val="single" w:color="auto" w:sz="4" w:space="0"/>
                  </w:tcBorders>
                  <w:vAlign w:val="center"/>
                </w:tcPr>
                <w:p w14:paraId="03EBB510">
                  <w:pPr>
                    <w:pStyle w:val="20"/>
                    <w:bidi w:val="0"/>
                    <w:rPr>
                      <w:rFonts w:hint="default"/>
                      <w:color w:val="auto"/>
                      <w:highlight w:val="none"/>
                      <w:lang w:val="en-US" w:eastAsia="zh-CN"/>
                    </w:rPr>
                  </w:pPr>
                  <w:r>
                    <w:rPr>
                      <w:rFonts w:hint="eastAsia"/>
                      <w:color w:val="auto"/>
                      <w:highlight w:val="none"/>
                      <w:lang w:val="en-US" w:eastAsia="zh-CN"/>
                    </w:rPr>
                    <w:t>/</w:t>
                  </w:r>
                </w:p>
              </w:tc>
              <w:tc>
                <w:tcPr>
                  <w:tcW w:w="1037" w:type="pct"/>
                  <w:tcBorders>
                    <w:left w:val="single" w:color="auto" w:sz="4" w:space="0"/>
                    <w:right w:val="single" w:color="auto" w:sz="4" w:space="0"/>
                  </w:tcBorders>
                  <w:vAlign w:val="center"/>
                </w:tcPr>
                <w:p w14:paraId="52094CAE">
                  <w:pPr>
                    <w:pStyle w:val="20"/>
                    <w:bidi w:val="0"/>
                    <w:rPr>
                      <w:rFonts w:hint="default"/>
                      <w:color w:val="auto"/>
                      <w:highlight w:val="none"/>
                      <w:lang w:val="en-US" w:eastAsia="zh-CN"/>
                    </w:rPr>
                  </w:pPr>
                  <w:r>
                    <w:rPr>
                      <w:rFonts w:hint="eastAsia"/>
                      <w:color w:val="auto"/>
                      <w:highlight w:val="none"/>
                      <w:lang w:val="en-US" w:eastAsia="zh-CN"/>
                    </w:rPr>
                    <w:t>/</w:t>
                  </w:r>
                </w:p>
              </w:tc>
              <w:tc>
                <w:tcPr>
                  <w:tcW w:w="926" w:type="pct"/>
                  <w:tcBorders>
                    <w:left w:val="single" w:color="auto" w:sz="4" w:space="0"/>
                    <w:right w:val="single" w:color="auto" w:sz="4" w:space="0"/>
                  </w:tcBorders>
                  <w:vAlign w:val="center"/>
                </w:tcPr>
                <w:p w14:paraId="572749D2">
                  <w:pPr>
                    <w:pStyle w:val="20"/>
                    <w:bidi w:val="0"/>
                    <w:rPr>
                      <w:rFonts w:hint="default"/>
                      <w:color w:val="auto"/>
                      <w:highlight w:val="none"/>
                      <w:lang w:val="en-US" w:eastAsia="zh-CN"/>
                    </w:rPr>
                  </w:pPr>
                  <w:r>
                    <w:rPr>
                      <w:rFonts w:hint="eastAsia"/>
                      <w:color w:val="auto"/>
                      <w:highlight w:val="none"/>
                      <w:lang w:val="en-US" w:eastAsia="zh-CN"/>
                    </w:rPr>
                    <w:t>3633.94</w:t>
                  </w:r>
                </w:p>
              </w:tc>
              <w:tc>
                <w:tcPr>
                  <w:tcW w:w="744" w:type="pct"/>
                  <w:tcBorders>
                    <w:left w:val="single" w:color="auto" w:sz="4" w:space="0"/>
                    <w:right w:val="single" w:color="auto" w:sz="4" w:space="0"/>
                  </w:tcBorders>
                  <w:vAlign w:val="center"/>
                </w:tcPr>
                <w:p w14:paraId="3415DD0C">
                  <w:pPr>
                    <w:pStyle w:val="20"/>
                    <w:bidi w:val="0"/>
                    <w:rPr>
                      <w:rFonts w:hint="eastAsia"/>
                      <w:color w:val="auto"/>
                      <w:highlight w:val="none"/>
                      <w:lang w:val="en-US" w:eastAsia="zh-CN"/>
                    </w:rPr>
                  </w:pPr>
                  <w:r>
                    <w:rPr>
                      <w:rFonts w:hint="eastAsia"/>
                      <w:color w:val="auto"/>
                      <w:highlight w:val="none"/>
                      <w:lang w:val="en-US" w:eastAsia="zh-CN"/>
                    </w:rPr>
                    <w:t>mg/kg</w:t>
                  </w:r>
                </w:p>
              </w:tc>
              <w:tc>
                <w:tcPr>
                  <w:tcW w:w="1082" w:type="pct"/>
                  <w:tcBorders>
                    <w:left w:val="single" w:color="auto" w:sz="4" w:space="0"/>
                    <w:right w:val="single" w:color="auto" w:sz="4" w:space="0"/>
                  </w:tcBorders>
                  <w:vAlign w:val="center"/>
                </w:tcPr>
                <w:p w14:paraId="018E5A5B">
                  <w:pPr>
                    <w:pStyle w:val="20"/>
                    <w:bidi w:val="0"/>
                    <w:rPr>
                      <w:rFonts w:hint="default"/>
                      <w:color w:val="auto"/>
                      <w:highlight w:val="none"/>
                      <w:lang w:val="en-US" w:eastAsia="zh-CN"/>
                    </w:rPr>
                  </w:pPr>
                  <w:r>
                    <w:rPr>
                      <w:rFonts w:hint="eastAsia"/>
                      <w:color w:val="auto"/>
                      <w:highlight w:val="none"/>
                      <w:lang w:val="en-US" w:eastAsia="zh-CN"/>
                    </w:rPr>
                    <w:t>0.942</w:t>
                  </w:r>
                </w:p>
              </w:tc>
            </w:tr>
          </w:tbl>
          <w:p w14:paraId="56B96560">
            <w:pPr>
              <w:pStyle w:val="18"/>
              <w:bidi w:val="0"/>
              <w:rPr>
                <w:rFonts w:hint="eastAsia"/>
                <w:b/>
                <w:bCs/>
                <w:color w:val="auto"/>
                <w:highlight w:val="none"/>
              </w:rPr>
            </w:pPr>
            <w:r>
              <w:rPr>
                <w:rFonts w:hint="eastAsia"/>
                <w:b/>
                <w:bCs/>
                <w:color w:val="auto"/>
                <w:highlight w:val="none"/>
                <w:lang w:val="en-US" w:eastAsia="zh-CN"/>
              </w:rPr>
              <w:t>⑵焊接废气</w:t>
            </w:r>
            <w:r>
              <w:rPr>
                <w:rFonts w:hint="eastAsia"/>
                <w:b/>
                <w:bCs/>
                <w:color w:val="auto"/>
                <w:highlight w:val="none"/>
              </w:rPr>
              <w:t>G2</w:t>
            </w:r>
          </w:p>
          <w:p w14:paraId="373585C5">
            <w:pPr>
              <w:pStyle w:val="18"/>
              <w:bidi w:val="0"/>
              <w:rPr>
                <w:rFonts w:hint="default" w:eastAsia="宋体"/>
                <w:color w:val="auto"/>
                <w:highlight w:val="none"/>
                <w:lang w:val="en-US" w:eastAsia="zh-CN"/>
              </w:rPr>
            </w:pPr>
            <w:r>
              <w:rPr>
                <w:rFonts w:hint="eastAsia"/>
                <w:color w:val="auto"/>
                <w:highlight w:val="none"/>
                <w:lang w:val="en-US" w:eastAsia="zh-CN"/>
              </w:rPr>
              <w:t>项目谐振器产品50t，需使用一台</w:t>
            </w:r>
            <w:r>
              <w:rPr>
                <w:rFonts w:hint="default"/>
                <w:color w:val="auto"/>
                <w:highlight w:val="none"/>
                <w:lang w:val="en-US"/>
              </w:rPr>
              <w:t>热板焊接机</w:t>
            </w:r>
            <w:r>
              <w:rPr>
                <w:rFonts w:hint="eastAsia"/>
                <w:color w:val="auto"/>
                <w:highlight w:val="none"/>
                <w:lang w:val="en-US" w:eastAsia="zh-CN"/>
              </w:rPr>
              <w:t>焊接，产品为PP材质，主要污染物为非甲烷总烃。参考</w:t>
            </w:r>
            <w:r>
              <w:rPr>
                <w:color w:val="auto"/>
                <w:highlight w:val="none"/>
              </w:rPr>
              <w:t>《</w:t>
            </w:r>
            <w:r>
              <w:rPr>
                <w:rFonts w:hint="eastAsia"/>
                <w:color w:val="auto"/>
                <w:highlight w:val="none"/>
              </w:rPr>
              <w:t>排放源统计调查产排污核算方法和系数手册</w:t>
            </w:r>
            <w:r>
              <w:rPr>
                <w:color w:val="auto"/>
                <w:highlight w:val="none"/>
              </w:rPr>
              <w:t>》</w:t>
            </w:r>
            <w:r>
              <w:rPr>
                <w:rFonts w:hint="eastAsia"/>
                <w:color w:val="auto"/>
                <w:highlight w:val="none"/>
              </w:rPr>
              <w:t>“292</w:t>
            </w:r>
            <w:r>
              <w:rPr>
                <w:rFonts w:hint="eastAsia"/>
                <w:color w:val="auto"/>
                <w:highlight w:val="none"/>
                <w:lang w:val="en-US" w:eastAsia="zh-CN"/>
              </w:rPr>
              <w:t xml:space="preserve"> </w:t>
            </w:r>
            <w:r>
              <w:rPr>
                <w:rFonts w:hint="eastAsia"/>
                <w:color w:val="auto"/>
                <w:highlight w:val="none"/>
              </w:rPr>
              <w:t>塑料</w:t>
            </w:r>
            <w:r>
              <w:rPr>
                <w:rFonts w:hint="eastAsia"/>
                <w:color w:val="auto"/>
                <w:highlight w:val="none"/>
                <w:lang w:val="en-US" w:eastAsia="zh-CN"/>
              </w:rPr>
              <w:t>制品业系数手册</w:t>
            </w:r>
            <w:r>
              <w:rPr>
                <w:rFonts w:hint="eastAsia"/>
                <w:color w:val="auto"/>
                <w:highlight w:val="none"/>
              </w:rPr>
              <w:t>”中</w:t>
            </w:r>
            <w:r>
              <w:rPr>
                <w:rFonts w:hint="eastAsia"/>
                <w:color w:val="auto"/>
                <w:highlight w:val="none"/>
                <w:lang w:eastAsia="zh-CN"/>
              </w:rPr>
              <w:t>“</w:t>
            </w:r>
            <w:r>
              <w:rPr>
                <w:rFonts w:hint="eastAsia"/>
                <w:color w:val="auto"/>
                <w:highlight w:val="none"/>
                <w:lang w:val="en-US" w:eastAsia="zh-CN"/>
              </w:rPr>
              <w:t>其他需要说明的问题”，“塑料制品制造中如果存在塑料容器的熔融、拼接等工段，其挥发性有机物的产污量核算需确定熔融的塑料量作为产品量……”。“</w:t>
            </w:r>
            <w:r>
              <w:rPr>
                <w:rFonts w:hint="eastAsia"/>
                <w:color w:val="auto"/>
                <w:highlight w:val="none"/>
              </w:rPr>
              <w:t>2929塑料零件及其他塑料制品材制造行业系数表”中“塑料零件”挥发性有机物（以非甲烷总烃计）产污系数为2.7kg/t产品。</w:t>
            </w:r>
            <w:r>
              <w:rPr>
                <w:rFonts w:hint="eastAsia"/>
                <w:color w:val="auto"/>
                <w:highlight w:val="none"/>
                <w:lang w:val="en-US" w:eastAsia="zh-CN"/>
              </w:rPr>
              <w:t>项目谐振器产品非实心体，仅壳端焊接，焊接面较少，熔融的塑料量按照产品1%计，焊接废气非甲烷总烃产生量为1.35kg/a，污染物产生量极低，无组织排放。</w:t>
            </w:r>
          </w:p>
          <w:p w14:paraId="4246CB03">
            <w:pPr>
              <w:pStyle w:val="18"/>
              <w:bidi w:val="0"/>
              <w:rPr>
                <w:rFonts w:hint="eastAsia"/>
                <w:b/>
                <w:bCs/>
                <w:color w:val="auto"/>
                <w:highlight w:val="none"/>
                <w:lang w:val="en-US" w:eastAsia="zh-CN"/>
              </w:rPr>
            </w:pPr>
            <w:r>
              <w:rPr>
                <w:rFonts w:hint="eastAsia"/>
                <w:b/>
                <w:bCs/>
                <w:color w:val="auto"/>
                <w:highlight w:val="none"/>
                <w:lang w:val="en-US" w:eastAsia="zh-CN"/>
              </w:rPr>
              <w:t>⑶破碎粉尘G3</w:t>
            </w:r>
          </w:p>
          <w:p w14:paraId="1B175340">
            <w:pPr>
              <w:pStyle w:val="18"/>
              <w:bidi w:val="0"/>
              <w:rPr>
                <w:rFonts w:hint="default" w:eastAsia="宋体"/>
                <w:color w:val="auto"/>
                <w:highlight w:val="none"/>
                <w:lang w:val="en-US" w:eastAsia="zh-CN"/>
              </w:rPr>
            </w:pPr>
            <w:r>
              <w:rPr>
                <w:rFonts w:hint="eastAsia"/>
                <w:color w:val="auto"/>
                <w:highlight w:val="none"/>
              </w:rPr>
              <w:t>根据</w:t>
            </w:r>
            <w:r>
              <w:rPr>
                <w:color w:val="auto"/>
                <w:highlight w:val="none"/>
              </w:rPr>
              <w:t>《</w:t>
            </w:r>
            <w:r>
              <w:rPr>
                <w:rFonts w:hint="eastAsia"/>
                <w:color w:val="auto"/>
                <w:highlight w:val="none"/>
              </w:rPr>
              <w:t>排放源统计调查产排污核算方法和系数手册</w:t>
            </w:r>
            <w:r>
              <w:rPr>
                <w:color w:val="auto"/>
                <w:highlight w:val="none"/>
              </w:rPr>
              <w:t>》</w:t>
            </w:r>
            <w:r>
              <w:rPr>
                <w:rFonts w:hint="eastAsia"/>
                <w:color w:val="auto"/>
                <w:highlight w:val="none"/>
              </w:rPr>
              <w:t>“4220 非金属废料和碎屑加工处理行业系数表”中“废PE/PP”</w:t>
            </w:r>
            <w:r>
              <w:rPr>
                <w:rFonts w:hint="eastAsia"/>
                <w:color w:val="auto"/>
                <w:highlight w:val="none"/>
                <w:lang w:val="en-US" w:eastAsia="zh-CN"/>
              </w:rPr>
              <w:t>破碎颗粒物</w:t>
            </w:r>
            <w:r>
              <w:rPr>
                <w:rFonts w:hint="eastAsia"/>
                <w:color w:val="auto"/>
                <w:highlight w:val="none"/>
              </w:rPr>
              <w:t>产污系数为</w:t>
            </w:r>
            <w:r>
              <w:rPr>
                <w:rFonts w:hint="eastAsia"/>
                <w:color w:val="auto"/>
                <w:highlight w:val="none"/>
                <w:lang w:val="en-US" w:eastAsia="zh-CN"/>
              </w:rPr>
              <w:t>375</w:t>
            </w:r>
            <w:r>
              <w:rPr>
                <w:rFonts w:hint="eastAsia"/>
                <w:color w:val="auto"/>
                <w:highlight w:val="none"/>
              </w:rPr>
              <w:t>g/t</w:t>
            </w:r>
            <w:r>
              <w:rPr>
                <w:rFonts w:hint="eastAsia"/>
                <w:color w:val="auto"/>
                <w:highlight w:val="none"/>
                <w:lang w:val="en-US" w:eastAsia="zh-CN"/>
              </w:rPr>
              <w:t>原料，</w:t>
            </w:r>
            <w:r>
              <w:rPr>
                <w:rFonts w:hint="eastAsia"/>
                <w:color w:val="auto"/>
                <w:highlight w:val="none"/>
                <w:lang w:eastAsia="zh-CN"/>
              </w:rPr>
              <w:t>“</w:t>
            </w:r>
            <w:r>
              <w:rPr>
                <w:rFonts w:hint="eastAsia"/>
                <w:color w:val="auto"/>
                <w:highlight w:val="none"/>
              </w:rPr>
              <w:t>废PS/ABS</w:t>
            </w:r>
            <w:r>
              <w:rPr>
                <w:rFonts w:hint="eastAsia"/>
                <w:color w:val="auto"/>
                <w:highlight w:val="none"/>
                <w:lang w:eastAsia="zh-CN"/>
              </w:rPr>
              <w:t>”</w:t>
            </w:r>
            <w:r>
              <w:rPr>
                <w:rFonts w:hint="eastAsia"/>
                <w:color w:val="auto"/>
                <w:highlight w:val="none"/>
                <w:lang w:val="en-US" w:eastAsia="zh-CN"/>
              </w:rPr>
              <w:t>破碎颗粒物</w:t>
            </w:r>
            <w:r>
              <w:rPr>
                <w:rFonts w:hint="eastAsia"/>
                <w:color w:val="auto"/>
                <w:highlight w:val="none"/>
              </w:rPr>
              <w:t>产污系数为</w:t>
            </w:r>
            <w:r>
              <w:rPr>
                <w:rFonts w:hint="eastAsia"/>
                <w:color w:val="auto"/>
                <w:highlight w:val="none"/>
                <w:lang w:val="en-US" w:eastAsia="zh-CN"/>
              </w:rPr>
              <w:t>425</w:t>
            </w:r>
            <w:r>
              <w:rPr>
                <w:rFonts w:hint="eastAsia"/>
                <w:color w:val="auto"/>
                <w:highlight w:val="none"/>
              </w:rPr>
              <w:t>g/t</w:t>
            </w:r>
            <w:r>
              <w:rPr>
                <w:rFonts w:hint="eastAsia"/>
                <w:color w:val="auto"/>
                <w:highlight w:val="none"/>
                <w:lang w:val="en-US" w:eastAsia="zh-CN"/>
              </w:rPr>
              <w:t>原料</w:t>
            </w:r>
            <w:r>
              <w:rPr>
                <w:rFonts w:hint="eastAsia"/>
                <w:color w:val="auto"/>
                <w:highlight w:val="none"/>
              </w:rPr>
              <w:t>。</w:t>
            </w:r>
            <w:r>
              <w:rPr>
                <w:rFonts w:hint="eastAsia"/>
                <w:color w:val="auto"/>
                <w:highlight w:val="none"/>
                <w:lang w:val="en-US" w:eastAsia="zh-CN"/>
              </w:rPr>
              <w:t>ASA材料结构与ABS类似，参照</w:t>
            </w:r>
            <w:r>
              <w:rPr>
                <w:rFonts w:hint="eastAsia"/>
                <w:color w:val="auto"/>
                <w:highlight w:val="none"/>
                <w:lang w:eastAsia="zh-CN"/>
              </w:rPr>
              <w:t>“</w:t>
            </w:r>
            <w:r>
              <w:rPr>
                <w:rFonts w:hint="eastAsia"/>
                <w:color w:val="auto"/>
                <w:highlight w:val="none"/>
              </w:rPr>
              <w:t>废PS/ABS</w:t>
            </w:r>
            <w:r>
              <w:rPr>
                <w:rFonts w:hint="eastAsia"/>
                <w:color w:val="auto"/>
                <w:highlight w:val="none"/>
                <w:lang w:eastAsia="zh-CN"/>
              </w:rPr>
              <w:t>”</w:t>
            </w:r>
            <w:r>
              <w:rPr>
                <w:rFonts w:hint="eastAsia"/>
                <w:color w:val="auto"/>
                <w:highlight w:val="none"/>
                <w:lang w:val="en-US" w:eastAsia="zh-CN"/>
              </w:rPr>
              <w:t>破碎颗粒物</w:t>
            </w:r>
            <w:r>
              <w:rPr>
                <w:rFonts w:hint="eastAsia"/>
                <w:color w:val="auto"/>
                <w:highlight w:val="none"/>
              </w:rPr>
              <w:t>产污系数</w:t>
            </w:r>
            <w:r>
              <w:rPr>
                <w:rFonts w:hint="eastAsia"/>
                <w:color w:val="auto"/>
                <w:highlight w:val="none"/>
                <w:lang w:val="en-US" w:eastAsia="zh-CN"/>
              </w:rPr>
              <w:t>425</w:t>
            </w:r>
            <w:r>
              <w:rPr>
                <w:rFonts w:hint="eastAsia"/>
                <w:color w:val="auto"/>
                <w:highlight w:val="none"/>
              </w:rPr>
              <w:t>g/t</w:t>
            </w:r>
            <w:r>
              <w:rPr>
                <w:rFonts w:hint="eastAsia"/>
                <w:color w:val="auto"/>
                <w:highlight w:val="none"/>
                <w:lang w:val="en-US" w:eastAsia="zh-CN"/>
              </w:rPr>
              <w:t>原料核算。</w:t>
            </w:r>
          </w:p>
          <w:p w14:paraId="09C3E26A">
            <w:pPr>
              <w:pStyle w:val="18"/>
              <w:bidi w:val="0"/>
              <w:rPr>
                <w:rFonts w:hint="default" w:eastAsia="宋体"/>
                <w:color w:val="auto"/>
                <w:highlight w:val="none"/>
                <w:lang w:val="en-US" w:eastAsia="zh-CN"/>
              </w:rPr>
            </w:pPr>
            <w:r>
              <w:rPr>
                <w:rFonts w:hint="eastAsia"/>
                <w:color w:val="auto"/>
                <w:highlight w:val="none"/>
                <w:lang w:val="en-US" w:eastAsia="zh-CN"/>
              </w:rPr>
              <w:t>项目产品合格率97%，ABS材料产品</w:t>
            </w:r>
            <w:r>
              <w:rPr>
                <w:rFonts w:hint="default"/>
                <w:color w:val="auto"/>
                <w:highlight w:val="none"/>
                <w:lang w:val="en-US" w:eastAsia="zh-CN"/>
              </w:rPr>
              <w:t>251.6</w:t>
            </w:r>
            <w:r>
              <w:rPr>
                <w:rFonts w:hint="eastAsia"/>
                <w:color w:val="auto"/>
                <w:highlight w:val="none"/>
                <w:lang w:val="en-US" w:eastAsia="zh-CN"/>
              </w:rPr>
              <w:t>t，不合格品</w:t>
            </w:r>
            <w:r>
              <w:rPr>
                <w:rFonts w:hint="default"/>
                <w:color w:val="auto"/>
                <w:highlight w:val="none"/>
                <w:lang w:val="en-US" w:eastAsia="zh-CN"/>
              </w:rPr>
              <w:t>7.781</w:t>
            </w:r>
            <w:r>
              <w:rPr>
                <w:rFonts w:hint="eastAsia"/>
                <w:color w:val="auto"/>
                <w:highlight w:val="none"/>
                <w:lang w:val="en-US" w:eastAsia="zh-CN"/>
              </w:rPr>
              <w:t>t；ASA材料产品</w:t>
            </w:r>
            <w:r>
              <w:rPr>
                <w:rFonts w:hint="default"/>
                <w:color w:val="auto"/>
                <w:highlight w:val="none"/>
                <w:lang w:val="en-US" w:eastAsia="zh-CN"/>
              </w:rPr>
              <w:t>257.6</w:t>
            </w:r>
            <w:r>
              <w:rPr>
                <w:rFonts w:hint="eastAsia"/>
                <w:color w:val="auto"/>
                <w:highlight w:val="none"/>
                <w:lang w:val="en-US" w:eastAsia="zh-CN"/>
              </w:rPr>
              <w:t>t，不合格品</w:t>
            </w:r>
            <w:r>
              <w:rPr>
                <w:rFonts w:hint="default"/>
                <w:color w:val="auto"/>
                <w:highlight w:val="none"/>
                <w:lang w:val="en-US" w:eastAsia="zh-CN"/>
              </w:rPr>
              <w:t>7.967</w:t>
            </w:r>
            <w:r>
              <w:rPr>
                <w:rFonts w:hint="eastAsia"/>
                <w:color w:val="auto"/>
                <w:highlight w:val="none"/>
                <w:lang w:val="en-US" w:eastAsia="zh-CN"/>
              </w:rPr>
              <w:t>t；PP材料产品188.4t，不合格品5.827t。</w:t>
            </w:r>
          </w:p>
          <w:p w14:paraId="7B1CC2EF">
            <w:pPr>
              <w:pStyle w:val="18"/>
              <w:bidi w:val="0"/>
              <w:rPr>
                <w:rFonts w:hint="default" w:eastAsia="宋体"/>
                <w:color w:val="auto"/>
                <w:highlight w:val="none"/>
                <w:lang w:val="en-US" w:eastAsia="zh-CN"/>
              </w:rPr>
            </w:pPr>
            <w:r>
              <w:rPr>
                <w:rFonts w:hint="eastAsia"/>
                <w:color w:val="auto"/>
                <w:highlight w:val="none"/>
                <w:lang w:val="en-US" w:eastAsia="zh-CN"/>
              </w:rPr>
              <w:t>项目边角料产生量约为塑料原料使用量的5%，ABS材料用量252.709t，边角料产生量为12.635t，ASA材料用量259.325t，边角料产生量为12.966t，PP材料用量188.973t，边角料产生量为9.449t。</w:t>
            </w:r>
          </w:p>
          <w:p w14:paraId="33702F6C">
            <w:pPr>
              <w:pStyle w:val="18"/>
              <w:bidi w:val="0"/>
              <w:rPr>
                <w:rFonts w:hint="eastAsia"/>
                <w:color w:val="auto"/>
                <w:highlight w:val="none"/>
                <w:lang w:val="en-US" w:eastAsia="zh-CN"/>
              </w:rPr>
            </w:pPr>
            <w:r>
              <w:rPr>
                <w:rFonts w:hint="eastAsia"/>
                <w:color w:val="auto"/>
                <w:highlight w:val="none"/>
                <w:lang w:val="en-US" w:eastAsia="zh-CN"/>
              </w:rPr>
              <w:t>则ABS材料破碎回用量为20.416t，颗粒物产生量为0.009t/a，ASA材料破碎回用量为20.933t，颗粒物产生量为0.009t/a，PP材料破碎回用量为15.276t，颗粒物产生量为0.006t/a。</w:t>
            </w:r>
          </w:p>
          <w:p w14:paraId="200D840C">
            <w:pPr>
              <w:pStyle w:val="18"/>
              <w:bidi w:val="0"/>
              <w:rPr>
                <w:rFonts w:hint="default"/>
                <w:color w:val="auto"/>
                <w:sz w:val="24"/>
                <w:highlight w:val="none"/>
                <w:lang w:val="en-US" w:eastAsia="zh-CN"/>
              </w:rPr>
            </w:pPr>
            <w:r>
              <w:rPr>
                <w:rFonts w:hint="eastAsia"/>
                <w:color w:val="auto"/>
                <w:highlight w:val="none"/>
                <w:lang w:val="en-US" w:eastAsia="zh-CN"/>
              </w:rPr>
              <w:t>项目破碎颗粒物产生量为0.024t/a，</w:t>
            </w:r>
            <w:r>
              <w:rPr>
                <w:rFonts w:hint="eastAsia"/>
                <w:color w:val="auto"/>
                <w:sz w:val="24"/>
                <w:highlight w:val="none"/>
              </w:rPr>
              <w:t>破碎工序为间断性运行，</w:t>
            </w:r>
            <w:r>
              <w:rPr>
                <w:rFonts w:hint="eastAsia"/>
                <w:color w:val="auto"/>
                <w:highlight w:val="none"/>
                <w:lang w:val="en-US" w:eastAsia="zh-CN"/>
              </w:rPr>
              <w:t>待储存量达到一定水平之后，再统一进行破碎，平均每周运行约2h，</w:t>
            </w:r>
            <w:r>
              <w:rPr>
                <w:rFonts w:hint="eastAsia"/>
                <w:color w:val="auto"/>
                <w:sz w:val="24"/>
                <w:highlight w:val="none"/>
              </w:rPr>
              <w:t>年工作时间约</w:t>
            </w:r>
            <w:r>
              <w:rPr>
                <w:rFonts w:hint="eastAsia"/>
                <w:color w:val="auto"/>
                <w:sz w:val="24"/>
                <w:highlight w:val="none"/>
                <w:lang w:val="en-US" w:eastAsia="zh-CN"/>
              </w:rPr>
              <w:t>100</w:t>
            </w:r>
            <w:r>
              <w:rPr>
                <w:rFonts w:hint="eastAsia"/>
                <w:color w:val="auto"/>
                <w:sz w:val="24"/>
                <w:highlight w:val="none"/>
              </w:rPr>
              <w:t>h</w:t>
            </w:r>
            <w:r>
              <w:rPr>
                <w:rFonts w:hint="eastAsia"/>
                <w:color w:val="auto"/>
                <w:sz w:val="24"/>
                <w:highlight w:val="none"/>
                <w:lang w:eastAsia="zh-CN"/>
              </w:rPr>
              <w:t>。项目破碎粒径较大（</w:t>
            </w:r>
            <w:r>
              <w:rPr>
                <w:rFonts w:hint="eastAsia"/>
                <w:color w:val="auto"/>
                <w:kern w:val="0"/>
                <w:sz w:val="24"/>
                <w:szCs w:val="20"/>
                <w:highlight w:val="none"/>
              </w:rPr>
              <w:t>约为</w:t>
            </w:r>
            <w:r>
              <w:rPr>
                <w:rFonts w:hint="eastAsia"/>
                <w:color w:val="auto"/>
                <w:kern w:val="0"/>
                <w:sz w:val="24"/>
                <w:szCs w:val="20"/>
                <w:highlight w:val="none"/>
                <w:lang w:val="en-US" w:eastAsia="zh-CN"/>
              </w:rPr>
              <w:t>3</w:t>
            </w:r>
            <w:r>
              <w:rPr>
                <w:color w:val="auto"/>
                <w:kern w:val="0"/>
                <w:sz w:val="24"/>
                <w:szCs w:val="20"/>
                <w:highlight w:val="none"/>
              </w:rPr>
              <w:t>~</w:t>
            </w:r>
            <w:r>
              <w:rPr>
                <w:rFonts w:hint="eastAsia"/>
                <w:color w:val="auto"/>
                <w:kern w:val="0"/>
                <w:sz w:val="24"/>
                <w:szCs w:val="20"/>
                <w:highlight w:val="none"/>
                <w:lang w:val="en-US" w:eastAsia="zh-CN"/>
              </w:rPr>
              <w:t>5</w:t>
            </w:r>
            <w:r>
              <w:rPr>
                <w:color w:val="auto"/>
                <w:kern w:val="0"/>
                <w:sz w:val="24"/>
                <w:szCs w:val="20"/>
                <w:highlight w:val="none"/>
              </w:rPr>
              <w:t>mm</w:t>
            </w:r>
            <w:r>
              <w:rPr>
                <w:rFonts w:hint="eastAsia"/>
                <w:color w:val="auto"/>
                <w:sz w:val="24"/>
                <w:highlight w:val="none"/>
                <w:lang w:eastAsia="zh-CN"/>
              </w:rPr>
              <w:t>），同时碎料机入料口处设有抑制扬尘的</w:t>
            </w:r>
            <w:r>
              <w:rPr>
                <w:rFonts w:hint="eastAsia"/>
                <w:color w:val="auto"/>
                <w:sz w:val="24"/>
                <w:highlight w:val="none"/>
                <w:lang w:val="en-US" w:eastAsia="zh-CN"/>
              </w:rPr>
              <w:t>挡层板</w:t>
            </w:r>
            <w:r>
              <w:rPr>
                <w:rFonts w:hint="eastAsia"/>
                <w:color w:val="auto"/>
                <w:sz w:val="24"/>
                <w:highlight w:val="none"/>
                <w:lang w:eastAsia="zh-CN"/>
              </w:rPr>
              <w:t>，</w:t>
            </w:r>
            <w:r>
              <w:rPr>
                <w:rFonts w:hint="eastAsia"/>
                <w:color w:val="auto"/>
                <w:sz w:val="24"/>
                <w:highlight w:val="none"/>
                <w:lang w:val="en-US" w:eastAsia="zh-CN"/>
              </w:rPr>
              <w:t>仅少量颗粒物从投料口逸出，在破碎间内沉降，污染物产生量较少，废气排放时间短，对外环境影响有限，无组织排放，要求破碎加工时关闭门窗，减少污染物外逸。</w:t>
            </w:r>
          </w:p>
          <w:p w14:paraId="7C84D43C">
            <w:pPr>
              <w:pStyle w:val="18"/>
              <w:bidi w:val="0"/>
              <w:rPr>
                <w:rFonts w:hint="default"/>
                <w:b/>
                <w:bCs/>
                <w:color w:val="auto"/>
                <w:highlight w:val="none"/>
                <w:lang w:val="en-US" w:eastAsia="zh-CN"/>
              </w:rPr>
            </w:pPr>
            <w:r>
              <w:rPr>
                <w:rFonts w:hint="eastAsia"/>
                <w:b/>
                <w:bCs/>
                <w:color w:val="auto"/>
                <w:highlight w:val="none"/>
                <w:lang w:val="en-US" w:eastAsia="zh-CN"/>
              </w:rPr>
              <w:t>⑷脱模</w:t>
            </w:r>
            <w:r>
              <w:rPr>
                <w:rFonts w:hint="eastAsia"/>
                <w:color w:val="auto"/>
                <w:highlight w:val="none"/>
                <w:lang w:eastAsia="zh-CN"/>
              </w:rPr>
              <w:t>、</w:t>
            </w:r>
            <w:r>
              <w:rPr>
                <w:rFonts w:hint="eastAsia"/>
                <w:b/>
                <w:bCs/>
                <w:color w:val="auto"/>
                <w:highlight w:val="none"/>
                <w:lang w:val="en-US" w:eastAsia="zh-CN"/>
              </w:rPr>
              <w:t>清洗剂废气G4</w:t>
            </w:r>
          </w:p>
          <w:p w14:paraId="023D2DAE">
            <w:pPr>
              <w:pStyle w:val="18"/>
              <w:rPr>
                <w:rFonts w:hint="default"/>
                <w:color w:val="auto"/>
                <w:highlight w:val="none"/>
                <w:lang w:val="en-US" w:eastAsia="zh-CN"/>
              </w:rPr>
            </w:pPr>
            <w:r>
              <w:rPr>
                <w:rFonts w:hint="eastAsia"/>
                <w:color w:val="auto"/>
                <w:highlight w:val="none"/>
                <w:lang w:val="en-US" w:eastAsia="zh-CN"/>
              </w:rPr>
              <w:t>项目模具简单保养在生产线上进行，使用清洗剂喷涂模具内外，保持模具洁净。再使用脱模剂喷涂模具内部，使脱模顺畅。平均每4小时人工喷涂保养一次，单台设备每次清洗剂喷涂量约3g，脱模剂喷涂量约2g，15台设备，年运行7200h/a，清洗剂用量为0.081t/a，脱模剂用量为0.054t/a。</w:t>
            </w:r>
          </w:p>
          <w:p w14:paraId="6D494BD3">
            <w:pPr>
              <w:pStyle w:val="18"/>
              <w:bidi w:val="0"/>
              <w:rPr>
                <w:rFonts w:hint="default"/>
                <w:color w:val="auto"/>
                <w:highlight w:val="none"/>
                <w:lang w:val="en-US" w:eastAsia="zh-CN"/>
              </w:rPr>
            </w:pPr>
            <w:r>
              <w:rPr>
                <w:rFonts w:hint="eastAsia"/>
                <w:color w:val="auto"/>
                <w:highlight w:val="none"/>
                <w:lang w:val="en-US" w:eastAsia="zh-CN"/>
              </w:rPr>
              <w:t>根据前文主要原辅材料理化性质，清洗剂中CO</w:t>
            </w:r>
            <w:r>
              <w:rPr>
                <w:rFonts w:hint="eastAsia"/>
                <w:color w:val="auto"/>
                <w:highlight w:val="none"/>
                <w:vertAlign w:val="subscript"/>
                <w:lang w:val="en-US" w:eastAsia="zh-CN"/>
              </w:rPr>
              <w:t>2</w:t>
            </w:r>
            <w:r>
              <w:rPr>
                <w:rFonts w:hint="eastAsia"/>
                <w:color w:val="auto"/>
                <w:highlight w:val="none"/>
                <w:vertAlign w:val="baseline"/>
                <w:lang w:val="en-US" w:eastAsia="zh-CN"/>
              </w:rPr>
              <w:t>占比2</w:t>
            </w:r>
            <w:r>
              <w:rPr>
                <w:rFonts w:hint="eastAsia"/>
                <w:color w:val="auto"/>
                <w:highlight w:val="none"/>
                <w:lang w:val="en-US" w:eastAsia="zh-CN"/>
              </w:rPr>
              <w:t>%-3%，挥发性有机物占比98%计，污染物产生量为0.079t/a。脱模剂中二甲基硅氧烷与聚硅氧烷占比0.2%-2%，挥发性极小但占比较低，其余为挥发性有机物，保守考虑挥发性有机物占比99.8%计，污染物产生量为0.054t/a，以非甲烷总烃计。</w:t>
            </w:r>
            <w:r>
              <w:rPr>
                <w:rFonts w:hint="eastAsia"/>
                <w:color w:val="auto"/>
                <w:highlight w:val="none"/>
              </w:rPr>
              <w:t>脱模剂</w:t>
            </w:r>
            <w:r>
              <w:rPr>
                <w:rFonts w:hint="eastAsia"/>
                <w:color w:val="auto"/>
                <w:highlight w:val="none"/>
                <w:lang w:eastAsia="zh-CN"/>
              </w:rPr>
              <w:t>、</w:t>
            </w:r>
            <w:r>
              <w:rPr>
                <w:rFonts w:hint="eastAsia"/>
                <w:color w:val="auto"/>
                <w:highlight w:val="none"/>
                <w:lang w:val="en-US" w:eastAsia="zh-CN"/>
              </w:rPr>
              <w:t>清洗剂</w:t>
            </w:r>
            <w:r>
              <w:rPr>
                <w:rFonts w:hint="eastAsia"/>
                <w:color w:val="auto"/>
                <w:highlight w:val="none"/>
              </w:rPr>
              <w:t>在</w:t>
            </w:r>
            <w:r>
              <w:rPr>
                <w:rFonts w:hint="eastAsia"/>
                <w:color w:val="auto"/>
                <w:highlight w:val="none"/>
                <w:lang w:val="en-US" w:eastAsia="zh-CN"/>
              </w:rPr>
              <w:t>注塑机腔体内使用，可与注塑废气一同收集。</w:t>
            </w:r>
          </w:p>
          <w:p w14:paraId="399448F0">
            <w:pPr>
              <w:pStyle w:val="18"/>
              <w:bidi w:val="0"/>
              <w:rPr>
                <w:rFonts w:hint="default"/>
                <w:b/>
                <w:bCs/>
                <w:color w:val="auto"/>
                <w:highlight w:val="none"/>
                <w:lang w:val="en-US" w:eastAsia="zh-CN"/>
              </w:rPr>
            </w:pPr>
            <w:r>
              <w:rPr>
                <w:rFonts w:hint="eastAsia"/>
                <w:b/>
                <w:bCs/>
                <w:color w:val="auto"/>
                <w:highlight w:val="none"/>
              </w:rPr>
              <w:t>⑸</w:t>
            </w:r>
            <w:r>
              <w:rPr>
                <w:rFonts w:hint="eastAsia"/>
                <w:b/>
                <w:bCs/>
                <w:color w:val="auto"/>
                <w:highlight w:val="none"/>
                <w:lang w:val="en-US" w:eastAsia="zh-CN"/>
              </w:rPr>
              <w:t>废气收集处置设施</w:t>
            </w:r>
          </w:p>
          <w:p w14:paraId="3901EE1B">
            <w:pPr>
              <w:pStyle w:val="18"/>
              <w:bidi w:val="0"/>
              <w:rPr>
                <w:rFonts w:hint="default"/>
                <w:color w:val="auto"/>
                <w:highlight w:val="none"/>
                <w:lang w:val="en-US" w:eastAsia="zh-CN"/>
              </w:rPr>
            </w:pPr>
            <w:r>
              <w:rPr>
                <w:rFonts w:hint="eastAsia"/>
                <w:color w:val="auto"/>
                <w:highlight w:val="none"/>
                <w:lang w:val="en-US" w:eastAsia="zh-CN"/>
              </w:rPr>
              <w:t>拟对注塑废气、脱模、清洗剂废气设置收集设施。</w:t>
            </w:r>
            <w:r>
              <w:rPr>
                <w:rFonts w:hint="eastAsia"/>
                <w:color w:val="auto"/>
                <w:highlight w:val="none"/>
              </w:rPr>
              <w:t>脱模剂</w:t>
            </w:r>
            <w:r>
              <w:rPr>
                <w:rFonts w:hint="eastAsia"/>
                <w:color w:val="auto"/>
                <w:highlight w:val="none"/>
                <w:lang w:eastAsia="zh-CN"/>
              </w:rPr>
              <w:t>、</w:t>
            </w:r>
            <w:r>
              <w:rPr>
                <w:rFonts w:hint="eastAsia"/>
                <w:color w:val="auto"/>
                <w:highlight w:val="none"/>
                <w:lang w:val="en-US" w:eastAsia="zh-CN"/>
              </w:rPr>
              <w:t>清洗剂</w:t>
            </w:r>
            <w:r>
              <w:rPr>
                <w:rFonts w:hint="eastAsia"/>
                <w:color w:val="auto"/>
                <w:highlight w:val="none"/>
              </w:rPr>
              <w:t>在</w:t>
            </w:r>
            <w:r>
              <w:rPr>
                <w:rFonts w:hint="eastAsia"/>
                <w:color w:val="auto"/>
                <w:highlight w:val="none"/>
                <w:lang w:val="en-US" w:eastAsia="zh-CN"/>
              </w:rPr>
              <w:t>注塑机腔体内使用，</w:t>
            </w:r>
            <w:r>
              <w:rPr>
                <w:rFonts w:hint="eastAsia"/>
                <w:color w:val="auto"/>
                <w:highlight w:val="none"/>
              </w:rPr>
              <w:t>注塑废气</w:t>
            </w:r>
            <w:r>
              <w:rPr>
                <w:rFonts w:hint="eastAsia"/>
                <w:color w:val="auto"/>
                <w:highlight w:val="none"/>
                <w:lang w:val="en-US" w:eastAsia="zh-CN"/>
              </w:rPr>
              <w:t>在</w:t>
            </w:r>
            <w:r>
              <w:rPr>
                <w:rFonts w:hint="eastAsia"/>
                <w:color w:val="auto"/>
                <w:highlight w:val="none"/>
              </w:rPr>
              <w:t>塑料颗粒高温熔融时产生</w:t>
            </w:r>
            <w:r>
              <w:rPr>
                <w:rFonts w:hint="eastAsia"/>
                <w:color w:val="auto"/>
                <w:highlight w:val="none"/>
                <w:lang w:eastAsia="zh-CN"/>
              </w:rPr>
              <w:t>，</w:t>
            </w:r>
            <w:r>
              <w:rPr>
                <w:rFonts w:hint="eastAsia"/>
                <w:color w:val="auto"/>
                <w:highlight w:val="none"/>
              </w:rPr>
              <w:t>主要在成型后打开模具时释放，脱模剂</w:t>
            </w:r>
            <w:r>
              <w:rPr>
                <w:rFonts w:hint="eastAsia"/>
                <w:color w:val="auto"/>
                <w:highlight w:val="none"/>
                <w:lang w:eastAsia="zh-CN"/>
              </w:rPr>
              <w:t>、</w:t>
            </w:r>
            <w:r>
              <w:rPr>
                <w:rFonts w:hint="eastAsia"/>
                <w:color w:val="auto"/>
                <w:highlight w:val="none"/>
                <w:lang w:val="en-US" w:eastAsia="zh-CN"/>
              </w:rPr>
              <w:t>清洗剂</w:t>
            </w:r>
            <w:r>
              <w:rPr>
                <w:rFonts w:hint="eastAsia"/>
                <w:color w:val="auto"/>
                <w:highlight w:val="none"/>
              </w:rPr>
              <w:t>废气与注塑废气产生位置一致</w:t>
            </w:r>
            <w:r>
              <w:rPr>
                <w:rFonts w:hint="eastAsia"/>
                <w:color w:val="auto"/>
                <w:highlight w:val="none"/>
                <w:lang w:eastAsia="zh-CN"/>
              </w:rPr>
              <w:t>。</w:t>
            </w:r>
          </w:p>
          <w:p w14:paraId="00B7565E">
            <w:pPr>
              <w:pStyle w:val="18"/>
              <w:bidi w:val="0"/>
              <w:rPr>
                <w:rFonts w:hint="default"/>
                <w:color w:val="auto"/>
                <w:highlight w:val="none"/>
                <w:lang w:val="en-US" w:eastAsia="zh-CN"/>
              </w:rPr>
            </w:pPr>
            <w:r>
              <w:rPr>
                <w:rFonts w:hint="eastAsia"/>
                <w:color w:val="auto"/>
                <w:highlight w:val="none"/>
              </w:rPr>
              <w:t>拟</w:t>
            </w:r>
            <w:r>
              <w:rPr>
                <w:rFonts w:hint="eastAsia"/>
                <w:color w:val="auto"/>
                <w:highlight w:val="none"/>
                <w:lang w:val="en-US" w:eastAsia="zh-CN"/>
              </w:rPr>
              <w:t>在每台注塑机塑料出料区顶部设矩形集气罩，集气效率以80%计，废气收集后经过滤棉+</w:t>
            </w:r>
            <w:r>
              <w:rPr>
                <w:rFonts w:hint="eastAsia"/>
                <w:color w:val="auto"/>
                <w:highlight w:val="none"/>
              </w:rPr>
              <w:t>UV光氧化</w:t>
            </w:r>
            <w:r>
              <w:rPr>
                <w:rFonts w:hint="eastAsia"/>
                <w:color w:val="auto"/>
                <w:highlight w:val="none"/>
                <w:lang w:val="en-US" w:eastAsia="zh-CN"/>
              </w:rPr>
              <w:t>+二级活性炭吸附装置进行处理</w:t>
            </w:r>
            <w:r>
              <w:rPr>
                <w:rFonts w:hint="eastAsia"/>
                <w:color w:val="auto"/>
                <w:highlight w:val="none"/>
                <w:lang w:eastAsia="zh-CN"/>
              </w:rPr>
              <w:t>，</w:t>
            </w:r>
            <w:r>
              <w:rPr>
                <w:rFonts w:hint="eastAsia"/>
                <w:color w:val="auto"/>
                <w:highlight w:val="none"/>
                <w:lang w:val="en-US" w:eastAsia="zh-CN"/>
              </w:rPr>
              <w:t>过滤棉用于吸附注塑过程中产生的少量颗粒物，保证吸附装置治理效率，UV光氧化对异味有较好处置效果。项目废气处置设施综合处理效率以60%计</w:t>
            </w:r>
            <w:r>
              <w:rPr>
                <w:rFonts w:hint="eastAsia"/>
                <w:color w:val="auto"/>
                <w:highlight w:val="none"/>
                <w:lang w:eastAsia="zh-CN"/>
              </w:rPr>
              <w:t>，</w:t>
            </w:r>
            <w:r>
              <w:rPr>
                <w:rFonts w:hint="eastAsia"/>
                <w:color w:val="auto"/>
                <w:highlight w:val="none"/>
                <w:lang w:val="en-US" w:eastAsia="zh-CN"/>
              </w:rPr>
              <w:t>处理后的废气经一根15m高排气筒排放，未收集污染物车间无组织排放。</w:t>
            </w:r>
          </w:p>
          <w:p w14:paraId="7924DBEF">
            <w:pPr>
              <w:pStyle w:val="18"/>
              <w:rPr>
                <w:color w:val="auto"/>
                <w:highlight w:val="none"/>
              </w:rPr>
            </w:pPr>
            <w:r>
              <w:rPr>
                <w:rFonts w:hint="eastAsia"/>
                <w:color w:val="auto"/>
                <w:highlight w:val="none"/>
              </w:rPr>
              <w:t>参考《环境工程技术手册 废气处理工程技术手册》（王纯，张殿印主编，化学工业出版社，2012.11），上部伞型罩风量按下式计算：</w:t>
            </w:r>
          </w:p>
          <w:p w14:paraId="3158BEDE">
            <w:pPr>
              <w:pStyle w:val="18"/>
              <w:ind w:firstLine="0" w:firstLineChars="0"/>
              <w:jc w:val="center"/>
              <w:rPr>
                <w:color w:val="auto"/>
                <w:highlight w:val="none"/>
              </w:rPr>
            </w:pPr>
            <w:r>
              <w:rPr>
                <w:color w:val="auto"/>
                <w:highlight w:val="none"/>
              </w:rPr>
              <w:t>Q=</w:t>
            </w:r>
            <w:r>
              <w:rPr>
                <w:rFonts w:hint="eastAsia"/>
                <w:color w:val="auto"/>
                <w:highlight w:val="none"/>
              </w:rPr>
              <w:t>1.4*P*H*V</w:t>
            </w:r>
            <w:r>
              <w:rPr>
                <w:rFonts w:hint="eastAsia"/>
                <w:color w:val="auto"/>
                <w:highlight w:val="none"/>
                <w:vertAlign w:val="subscript"/>
              </w:rPr>
              <w:t>X</w:t>
            </w:r>
          </w:p>
          <w:p w14:paraId="46173F3C">
            <w:pPr>
              <w:pStyle w:val="18"/>
              <w:rPr>
                <w:color w:val="auto"/>
                <w:highlight w:val="none"/>
              </w:rPr>
            </w:pPr>
            <w:r>
              <w:rPr>
                <w:color w:val="auto"/>
                <w:highlight w:val="none"/>
              </w:rPr>
              <w:t>式中：Q——排气量，m</w:t>
            </w:r>
            <w:r>
              <w:rPr>
                <w:color w:val="auto"/>
                <w:highlight w:val="none"/>
                <w:vertAlign w:val="superscript"/>
              </w:rPr>
              <w:t>3</w:t>
            </w:r>
            <w:r>
              <w:rPr>
                <w:color w:val="auto"/>
                <w:highlight w:val="none"/>
              </w:rPr>
              <w:t>/</w:t>
            </w:r>
            <w:r>
              <w:rPr>
                <w:rFonts w:hint="eastAsia"/>
                <w:color w:val="auto"/>
                <w:highlight w:val="none"/>
              </w:rPr>
              <w:t>s</w:t>
            </w:r>
            <w:r>
              <w:rPr>
                <w:color w:val="auto"/>
                <w:highlight w:val="none"/>
              </w:rPr>
              <w:t>；</w:t>
            </w:r>
          </w:p>
          <w:p w14:paraId="4D528894">
            <w:pPr>
              <w:pStyle w:val="18"/>
              <w:ind w:left="720" w:leftChars="300"/>
              <w:rPr>
                <w:color w:val="auto"/>
                <w:highlight w:val="none"/>
              </w:rPr>
            </w:pPr>
            <w:r>
              <w:rPr>
                <w:rFonts w:hint="eastAsia"/>
                <w:color w:val="auto"/>
                <w:highlight w:val="none"/>
              </w:rPr>
              <w:t>P</w:t>
            </w:r>
            <w:r>
              <w:rPr>
                <w:color w:val="auto"/>
                <w:highlight w:val="none"/>
              </w:rPr>
              <w:t>——罩口</w:t>
            </w:r>
            <w:r>
              <w:rPr>
                <w:rFonts w:hint="eastAsia"/>
                <w:color w:val="auto"/>
                <w:highlight w:val="none"/>
              </w:rPr>
              <w:t>周长</w:t>
            </w:r>
            <w:r>
              <w:rPr>
                <w:color w:val="auto"/>
                <w:highlight w:val="none"/>
              </w:rPr>
              <w:t>，m；</w:t>
            </w:r>
          </w:p>
          <w:p w14:paraId="72C41188">
            <w:pPr>
              <w:pStyle w:val="18"/>
              <w:ind w:left="720" w:leftChars="300"/>
              <w:rPr>
                <w:color w:val="auto"/>
                <w:highlight w:val="none"/>
              </w:rPr>
            </w:pPr>
            <w:r>
              <w:rPr>
                <w:rFonts w:hint="eastAsia"/>
                <w:color w:val="auto"/>
                <w:highlight w:val="none"/>
              </w:rPr>
              <w:t>V</w:t>
            </w:r>
            <w:r>
              <w:rPr>
                <w:rFonts w:hint="eastAsia"/>
                <w:color w:val="auto"/>
                <w:highlight w:val="none"/>
                <w:vertAlign w:val="subscript"/>
              </w:rPr>
              <w:t>X</w:t>
            </w:r>
            <w:r>
              <w:rPr>
                <w:color w:val="auto"/>
                <w:highlight w:val="none"/>
              </w:rPr>
              <w:t>——</w:t>
            </w:r>
            <w:r>
              <w:rPr>
                <w:rFonts w:hint="eastAsia"/>
                <w:color w:val="auto"/>
                <w:highlight w:val="none"/>
              </w:rPr>
              <w:t>控制风速，0.25</w:t>
            </w:r>
            <w:r>
              <w:rPr>
                <w:rFonts w:hint="eastAsia"/>
                <w:color w:val="auto"/>
                <w:highlight w:val="none"/>
                <w:lang w:eastAsia="zh-CN"/>
              </w:rPr>
              <w:t>～</w:t>
            </w:r>
            <w:r>
              <w:rPr>
                <w:rFonts w:hint="eastAsia"/>
                <w:color w:val="auto"/>
                <w:highlight w:val="none"/>
              </w:rPr>
              <w:t>2.5m/s</w:t>
            </w:r>
          </w:p>
          <w:p w14:paraId="478AF433">
            <w:pPr>
              <w:pStyle w:val="18"/>
              <w:ind w:left="720" w:leftChars="300"/>
              <w:rPr>
                <w:color w:val="auto"/>
                <w:highlight w:val="none"/>
              </w:rPr>
            </w:pPr>
            <w:r>
              <w:rPr>
                <w:rFonts w:hint="eastAsia"/>
                <w:color w:val="auto"/>
                <w:highlight w:val="none"/>
              </w:rPr>
              <w:t>H</w:t>
            </w:r>
            <w:r>
              <w:rPr>
                <w:color w:val="auto"/>
                <w:highlight w:val="none"/>
              </w:rPr>
              <w:t>——</w:t>
            </w:r>
            <w:r>
              <w:rPr>
                <w:rFonts w:hint="eastAsia"/>
                <w:color w:val="auto"/>
                <w:highlight w:val="none"/>
              </w:rPr>
              <w:t>污染源距罩口距离</w:t>
            </w:r>
            <w:r>
              <w:rPr>
                <w:color w:val="auto"/>
                <w:highlight w:val="none"/>
              </w:rPr>
              <w:t>，m；</w:t>
            </w:r>
          </w:p>
          <w:p w14:paraId="5A33E3BA">
            <w:pPr>
              <w:pStyle w:val="18"/>
              <w:rPr>
                <w:rFonts w:hint="eastAsia"/>
                <w:color w:val="auto"/>
                <w:highlight w:val="none"/>
                <w:lang w:val="en-US" w:eastAsia="zh-CN"/>
              </w:rPr>
            </w:pPr>
            <w:r>
              <w:rPr>
                <w:rFonts w:hint="eastAsia"/>
                <w:color w:val="auto"/>
                <w:highlight w:val="none"/>
                <w:lang w:val="en-US" w:eastAsia="zh-CN"/>
              </w:rPr>
              <w:t>项目废气集气风量核算如下：</w:t>
            </w:r>
          </w:p>
          <w:p w14:paraId="5900E04B">
            <w:pPr>
              <w:pStyle w:val="19"/>
              <w:spacing w:before="156"/>
              <w:rPr>
                <w:rFonts w:hint="eastAsia"/>
                <w:color w:val="auto"/>
                <w:highlight w:val="none"/>
                <w:lang w:val="en-US" w:eastAsia="zh-CN"/>
              </w:rPr>
            </w:pPr>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3</w:t>
            </w:r>
            <w:r>
              <w:rPr>
                <w:color w:val="auto"/>
                <w:highlight w:val="none"/>
              </w:rPr>
              <w:fldChar w:fldCharType="end"/>
            </w:r>
            <w:r>
              <w:rPr>
                <w:rFonts w:hint="eastAsia"/>
                <w:color w:val="auto"/>
                <w:highlight w:val="none"/>
              </w:rPr>
              <w:t xml:space="preserve">  </w:t>
            </w:r>
            <w:r>
              <w:rPr>
                <w:rFonts w:hint="eastAsia"/>
                <w:color w:val="auto"/>
                <w:highlight w:val="none"/>
                <w:lang w:val="en-US" w:eastAsia="zh-CN"/>
              </w:rPr>
              <w:t>项目废气集气风量</w:t>
            </w:r>
            <w:r>
              <w:rPr>
                <w:rFonts w:hint="eastAsia"/>
                <w:color w:val="auto"/>
                <w:highlight w:val="none"/>
              </w:rPr>
              <w:t>计算表</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432"/>
              <w:gridCol w:w="1042"/>
              <w:gridCol w:w="1515"/>
              <w:gridCol w:w="781"/>
              <w:gridCol w:w="781"/>
              <w:gridCol w:w="910"/>
              <w:gridCol w:w="949"/>
              <w:gridCol w:w="1059"/>
            </w:tblGrid>
            <w:tr w14:paraId="41C5B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45" w:type="pct"/>
                  <w:tcBorders>
                    <w:left w:val="single" w:color="auto" w:sz="4" w:space="0"/>
                    <w:right w:val="single" w:color="auto" w:sz="4" w:space="0"/>
                  </w:tcBorders>
                  <w:vAlign w:val="center"/>
                </w:tcPr>
                <w:p w14:paraId="28ABC1A0">
                  <w:pPr>
                    <w:pStyle w:val="20"/>
                    <w:bidi w:val="0"/>
                    <w:rPr>
                      <w:b/>
                      <w:bCs/>
                      <w:color w:val="auto"/>
                      <w:highlight w:val="none"/>
                    </w:rPr>
                  </w:pPr>
                  <w:r>
                    <w:rPr>
                      <w:b/>
                      <w:bCs/>
                      <w:color w:val="auto"/>
                      <w:highlight w:val="none"/>
                    </w:rPr>
                    <w:t>污染源</w:t>
                  </w:r>
                </w:p>
              </w:tc>
              <w:tc>
                <w:tcPr>
                  <w:tcW w:w="615" w:type="pct"/>
                  <w:tcBorders>
                    <w:left w:val="single" w:color="auto" w:sz="4" w:space="0"/>
                    <w:right w:val="single" w:color="auto" w:sz="4" w:space="0"/>
                  </w:tcBorders>
                  <w:vAlign w:val="center"/>
                </w:tcPr>
                <w:p w14:paraId="1B7E9871">
                  <w:pPr>
                    <w:pStyle w:val="20"/>
                    <w:bidi w:val="0"/>
                    <w:rPr>
                      <w:rFonts w:hint="eastAsia" w:ascii="Times New Roman" w:hAnsi="Times New Roman" w:eastAsia="宋体" w:cs="宋体"/>
                      <w:b/>
                      <w:bCs/>
                      <w:color w:val="auto"/>
                      <w:kern w:val="2"/>
                      <w:sz w:val="21"/>
                      <w:szCs w:val="21"/>
                      <w:highlight w:val="none"/>
                      <w:lang w:val="en-US" w:eastAsia="zh-CN" w:bidi="ar-SA"/>
                    </w:rPr>
                  </w:pPr>
                  <w:r>
                    <w:rPr>
                      <w:b/>
                      <w:bCs/>
                      <w:color w:val="auto"/>
                      <w:highlight w:val="none"/>
                    </w:rPr>
                    <w:t>废气收集方式</w:t>
                  </w:r>
                </w:p>
              </w:tc>
              <w:tc>
                <w:tcPr>
                  <w:tcW w:w="894" w:type="pct"/>
                  <w:tcBorders>
                    <w:left w:val="single" w:color="auto" w:sz="4" w:space="0"/>
                    <w:right w:val="single" w:color="auto" w:sz="4" w:space="0"/>
                  </w:tcBorders>
                  <w:vAlign w:val="center"/>
                </w:tcPr>
                <w:p w14:paraId="19144437">
                  <w:pPr>
                    <w:pStyle w:val="20"/>
                    <w:bidi w:val="0"/>
                    <w:rPr>
                      <w:rFonts w:hint="eastAsia"/>
                      <w:b/>
                      <w:bCs/>
                      <w:color w:val="auto"/>
                      <w:highlight w:val="none"/>
                      <w:lang w:val="en-US" w:eastAsia="zh-CN"/>
                    </w:rPr>
                  </w:pPr>
                  <w:r>
                    <w:rPr>
                      <w:rFonts w:hint="eastAsia"/>
                      <w:b/>
                      <w:bCs/>
                      <w:color w:val="auto"/>
                      <w:highlight w:val="none"/>
                      <w:lang w:val="en-US" w:eastAsia="zh-CN"/>
                    </w:rPr>
                    <w:t>集气罩规格</w:t>
                  </w:r>
                </w:p>
              </w:tc>
              <w:tc>
                <w:tcPr>
                  <w:tcW w:w="461" w:type="pct"/>
                  <w:tcBorders>
                    <w:left w:val="single" w:color="auto" w:sz="4" w:space="0"/>
                    <w:right w:val="single" w:color="auto" w:sz="4" w:space="0"/>
                  </w:tcBorders>
                  <w:vAlign w:val="center"/>
                </w:tcPr>
                <w:p w14:paraId="2FDCD29C">
                  <w:pPr>
                    <w:pStyle w:val="20"/>
                    <w:bidi w:val="0"/>
                    <w:rPr>
                      <w:rFonts w:hint="eastAsia" w:eastAsia="宋体"/>
                      <w:b/>
                      <w:bCs/>
                      <w:color w:val="auto"/>
                      <w:highlight w:val="none"/>
                      <w:lang w:val="en-US" w:eastAsia="zh-CN"/>
                    </w:rPr>
                  </w:pPr>
                  <w:r>
                    <w:rPr>
                      <w:rFonts w:hint="eastAsia"/>
                      <w:b/>
                      <w:bCs/>
                      <w:color w:val="auto"/>
                      <w:highlight w:val="none"/>
                      <w:lang w:val="en-US" w:eastAsia="zh-CN"/>
                    </w:rPr>
                    <w:t>数量</w:t>
                  </w:r>
                </w:p>
              </w:tc>
              <w:tc>
                <w:tcPr>
                  <w:tcW w:w="461" w:type="pct"/>
                  <w:tcBorders>
                    <w:left w:val="single" w:color="auto" w:sz="4" w:space="0"/>
                    <w:right w:val="single" w:color="auto" w:sz="4" w:space="0"/>
                  </w:tcBorders>
                  <w:vAlign w:val="center"/>
                </w:tcPr>
                <w:p w14:paraId="6C283BC7">
                  <w:pPr>
                    <w:pStyle w:val="20"/>
                    <w:bidi w:val="0"/>
                    <w:rPr>
                      <w:b/>
                      <w:bCs/>
                      <w:color w:val="auto"/>
                      <w:highlight w:val="none"/>
                    </w:rPr>
                  </w:pPr>
                  <w:r>
                    <w:rPr>
                      <w:b/>
                      <w:bCs/>
                      <w:color w:val="auto"/>
                      <w:highlight w:val="none"/>
                    </w:rPr>
                    <w:t>距离</w:t>
                  </w:r>
                  <w:r>
                    <w:rPr>
                      <w:rFonts w:hint="eastAsia"/>
                      <w:b/>
                      <w:bCs/>
                      <w:color w:val="auto"/>
                      <w:highlight w:val="none"/>
                    </w:rPr>
                    <w:t>m</w:t>
                  </w:r>
                </w:p>
              </w:tc>
              <w:tc>
                <w:tcPr>
                  <w:tcW w:w="537" w:type="pct"/>
                  <w:tcBorders>
                    <w:left w:val="single" w:color="auto" w:sz="4" w:space="0"/>
                    <w:right w:val="single" w:color="auto" w:sz="4" w:space="0"/>
                  </w:tcBorders>
                  <w:vAlign w:val="center"/>
                </w:tcPr>
                <w:p w14:paraId="63227F5D">
                  <w:pPr>
                    <w:pStyle w:val="20"/>
                    <w:bidi w:val="0"/>
                    <w:rPr>
                      <w:b/>
                      <w:bCs/>
                      <w:color w:val="auto"/>
                      <w:highlight w:val="none"/>
                    </w:rPr>
                  </w:pPr>
                  <w:r>
                    <w:rPr>
                      <w:b/>
                      <w:bCs/>
                      <w:color w:val="auto"/>
                      <w:highlight w:val="none"/>
                    </w:rPr>
                    <w:t>控制风速</w:t>
                  </w:r>
                  <w:r>
                    <w:rPr>
                      <w:rFonts w:hint="eastAsia"/>
                      <w:b/>
                      <w:bCs/>
                      <w:color w:val="auto"/>
                      <w:highlight w:val="none"/>
                    </w:rPr>
                    <w:t>m/s</w:t>
                  </w:r>
                </w:p>
              </w:tc>
              <w:tc>
                <w:tcPr>
                  <w:tcW w:w="560" w:type="pct"/>
                  <w:tcBorders>
                    <w:left w:val="single" w:color="auto" w:sz="4" w:space="0"/>
                    <w:right w:val="single" w:color="auto" w:sz="4" w:space="0"/>
                  </w:tcBorders>
                  <w:vAlign w:val="center"/>
                </w:tcPr>
                <w:p w14:paraId="4197188B">
                  <w:pPr>
                    <w:pStyle w:val="20"/>
                    <w:bidi w:val="0"/>
                    <w:rPr>
                      <w:b/>
                      <w:bCs/>
                      <w:color w:val="auto"/>
                      <w:highlight w:val="none"/>
                    </w:rPr>
                  </w:pPr>
                  <w:r>
                    <w:rPr>
                      <w:b/>
                      <w:bCs/>
                      <w:color w:val="auto"/>
                      <w:highlight w:val="none"/>
                    </w:rPr>
                    <w:t>计</w:t>
                  </w:r>
                  <w:r>
                    <w:rPr>
                      <w:rFonts w:hint="eastAsia"/>
                      <w:b/>
                      <w:bCs/>
                      <w:color w:val="auto"/>
                      <w:highlight w:val="none"/>
                      <w:lang w:val="en-US" w:eastAsia="zh-CN"/>
                    </w:rPr>
                    <w:t>得</w:t>
                  </w:r>
                  <w:r>
                    <w:rPr>
                      <w:b/>
                      <w:bCs/>
                      <w:color w:val="auto"/>
                      <w:highlight w:val="none"/>
                    </w:rPr>
                    <w:t>风量m</w:t>
                  </w:r>
                  <w:r>
                    <w:rPr>
                      <w:rFonts w:hint="eastAsia"/>
                      <w:b/>
                      <w:bCs/>
                      <w:color w:val="auto"/>
                      <w:highlight w:val="none"/>
                      <w:vertAlign w:val="superscript"/>
                    </w:rPr>
                    <w:t>3</w:t>
                  </w:r>
                  <w:r>
                    <w:rPr>
                      <w:b/>
                      <w:bCs/>
                      <w:color w:val="auto"/>
                      <w:highlight w:val="none"/>
                    </w:rPr>
                    <w:t>/h</w:t>
                  </w:r>
                </w:p>
              </w:tc>
              <w:tc>
                <w:tcPr>
                  <w:tcW w:w="624" w:type="pct"/>
                  <w:tcBorders>
                    <w:left w:val="single" w:color="auto" w:sz="4" w:space="0"/>
                    <w:right w:val="single" w:color="auto" w:sz="4" w:space="0"/>
                  </w:tcBorders>
                  <w:vAlign w:val="center"/>
                </w:tcPr>
                <w:p w14:paraId="0FA66942">
                  <w:pPr>
                    <w:pStyle w:val="20"/>
                    <w:bidi w:val="0"/>
                    <w:rPr>
                      <w:b/>
                      <w:bCs/>
                      <w:color w:val="auto"/>
                      <w:highlight w:val="none"/>
                    </w:rPr>
                  </w:pPr>
                  <w:r>
                    <w:rPr>
                      <w:b/>
                      <w:bCs/>
                      <w:color w:val="auto"/>
                      <w:highlight w:val="none"/>
                    </w:rPr>
                    <w:t>设计风量m</w:t>
                  </w:r>
                  <w:r>
                    <w:rPr>
                      <w:rFonts w:hint="eastAsia"/>
                      <w:b/>
                      <w:bCs/>
                      <w:color w:val="auto"/>
                      <w:highlight w:val="none"/>
                      <w:vertAlign w:val="superscript"/>
                    </w:rPr>
                    <w:t>3</w:t>
                  </w:r>
                  <w:r>
                    <w:rPr>
                      <w:b/>
                      <w:bCs/>
                      <w:color w:val="auto"/>
                      <w:highlight w:val="none"/>
                    </w:rPr>
                    <w:t>/h</w:t>
                  </w:r>
                </w:p>
              </w:tc>
            </w:tr>
            <w:tr w14:paraId="43B63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45" w:type="pct"/>
                  <w:tcBorders>
                    <w:left w:val="single" w:color="auto" w:sz="4" w:space="0"/>
                    <w:right w:val="single" w:color="auto" w:sz="4" w:space="0"/>
                  </w:tcBorders>
                  <w:vAlign w:val="center"/>
                </w:tcPr>
                <w:p w14:paraId="7210723C">
                  <w:pPr>
                    <w:pStyle w:val="20"/>
                    <w:bidi w:val="0"/>
                    <w:rPr>
                      <w:rFonts w:hint="default" w:eastAsia="宋体"/>
                      <w:color w:val="auto"/>
                      <w:highlight w:val="none"/>
                      <w:lang w:val="en-US" w:eastAsia="zh-CN"/>
                    </w:rPr>
                  </w:pPr>
                  <w:r>
                    <w:rPr>
                      <w:rFonts w:hint="eastAsia"/>
                      <w:color w:val="auto"/>
                      <w:highlight w:val="none"/>
                      <w:lang w:val="en-US" w:eastAsia="zh-CN"/>
                    </w:rPr>
                    <w:t>注塑、脱模剂、清洗剂</w:t>
                  </w:r>
                </w:p>
              </w:tc>
              <w:tc>
                <w:tcPr>
                  <w:tcW w:w="615" w:type="pct"/>
                  <w:tcBorders>
                    <w:left w:val="single" w:color="auto" w:sz="4" w:space="0"/>
                    <w:right w:val="single" w:color="auto" w:sz="4" w:space="0"/>
                  </w:tcBorders>
                  <w:vAlign w:val="center"/>
                </w:tcPr>
                <w:p w14:paraId="0AD3E5EF">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顶吸集气罩</w:t>
                  </w:r>
                </w:p>
              </w:tc>
              <w:tc>
                <w:tcPr>
                  <w:tcW w:w="894" w:type="pct"/>
                  <w:tcBorders>
                    <w:left w:val="single" w:color="auto" w:sz="4" w:space="0"/>
                    <w:right w:val="single" w:color="auto" w:sz="4" w:space="0"/>
                  </w:tcBorders>
                  <w:vAlign w:val="center"/>
                </w:tcPr>
                <w:p w14:paraId="4681111B">
                  <w:pPr>
                    <w:pStyle w:val="20"/>
                    <w:bidi w:val="0"/>
                    <w:rPr>
                      <w:rFonts w:hint="default"/>
                      <w:color w:val="auto"/>
                      <w:highlight w:val="none"/>
                      <w:lang w:val="en-US" w:eastAsia="zh-CN"/>
                    </w:rPr>
                  </w:pPr>
                  <w:r>
                    <w:rPr>
                      <w:rFonts w:hint="eastAsia"/>
                      <w:color w:val="auto"/>
                      <w:highlight w:val="none"/>
                      <w:lang w:val="en-US" w:eastAsia="zh-CN"/>
                    </w:rPr>
                    <w:t>0.8m*0.5m</w:t>
                  </w:r>
                </w:p>
              </w:tc>
              <w:tc>
                <w:tcPr>
                  <w:tcW w:w="461" w:type="pct"/>
                  <w:tcBorders>
                    <w:left w:val="single" w:color="auto" w:sz="4" w:space="0"/>
                    <w:right w:val="single" w:color="auto" w:sz="4" w:space="0"/>
                  </w:tcBorders>
                  <w:vAlign w:val="center"/>
                </w:tcPr>
                <w:p w14:paraId="40084130">
                  <w:pPr>
                    <w:pStyle w:val="20"/>
                    <w:bidi w:val="0"/>
                    <w:rPr>
                      <w:rFonts w:hint="eastAsia"/>
                      <w:color w:val="auto"/>
                      <w:highlight w:val="none"/>
                      <w:lang w:val="en-US" w:eastAsia="zh-CN"/>
                    </w:rPr>
                  </w:pPr>
                  <w:r>
                    <w:rPr>
                      <w:rFonts w:hint="eastAsia"/>
                      <w:color w:val="auto"/>
                      <w:highlight w:val="none"/>
                      <w:lang w:val="en-US" w:eastAsia="zh-CN"/>
                    </w:rPr>
                    <w:t>15个</w:t>
                  </w:r>
                </w:p>
              </w:tc>
              <w:tc>
                <w:tcPr>
                  <w:tcW w:w="461" w:type="pct"/>
                  <w:tcBorders>
                    <w:left w:val="single" w:color="auto" w:sz="4" w:space="0"/>
                    <w:right w:val="single" w:color="auto" w:sz="4" w:space="0"/>
                  </w:tcBorders>
                  <w:vAlign w:val="center"/>
                </w:tcPr>
                <w:p w14:paraId="722C59FF">
                  <w:pPr>
                    <w:pStyle w:val="20"/>
                    <w:bidi w:val="0"/>
                    <w:rPr>
                      <w:rFonts w:hint="default"/>
                      <w:color w:val="auto"/>
                      <w:highlight w:val="none"/>
                      <w:lang w:val="en-US" w:eastAsia="zh-CN"/>
                    </w:rPr>
                  </w:pPr>
                  <w:r>
                    <w:rPr>
                      <w:rFonts w:hint="eastAsia"/>
                      <w:color w:val="auto"/>
                      <w:highlight w:val="none"/>
                      <w:lang w:val="en-US" w:eastAsia="zh-CN"/>
                    </w:rPr>
                    <w:t>0.2</w:t>
                  </w:r>
                </w:p>
              </w:tc>
              <w:tc>
                <w:tcPr>
                  <w:tcW w:w="537" w:type="pct"/>
                  <w:tcBorders>
                    <w:left w:val="single" w:color="auto" w:sz="4" w:space="0"/>
                    <w:right w:val="single" w:color="auto" w:sz="4" w:space="0"/>
                  </w:tcBorders>
                  <w:vAlign w:val="center"/>
                </w:tcPr>
                <w:p w14:paraId="5ADF3CE9">
                  <w:pPr>
                    <w:pStyle w:val="20"/>
                    <w:bidi w:val="0"/>
                    <w:rPr>
                      <w:rFonts w:hint="default"/>
                      <w:color w:val="auto"/>
                      <w:highlight w:val="none"/>
                      <w:lang w:val="en-US" w:eastAsia="zh-CN"/>
                    </w:rPr>
                  </w:pPr>
                  <w:r>
                    <w:rPr>
                      <w:rFonts w:hint="eastAsia"/>
                      <w:color w:val="auto"/>
                      <w:highlight w:val="none"/>
                      <w:lang w:val="en-US" w:eastAsia="zh-CN"/>
                    </w:rPr>
                    <w:t>0.5</w:t>
                  </w:r>
                </w:p>
              </w:tc>
              <w:tc>
                <w:tcPr>
                  <w:tcW w:w="560" w:type="pct"/>
                  <w:tcBorders>
                    <w:left w:val="single" w:color="auto" w:sz="4" w:space="0"/>
                    <w:right w:val="single" w:color="auto" w:sz="4" w:space="0"/>
                  </w:tcBorders>
                  <w:vAlign w:val="center"/>
                </w:tcPr>
                <w:p w14:paraId="34BE3CCD">
                  <w:pPr>
                    <w:pStyle w:val="20"/>
                    <w:bidi w:val="0"/>
                    <w:rPr>
                      <w:rFonts w:hint="default"/>
                      <w:color w:val="auto"/>
                      <w:highlight w:val="none"/>
                      <w:lang w:val="en-US" w:eastAsia="zh-CN"/>
                    </w:rPr>
                  </w:pPr>
                  <w:r>
                    <w:rPr>
                      <w:rFonts w:hint="eastAsia"/>
                      <w:color w:val="auto"/>
                      <w:highlight w:val="none"/>
                      <w:lang w:val="en-US" w:eastAsia="zh-CN"/>
                    </w:rPr>
                    <w:t>19656</w:t>
                  </w:r>
                </w:p>
              </w:tc>
              <w:tc>
                <w:tcPr>
                  <w:tcW w:w="624" w:type="pct"/>
                  <w:tcBorders>
                    <w:left w:val="single" w:color="auto" w:sz="4" w:space="0"/>
                    <w:right w:val="single" w:color="auto" w:sz="4" w:space="0"/>
                  </w:tcBorders>
                  <w:vAlign w:val="center"/>
                </w:tcPr>
                <w:p w14:paraId="286D5865">
                  <w:pPr>
                    <w:pStyle w:val="20"/>
                    <w:bidi w:val="0"/>
                    <w:rPr>
                      <w:rFonts w:hint="default"/>
                      <w:color w:val="auto"/>
                      <w:highlight w:val="none"/>
                      <w:lang w:val="en-US" w:eastAsia="zh-CN"/>
                    </w:rPr>
                  </w:pPr>
                  <w:r>
                    <w:rPr>
                      <w:rFonts w:hint="eastAsia"/>
                      <w:color w:val="auto"/>
                      <w:highlight w:val="none"/>
                      <w:lang w:val="en-US" w:eastAsia="zh-CN"/>
                    </w:rPr>
                    <w:t>20000</w:t>
                  </w:r>
                </w:p>
              </w:tc>
            </w:tr>
          </w:tbl>
          <w:p w14:paraId="61B2EC37">
            <w:pPr>
              <w:pStyle w:val="3"/>
              <w:ind w:firstLine="482"/>
              <w:rPr>
                <w:rFonts w:hint="default" w:eastAsia="宋体"/>
                <w:color w:val="auto"/>
                <w:highlight w:val="none"/>
                <w:lang w:val="en-US" w:eastAsia="zh-CN"/>
              </w:rPr>
            </w:pPr>
            <w:r>
              <w:rPr>
                <w:rFonts w:hint="eastAsia"/>
                <w:color w:val="auto"/>
                <w:highlight w:val="none"/>
                <w:lang w:val="en-US" w:eastAsia="zh-CN"/>
              </w:rPr>
              <w:t>2</w:t>
            </w:r>
            <w:r>
              <w:rPr>
                <w:rFonts w:hint="eastAsia"/>
                <w:color w:val="auto"/>
                <w:highlight w:val="none"/>
              </w:rPr>
              <w:t>）废气污染物源强</w:t>
            </w:r>
            <w:r>
              <w:rPr>
                <w:rFonts w:hint="eastAsia"/>
                <w:color w:val="auto"/>
                <w:highlight w:val="none"/>
                <w:lang w:val="en-US" w:eastAsia="zh-CN"/>
              </w:rPr>
              <w:t>及排放情况</w:t>
            </w:r>
          </w:p>
          <w:p w14:paraId="7FD55F25">
            <w:pPr>
              <w:pStyle w:val="18"/>
              <w:rPr>
                <w:rFonts w:hint="eastAsia" w:eastAsia="宋体"/>
                <w:color w:val="auto"/>
                <w:highlight w:val="none"/>
                <w:lang w:eastAsia="zh-CN"/>
              </w:rPr>
            </w:pPr>
            <w:r>
              <w:rPr>
                <w:color w:val="auto"/>
                <w:highlight w:val="none"/>
              </w:rPr>
              <w:t>项目废气污染源源强核算结果及相关参数一览表</w:t>
            </w:r>
            <w:r>
              <w:rPr>
                <w:rFonts w:hint="eastAsia"/>
                <w:color w:val="auto"/>
                <w:highlight w:val="none"/>
              </w:rPr>
              <w:t>见</w:t>
            </w:r>
            <w:r>
              <w:rPr>
                <w:rFonts w:hint="eastAsia"/>
                <w:color w:val="auto"/>
                <w:highlight w:val="none"/>
              </w:rPr>
              <w:fldChar w:fldCharType="begin"/>
            </w:r>
            <w:r>
              <w:rPr>
                <w:rFonts w:hint="eastAsia"/>
                <w:color w:val="auto"/>
                <w:highlight w:val="none"/>
              </w:rPr>
              <w:instrText xml:space="preserve"> REF _Ref20353 \h </w:instrText>
            </w:r>
            <w:r>
              <w:rPr>
                <w:rFonts w:hint="eastAsia"/>
                <w:color w:val="auto"/>
                <w:highlight w:val="none"/>
              </w:rPr>
              <w:fldChar w:fldCharType="separate"/>
            </w:r>
            <w:r>
              <w:rPr>
                <w:color w:val="auto"/>
                <w:highlight w:val="none"/>
              </w:rPr>
              <w:t>表4-4</w:t>
            </w:r>
            <w:r>
              <w:rPr>
                <w:rFonts w:hint="eastAsia"/>
                <w:color w:val="auto"/>
                <w:highlight w:val="none"/>
              </w:rPr>
              <w:fldChar w:fldCharType="end"/>
            </w:r>
            <w:r>
              <w:rPr>
                <w:rFonts w:hint="eastAsia"/>
                <w:color w:val="auto"/>
                <w:highlight w:val="none"/>
                <w:lang w:eastAsia="zh-CN"/>
              </w:rPr>
              <w:t>。</w:t>
            </w:r>
          </w:p>
          <w:p w14:paraId="1E7C5644">
            <w:pPr>
              <w:pStyle w:val="18"/>
              <w:rPr>
                <w:rFonts w:hint="eastAsia"/>
                <w:color w:val="auto"/>
                <w:highlight w:val="none"/>
                <w:lang w:eastAsia="zh-CN"/>
              </w:rPr>
            </w:pPr>
          </w:p>
          <w:p w14:paraId="4AB71BD3">
            <w:pPr>
              <w:pStyle w:val="18"/>
              <w:rPr>
                <w:rFonts w:hint="eastAsia"/>
                <w:color w:val="auto"/>
                <w:highlight w:val="none"/>
                <w:lang w:eastAsia="zh-CN"/>
              </w:rPr>
            </w:pPr>
          </w:p>
          <w:p w14:paraId="3303D0EB">
            <w:pPr>
              <w:pStyle w:val="18"/>
              <w:rPr>
                <w:rFonts w:hint="eastAsia"/>
                <w:color w:val="auto"/>
                <w:highlight w:val="none"/>
                <w:lang w:eastAsia="zh-CN"/>
              </w:rPr>
            </w:pPr>
          </w:p>
          <w:p w14:paraId="128127D9">
            <w:pPr>
              <w:pStyle w:val="18"/>
              <w:rPr>
                <w:rFonts w:hint="eastAsia"/>
                <w:color w:val="auto"/>
                <w:highlight w:val="none"/>
                <w:lang w:eastAsia="zh-CN"/>
              </w:rPr>
            </w:pPr>
          </w:p>
          <w:p w14:paraId="5F5CC07D">
            <w:pPr>
              <w:pStyle w:val="18"/>
              <w:rPr>
                <w:rFonts w:hint="eastAsia"/>
                <w:color w:val="auto"/>
                <w:highlight w:val="none"/>
                <w:lang w:eastAsia="zh-CN"/>
              </w:rPr>
            </w:pPr>
          </w:p>
          <w:p w14:paraId="5FA917A8">
            <w:pPr>
              <w:pStyle w:val="18"/>
              <w:rPr>
                <w:rFonts w:hint="eastAsia"/>
                <w:color w:val="auto"/>
                <w:highlight w:val="none"/>
                <w:lang w:eastAsia="zh-CN"/>
              </w:rPr>
            </w:pPr>
          </w:p>
          <w:p w14:paraId="58315C5D">
            <w:pPr>
              <w:pStyle w:val="18"/>
              <w:rPr>
                <w:rFonts w:hint="eastAsia"/>
                <w:color w:val="auto"/>
                <w:highlight w:val="none"/>
                <w:lang w:eastAsia="zh-CN"/>
              </w:rPr>
            </w:pPr>
          </w:p>
          <w:p w14:paraId="41A7F8BA">
            <w:pPr>
              <w:pStyle w:val="18"/>
              <w:rPr>
                <w:rFonts w:hint="eastAsia"/>
                <w:color w:val="auto"/>
                <w:highlight w:val="none"/>
                <w:lang w:eastAsia="zh-CN"/>
              </w:rPr>
            </w:pPr>
          </w:p>
          <w:p w14:paraId="70DC19D6">
            <w:pPr>
              <w:pStyle w:val="18"/>
              <w:bidi w:val="0"/>
              <w:rPr>
                <w:color w:val="auto"/>
                <w:highlight w:val="none"/>
              </w:rPr>
            </w:pPr>
          </w:p>
        </w:tc>
      </w:tr>
    </w:tbl>
    <w:p w14:paraId="4CA09DF7">
      <w:pPr>
        <w:rPr>
          <w:color w:val="auto"/>
          <w:highlight w:val="none"/>
        </w:rPr>
        <w:sectPr>
          <w:footerReference r:id="rId7" w:type="default"/>
          <w:pgSz w:w="11906" w:h="16838"/>
          <w:pgMar w:top="1440" w:right="1463" w:bottom="1440" w:left="1463" w:header="720" w:footer="720" w:gutter="0"/>
          <w:cols w:space="425" w:num="1"/>
          <w:docGrid w:type="lines" w:linePitch="312" w:charSpace="0"/>
        </w:sectPr>
      </w:pPr>
    </w:p>
    <w:tbl>
      <w:tblPr>
        <w:tblStyle w:val="13"/>
        <w:tblW w:w="50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33"/>
        <w:gridCol w:w="13432"/>
      </w:tblGrid>
      <w:tr w14:paraId="3C5DB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787" w:hRule="atLeast"/>
          <w:jc w:val="center"/>
        </w:trPr>
        <w:tc>
          <w:tcPr>
            <w:tcW w:w="225" w:type="pct"/>
            <w:tcMar>
              <w:left w:w="28" w:type="dxa"/>
              <w:right w:w="28" w:type="dxa"/>
            </w:tcMar>
            <w:vAlign w:val="center"/>
          </w:tcPr>
          <w:p w14:paraId="5E9DCDC5">
            <w:pPr>
              <w:pStyle w:val="24"/>
              <w:spacing w:before="93" w:after="93"/>
              <w:rPr>
                <w:rFonts w:cs="宋体"/>
                <w:b/>
                <w:bCs/>
                <w:color w:val="auto"/>
                <w:highlight w:val="none"/>
              </w:rPr>
            </w:pPr>
            <w:r>
              <w:rPr>
                <w:rFonts w:hint="eastAsia"/>
                <w:b/>
                <w:bCs/>
                <w:color w:val="auto"/>
                <w:highlight w:val="none"/>
              </w:rPr>
              <w:t>运营期环境影响和保护措施</w:t>
            </w:r>
          </w:p>
        </w:tc>
        <w:tc>
          <w:tcPr>
            <w:tcW w:w="4774" w:type="pct"/>
          </w:tcPr>
          <w:p w14:paraId="0DD1F7AD">
            <w:pPr>
              <w:pStyle w:val="19"/>
              <w:bidi w:val="0"/>
              <w:rPr>
                <w:color w:val="auto"/>
                <w:highlight w:val="none"/>
              </w:rPr>
            </w:pPr>
            <w:bookmarkStart w:id="33" w:name="_Ref20353"/>
            <w:bookmarkStart w:id="34" w:name="_Ref19826"/>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4</w:t>
            </w:r>
            <w:r>
              <w:rPr>
                <w:color w:val="auto"/>
                <w:highlight w:val="none"/>
              </w:rPr>
              <w:fldChar w:fldCharType="end"/>
            </w:r>
            <w:bookmarkEnd w:id="33"/>
            <w:r>
              <w:rPr>
                <w:rFonts w:hint="eastAsia"/>
                <w:color w:val="auto"/>
                <w:highlight w:val="none"/>
                <w:lang w:val="en-US" w:eastAsia="zh-CN"/>
              </w:rPr>
              <w:t>扩建后</w:t>
            </w:r>
            <w:r>
              <w:rPr>
                <w:rFonts w:hint="eastAsia"/>
                <w:color w:val="auto"/>
                <w:highlight w:val="none"/>
              </w:rPr>
              <w:t>项目废气污染源源强核算结果及相关参数一览表</w:t>
            </w:r>
            <w:bookmarkEnd w:id="34"/>
          </w:p>
          <w:tbl>
            <w:tblPr>
              <w:tblStyle w:val="14"/>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55"/>
              <w:gridCol w:w="1053"/>
              <w:gridCol w:w="1592"/>
              <w:gridCol w:w="660"/>
              <w:gridCol w:w="751"/>
              <w:gridCol w:w="743"/>
              <w:gridCol w:w="825"/>
              <w:gridCol w:w="761"/>
              <w:gridCol w:w="822"/>
              <w:gridCol w:w="620"/>
              <w:gridCol w:w="798"/>
              <w:gridCol w:w="990"/>
              <w:gridCol w:w="737"/>
              <w:gridCol w:w="673"/>
              <w:gridCol w:w="804"/>
              <w:gridCol w:w="611"/>
            </w:tblGrid>
            <w:tr w14:paraId="48EF1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54" w:hRule="atLeast"/>
              </w:trPr>
              <w:tc>
                <w:tcPr>
                  <w:tcW w:w="321" w:type="pct"/>
                  <w:vMerge w:val="restart"/>
                  <w:tcMar>
                    <w:top w:w="0" w:type="dxa"/>
                    <w:left w:w="57" w:type="dxa"/>
                    <w:bottom w:w="0" w:type="dxa"/>
                    <w:right w:w="57" w:type="dxa"/>
                  </w:tcMar>
                  <w:vAlign w:val="center"/>
                </w:tcPr>
                <w:p w14:paraId="43B84D28">
                  <w:pPr>
                    <w:pStyle w:val="20"/>
                    <w:keepNext w:val="0"/>
                    <w:keepLines w:val="0"/>
                    <w:pageBreakBefore w:val="0"/>
                    <w:widowControl/>
                    <w:kinsoku w:val="0"/>
                    <w:wordWrap w:val="0"/>
                    <w:overflowPunct/>
                    <w:topLinePunct w:val="0"/>
                    <w:autoSpaceDE/>
                    <w:autoSpaceDN/>
                    <w:bidi w:val="0"/>
                    <w:adjustRightInd/>
                    <w:snapToGrid/>
                    <w:textAlignment w:val="auto"/>
                    <w:rPr>
                      <w:rFonts w:hint="eastAsia" w:eastAsia="宋体"/>
                      <w:b/>
                      <w:bCs/>
                      <w:color w:val="auto"/>
                      <w:highlight w:val="none"/>
                      <w:lang w:val="en-US" w:eastAsia="zh-CN"/>
                    </w:rPr>
                  </w:pPr>
                  <w:r>
                    <w:rPr>
                      <w:rFonts w:hint="eastAsia"/>
                      <w:b/>
                      <w:bCs/>
                      <w:color w:val="auto"/>
                      <w:highlight w:val="none"/>
                    </w:rPr>
                    <w:t>排放口</w:t>
                  </w:r>
                </w:p>
              </w:tc>
              <w:tc>
                <w:tcPr>
                  <w:tcW w:w="396" w:type="pct"/>
                  <w:vMerge w:val="restart"/>
                  <w:tcMar>
                    <w:top w:w="0" w:type="dxa"/>
                    <w:left w:w="57" w:type="dxa"/>
                    <w:bottom w:w="0" w:type="dxa"/>
                    <w:right w:w="57" w:type="dxa"/>
                  </w:tcMar>
                  <w:vAlign w:val="center"/>
                </w:tcPr>
                <w:p w14:paraId="078B590A">
                  <w:pPr>
                    <w:pStyle w:val="20"/>
                    <w:keepNext w:val="0"/>
                    <w:keepLines w:val="0"/>
                    <w:pageBreakBefore w:val="0"/>
                    <w:widowControl/>
                    <w:kinsoku w:val="0"/>
                    <w:wordWrap w:val="0"/>
                    <w:overflowPunct/>
                    <w:topLinePunct w:val="0"/>
                    <w:autoSpaceDE/>
                    <w:autoSpaceDN/>
                    <w:bidi w:val="0"/>
                    <w:adjustRightInd/>
                    <w:snapToGrid/>
                    <w:textAlignment w:val="auto"/>
                    <w:rPr>
                      <w:rFonts w:hint="eastAsia" w:eastAsia="宋体"/>
                      <w:b/>
                      <w:bCs/>
                      <w:color w:val="auto"/>
                      <w:highlight w:val="none"/>
                      <w:lang w:val="en-US" w:eastAsia="zh-CN"/>
                    </w:rPr>
                  </w:pPr>
                  <w:r>
                    <w:rPr>
                      <w:rFonts w:hint="eastAsia"/>
                      <w:b/>
                      <w:bCs/>
                      <w:color w:val="auto"/>
                      <w:highlight w:val="none"/>
                      <w:lang w:val="en-US" w:eastAsia="zh-CN"/>
                    </w:rPr>
                    <w:t>污染源</w:t>
                  </w:r>
                </w:p>
              </w:tc>
              <w:tc>
                <w:tcPr>
                  <w:tcW w:w="598" w:type="pct"/>
                  <w:vMerge w:val="restart"/>
                  <w:tcMar>
                    <w:top w:w="0" w:type="dxa"/>
                    <w:left w:w="57" w:type="dxa"/>
                    <w:bottom w:w="0" w:type="dxa"/>
                    <w:right w:w="57" w:type="dxa"/>
                  </w:tcMar>
                  <w:vAlign w:val="center"/>
                </w:tcPr>
                <w:p w14:paraId="211A509A">
                  <w:pPr>
                    <w:pStyle w:val="20"/>
                    <w:keepNext w:val="0"/>
                    <w:keepLines w:val="0"/>
                    <w:pageBreakBefore w:val="0"/>
                    <w:widowControl/>
                    <w:kinsoku w:val="0"/>
                    <w:wordWrap w:val="0"/>
                    <w:overflowPunct/>
                    <w:topLinePunct w:val="0"/>
                    <w:autoSpaceDE/>
                    <w:autoSpaceDN/>
                    <w:bidi w:val="0"/>
                    <w:adjustRightInd/>
                    <w:snapToGrid/>
                    <w:textAlignment w:val="auto"/>
                    <w:rPr>
                      <w:b/>
                      <w:bCs/>
                      <w:color w:val="auto"/>
                      <w:highlight w:val="none"/>
                    </w:rPr>
                  </w:pPr>
                  <w:r>
                    <w:rPr>
                      <w:b/>
                      <w:bCs/>
                      <w:color w:val="auto"/>
                      <w:highlight w:val="none"/>
                    </w:rPr>
                    <w:t>污染物</w:t>
                  </w:r>
                </w:p>
              </w:tc>
              <w:tc>
                <w:tcPr>
                  <w:tcW w:w="248" w:type="pct"/>
                  <w:vMerge w:val="restart"/>
                  <w:tcMar>
                    <w:top w:w="0" w:type="dxa"/>
                    <w:left w:w="57" w:type="dxa"/>
                    <w:bottom w:w="0" w:type="dxa"/>
                    <w:right w:w="57" w:type="dxa"/>
                  </w:tcMar>
                  <w:vAlign w:val="center"/>
                </w:tcPr>
                <w:p w14:paraId="59E8829B">
                  <w:pPr>
                    <w:pStyle w:val="20"/>
                    <w:spacing w:before="31"/>
                    <w:rPr>
                      <w:b/>
                      <w:bCs/>
                      <w:color w:val="auto"/>
                      <w:highlight w:val="none"/>
                    </w:rPr>
                  </w:pPr>
                  <w:r>
                    <w:rPr>
                      <w:rFonts w:hint="eastAsia"/>
                      <w:b/>
                      <w:bCs/>
                      <w:color w:val="auto"/>
                      <w:highlight w:val="none"/>
                    </w:rPr>
                    <w:t>风量m</w:t>
                  </w:r>
                  <w:r>
                    <w:rPr>
                      <w:rFonts w:hint="eastAsia"/>
                      <w:b/>
                      <w:bCs/>
                      <w:color w:val="auto"/>
                      <w:highlight w:val="none"/>
                      <w:vertAlign w:val="superscript"/>
                    </w:rPr>
                    <w:t>3</w:t>
                  </w:r>
                  <w:r>
                    <w:rPr>
                      <w:rFonts w:hint="eastAsia"/>
                      <w:b/>
                      <w:bCs/>
                      <w:color w:val="auto"/>
                      <w:highlight w:val="none"/>
                    </w:rPr>
                    <w:t>/h</w:t>
                  </w:r>
                </w:p>
              </w:tc>
              <w:tc>
                <w:tcPr>
                  <w:tcW w:w="282" w:type="pct"/>
                  <w:vMerge w:val="restart"/>
                  <w:tcMar>
                    <w:top w:w="0" w:type="dxa"/>
                    <w:left w:w="57" w:type="dxa"/>
                    <w:bottom w:w="0" w:type="dxa"/>
                    <w:right w:w="57" w:type="dxa"/>
                  </w:tcMar>
                  <w:vAlign w:val="center"/>
                </w:tcPr>
                <w:p w14:paraId="76341E22">
                  <w:pPr>
                    <w:pStyle w:val="20"/>
                    <w:spacing w:before="31"/>
                    <w:rPr>
                      <w:b/>
                      <w:bCs/>
                      <w:color w:val="auto"/>
                      <w:highlight w:val="none"/>
                    </w:rPr>
                  </w:pPr>
                  <w:r>
                    <w:rPr>
                      <w:rFonts w:hint="eastAsia"/>
                      <w:b/>
                      <w:bCs/>
                      <w:color w:val="auto"/>
                      <w:highlight w:val="none"/>
                    </w:rPr>
                    <w:t>产生量t/a</w:t>
                  </w:r>
                </w:p>
              </w:tc>
              <w:tc>
                <w:tcPr>
                  <w:tcW w:w="279" w:type="pct"/>
                  <w:vMerge w:val="restart"/>
                  <w:tcMar>
                    <w:top w:w="0" w:type="dxa"/>
                    <w:left w:w="57" w:type="dxa"/>
                    <w:bottom w:w="0" w:type="dxa"/>
                    <w:right w:w="57" w:type="dxa"/>
                  </w:tcMar>
                  <w:vAlign w:val="center"/>
                </w:tcPr>
                <w:p w14:paraId="0D8F92FA">
                  <w:pPr>
                    <w:pStyle w:val="20"/>
                    <w:spacing w:before="31"/>
                    <w:rPr>
                      <w:b/>
                      <w:bCs/>
                      <w:color w:val="auto"/>
                      <w:highlight w:val="none"/>
                    </w:rPr>
                  </w:pPr>
                  <w:r>
                    <w:rPr>
                      <w:rFonts w:hint="eastAsia"/>
                      <w:b/>
                      <w:bCs/>
                      <w:color w:val="auto"/>
                      <w:highlight w:val="none"/>
                    </w:rPr>
                    <w:t>无组织t/a</w:t>
                  </w:r>
                </w:p>
              </w:tc>
              <w:tc>
                <w:tcPr>
                  <w:tcW w:w="905" w:type="pct"/>
                  <w:gridSpan w:val="3"/>
                  <w:tcMar>
                    <w:top w:w="0" w:type="dxa"/>
                    <w:left w:w="57" w:type="dxa"/>
                    <w:bottom w:w="0" w:type="dxa"/>
                    <w:right w:w="57" w:type="dxa"/>
                  </w:tcMar>
                  <w:vAlign w:val="center"/>
                </w:tcPr>
                <w:p w14:paraId="08492958">
                  <w:pPr>
                    <w:pStyle w:val="20"/>
                    <w:spacing w:before="31"/>
                    <w:rPr>
                      <w:b/>
                      <w:bCs/>
                      <w:color w:val="auto"/>
                      <w:highlight w:val="none"/>
                    </w:rPr>
                  </w:pPr>
                  <w:r>
                    <w:rPr>
                      <w:rFonts w:hint="eastAsia"/>
                      <w:b/>
                      <w:bCs/>
                      <w:color w:val="auto"/>
                      <w:highlight w:val="none"/>
                    </w:rPr>
                    <w:t>有组织产生情况</w:t>
                  </w:r>
                </w:p>
              </w:tc>
              <w:tc>
                <w:tcPr>
                  <w:tcW w:w="905" w:type="pct"/>
                  <w:gridSpan w:val="3"/>
                  <w:tcMar>
                    <w:top w:w="0" w:type="dxa"/>
                    <w:left w:w="57" w:type="dxa"/>
                    <w:bottom w:w="0" w:type="dxa"/>
                    <w:right w:w="57" w:type="dxa"/>
                  </w:tcMar>
                  <w:vAlign w:val="center"/>
                </w:tcPr>
                <w:p w14:paraId="2BF9A354">
                  <w:pPr>
                    <w:pStyle w:val="20"/>
                    <w:spacing w:before="31"/>
                    <w:rPr>
                      <w:b/>
                      <w:bCs/>
                      <w:color w:val="auto"/>
                      <w:highlight w:val="none"/>
                    </w:rPr>
                  </w:pPr>
                  <w:r>
                    <w:rPr>
                      <w:rFonts w:hint="eastAsia"/>
                      <w:b/>
                      <w:bCs/>
                      <w:color w:val="auto"/>
                      <w:highlight w:val="none"/>
                    </w:rPr>
                    <w:t>治理措施</w:t>
                  </w:r>
                </w:p>
              </w:tc>
              <w:tc>
                <w:tcPr>
                  <w:tcW w:w="832" w:type="pct"/>
                  <w:gridSpan w:val="3"/>
                  <w:tcMar>
                    <w:top w:w="0" w:type="dxa"/>
                    <w:left w:w="57" w:type="dxa"/>
                    <w:bottom w:w="0" w:type="dxa"/>
                    <w:right w:w="57" w:type="dxa"/>
                  </w:tcMar>
                  <w:vAlign w:val="center"/>
                </w:tcPr>
                <w:p w14:paraId="4E7D2A99">
                  <w:pPr>
                    <w:pStyle w:val="20"/>
                    <w:spacing w:before="31"/>
                    <w:rPr>
                      <w:b/>
                      <w:bCs/>
                      <w:color w:val="auto"/>
                      <w:highlight w:val="none"/>
                    </w:rPr>
                  </w:pPr>
                  <w:r>
                    <w:rPr>
                      <w:rFonts w:hint="eastAsia"/>
                      <w:b/>
                      <w:bCs/>
                      <w:color w:val="auto"/>
                      <w:highlight w:val="none"/>
                    </w:rPr>
                    <w:t>有组织排放情况</w:t>
                  </w:r>
                </w:p>
              </w:tc>
              <w:tc>
                <w:tcPr>
                  <w:tcW w:w="229" w:type="pct"/>
                  <w:vMerge w:val="restart"/>
                  <w:tcMar>
                    <w:top w:w="0" w:type="dxa"/>
                    <w:left w:w="57" w:type="dxa"/>
                    <w:bottom w:w="0" w:type="dxa"/>
                    <w:right w:w="57" w:type="dxa"/>
                  </w:tcMar>
                  <w:vAlign w:val="center"/>
                </w:tcPr>
                <w:p w14:paraId="10FCA114">
                  <w:pPr>
                    <w:pStyle w:val="20"/>
                    <w:spacing w:before="31"/>
                    <w:rPr>
                      <w:color w:val="auto"/>
                      <w:highlight w:val="none"/>
                    </w:rPr>
                  </w:pPr>
                  <w:r>
                    <w:rPr>
                      <w:rFonts w:hint="eastAsia"/>
                      <w:b/>
                      <w:bCs/>
                      <w:color w:val="auto"/>
                      <w:highlight w:val="none"/>
                    </w:rPr>
                    <w:t>排放时间h/a</w:t>
                  </w:r>
                </w:p>
              </w:tc>
            </w:tr>
            <w:tr w14:paraId="7EE24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54" w:hRule="atLeast"/>
              </w:trPr>
              <w:tc>
                <w:tcPr>
                  <w:tcW w:w="321" w:type="pct"/>
                  <w:vMerge w:val="continue"/>
                  <w:tcMar>
                    <w:top w:w="0" w:type="dxa"/>
                    <w:left w:w="57" w:type="dxa"/>
                    <w:bottom w:w="0" w:type="dxa"/>
                    <w:right w:w="57" w:type="dxa"/>
                  </w:tcMar>
                  <w:vAlign w:val="center"/>
                </w:tcPr>
                <w:p w14:paraId="05525AB2">
                  <w:pPr>
                    <w:pStyle w:val="20"/>
                    <w:spacing w:before="31"/>
                    <w:rPr>
                      <w:b/>
                      <w:bCs/>
                      <w:color w:val="auto"/>
                      <w:highlight w:val="none"/>
                    </w:rPr>
                  </w:pPr>
                </w:p>
              </w:tc>
              <w:tc>
                <w:tcPr>
                  <w:tcW w:w="396" w:type="pct"/>
                  <w:vMerge w:val="continue"/>
                  <w:tcMar>
                    <w:top w:w="0" w:type="dxa"/>
                    <w:left w:w="57" w:type="dxa"/>
                    <w:bottom w:w="0" w:type="dxa"/>
                    <w:right w:w="57" w:type="dxa"/>
                  </w:tcMar>
                  <w:vAlign w:val="center"/>
                </w:tcPr>
                <w:p w14:paraId="3658A25C">
                  <w:pPr>
                    <w:pStyle w:val="20"/>
                    <w:spacing w:before="31"/>
                    <w:rPr>
                      <w:b/>
                      <w:bCs/>
                      <w:color w:val="auto"/>
                      <w:highlight w:val="none"/>
                    </w:rPr>
                  </w:pPr>
                </w:p>
              </w:tc>
              <w:tc>
                <w:tcPr>
                  <w:tcW w:w="598" w:type="pct"/>
                  <w:vMerge w:val="continue"/>
                  <w:tcMar>
                    <w:top w:w="0" w:type="dxa"/>
                    <w:left w:w="57" w:type="dxa"/>
                    <w:bottom w:w="0" w:type="dxa"/>
                    <w:right w:w="57" w:type="dxa"/>
                  </w:tcMar>
                  <w:vAlign w:val="center"/>
                </w:tcPr>
                <w:p w14:paraId="3B0EDB22">
                  <w:pPr>
                    <w:pStyle w:val="20"/>
                    <w:spacing w:before="31"/>
                    <w:rPr>
                      <w:b/>
                      <w:bCs/>
                      <w:color w:val="auto"/>
                      <w:highlight w:val="none"/>
                    </w:rPr>
                  </w:pPr>
                </w:p>
              </w:tc>
              <w:tc>
                <w:tcPr>
                  <w:tcW w:w="248" w:type="pct"/>
                  <w:vMerge w:val="continue"/>
                  <w:tcMar>
                    <w:top w:w="0" w:type="dxa"/>
                    <w:left w:w="57" w:type="dxa"/>
                    <w:bottom w:w="0" w:type="dxa"/>
                    <w:right w:w="57" w:type="dxa"/>
                  </w:tcMar>
                  <w:vAlign w:val="center"/>
                </w:tcPr>
                <w:p w14:paraId="47E70BC4">
                  <w:pPr>
                    <w:pStyle w:val="20"/>
                    <w:spacing w:before="31"/>
                    <w:rPr>
                      <w:b/>
                      <w:bCs/>
                      <w:color w:val="auto"/>
                      <w:highlight w:val="none"/>
                    </w:rPr>
                  </w:pPr>
                </w:p>
              </w:tc>
              <w:tc>
                <w:tcPr>
                  <w:tcW w:w="282" w:type="pct"/>
                  <w:vMerge w:val="continue"/>
                  <w:tcMar>
                    <w:top w:w="0" w:type="dxa"/>
                    <w:left w:w="57" w:type="dxa"/>
                    <w:bottom w:w="0" w:type="dxa"/>
                    <w:right w:w="57" w:type="dxa"/>
                  </w:tcMar>
                  <w:vAlign w:val="center"/>
                </w:tcPr>
                <w:p w14:paraId="39040797">
                  <w:pPr>
                    <w:pStyle w:val="20"/>
                    <w:spacing w:before="31"/>
                    <w:rPr>
                      <w:b/>
                      <w:bCs/>
                      <w:color w:val="auto"/>
                      <w:highlight w:val="none"/>
                    </w:rPr>
                  </w:pPr>
                </w:p>
              </w:tc>
              <w:tc>
                <w:tcPr>
                  <w:tcW w:w="279" w:type="pct"/>
                  <w:vMerge w:val="continue"/>
                  <w:tcMar>
                    <w:top w:w="0" w:type="dxa"/>
                    <w:left w:w="57" w:type="dxa"/>
                    <w:bottom w:w="0" w:type="dxa"/>
                    <w:right w:w="57" w:type="dxa"/>
                  </w:tcMar>
                  <w:vAlign w:val="center"/>
                </w:tcPr>
                <w:p w14:paraId="06DA02E2">
                  <w:pPr>
                    <w:pStyle w:val="20"/>
                    <w:spacing w:before="31"/>
                    <w:rPr>
                      <w:b/>
                      <w:bCs/>
                      <w:color w:val="auto"/>
                      <w:highlight w:val="none"/>
                    </w:rPr>
                  </w:pPr>
                </w:p>
              </w:tc>
              <w:tc>
                <w:tcPr>
                  <w:tcW w:w="310" w:type="pct"/>
                  <w:tcMar>
                    <w:top w:w="0" w:type="dxa"/>
                    <w:left w:w="57" w:type="dxa"/>
                    <w:bottom w:w="0" w:type="dxa"/>
                    <w:right w:w="57" w:type="dxa"/>
                  </w:tcMar>
                  <w:vAlign w:val="center"/>
                </w:tcPr>
                <w:p w14:paraId="21FAFD0A">
                  <w:pPr>
                    <w:pStyle w:val="20"/>
                    <w:spacing w:before="31"/>
                    <w:rPr>
                      <w:b/>
                      <w:bCs/>
                      <w:color w:val="auto"/>
                      <w:highlight w:val="none"/>
                    </w:rPr>
                  </w:pPr>
                  <w:r>
                    <w:rPr>
                      <w:rFonts w:hint="eastAsia"/>
                      <w:b/>
                      <w:bCs/>
                      <w:color w:val="auto"/>
                      <w:highlight w:val="none"/>
                    </w:rPr>
                    <w:t>量t/a</w:t>
                  </w:r>
                </w:p>
              </w:tc>
              <w:tc>
                <w:tcPr>
                  <w:tcW w:w="286" w:type="pct"/>
                  <w:tcMar>
                    <w:top w:w="0" w:type="dxa"/>
                    <w:left w:w="57" w:type="dxa"/>
                    <w:bottom w:w="0" w:type="dxa"/>
                    <w:right w:w="57" w:type="dxa"/>
                  </w:tcMar>
                  <w:vAlign w:val="center"/>
                </w:tcPr>
                <w:p w14:paraId="1D43EA63">
                  <w:pPr>
                    <w:pStyle w:val="20"/>
                    <w:spacing w:before="31"/>
                    <w:rPr>
                      <w:b/>
                      <w:bCs/>
                      <w:color w:val="auto"/>
                      <w:highlight w:val="none"/>
                    </w:rPr>
                  </w:pPr>
                  <w:r>
                    <w:rPr>
                      <w:rFonts w:hint="eastAsia"/>
                      <w:b/>
                      <w:bCs/>
                      <w:color w:val="auto"/>
                      <w:highlight w:val="none"/>
                    </w:rPr>
                    <w:t>速率kg/h</w:t>
                  </w:r>
                </w:p>
              </w:tc>
              <w:tc>
                <w:tcPr>
                  <w:tcW w:w="309" w:type="pct"/>
                  <w:tcMar>
                    <w:top w:w="0" w:type="dxa"/>
                    <w:left w:w="57" w:type="dxa"/>
                    <w:bottom w:w="0" w:type="dxa"/>
                    <w:right w:w="57" w:type="dxa"/>
                  </w:tcMar>
                  <w:vAlign w:val="center"/>
                </w:tcPr>
                <w:p w14:paraId="6E403474">
                  <w:pPr>
                    <w:pStyle w:val="20"/>
                    <w:spacing w:before="31"/>
                    <w:rPr>
                      <w:b/>
                      <w:bCs/>
                      <w:color w:val="auto"/>
                      <w:highlight w:val="none"/>
                    </w:rPr>
                  </w:pPr>
                  <w:r>
                    <w:rPr>
                      <w:rFonts w:hint="eastAsia"/>
                      <w:b/>
                      <w:bCs/>
                      <w:color w:val="auto"/>
                      <w:highlight w:val="none"/>
                    </w:rPr>
                    <w:t>浓度mg/m</w:t>
                  </w:r>
                  <w:r>
                    <w:rPr>
                      <w:rFonts w:hint="eastAsia"/>
                      <w:b/>
                      <w:bCs/>
                      <w:color w:val="auto"/>
                      <w:highlight w:val="none"/>
                      <w:vertAlign w:val="superscript"/>
                    </w:rPr>
                    <w:t>3</w:t>
                  </w:r>
                </w:p>
              </w:tc>
              <w:tc>
                <w:tcPr>
                  <w:tcW w:w="233" w:type="pct"/>
                  <w:tcMar>
                    <w:top w:w="0" w:type="dxa"/>
                    <w:left w:w="57" w:type="dxa"/>
                    <w:bottom w:w="0" w:type="dxa"/>
                    <w:right w:w="57" w:type="dxa"/>
                  </w:tcMar>
                  <w:vAlign w:val="center"/>
                </w:tcPr>
                <w:p w14:paraId="045B91B8">
                  <w:pPr>
                    <w:pStyle w:val="20"/>
                    <w:spacing w:before="31"/>
                    <w:rPr>
                      <w:b/>
                      <w:bCs/>
                      <w:color w:val="auto"/>
                      <w:highlight w:val="none"/>
                    </w:rPr>
                  </w:pPr>
                  <w:r>
                    <w:rPr>
                      <w:rFonts w:hint="eastAsia"/>
                      <w:b/>
                      <w:bCs/>
                      <w:color w:val="auto"/>
                      <w:highlight w:val="none"/>
                    </w:rPr>
                    <w:t>治理工艺</w:t>
                  </w:r>
                </w:p>
              </w:tc>
              <w:tc>
                <w:tcPr>
                  <w:tcW w:w="300" w:type="pct"/>
                  <w:tcMar>
                    <w:top w:w="0" w:type="dxa"/>
                    <w:left w:w="57" w:type="dxa"/>
                    <w:bottom w:w="0" w:type="dxa"/>
                    <w:right w:w="57" w:type="dxa"/>
                  </w:tcMar>
                  <w:vAlign w:val="center"/>
                </w:tcPr>
                <w:p w14:paraId="04440968">
                  <w:pPr>
                    <w:pStyle w:val="20"/>
                    <w:spacing w:before="31"/>
                    <w:rPr>
                      <w:b/>
                      <w:bCs/>
                      <w:color w:val="auto"/>
                      <w:highlight w:val="none"/>
                    </w:rPr>
                  </w:pPr>
                  <w:r>
                    <w:rPr>
                      <w:rFonts w:hint="eastAsia"/>
                      <w:b/>
                      <w:bCs/>
                      <w:color w:val="auto"/>
                      <w:highlight w:val="none"/>
                    </w:rPr>
                    <w:t>处理效率%</w:t>
                  </w:r>
                </w:p>
              </w:tc>
              <w:tc>
                <w:tcPr>
                  <w:tcW w:w="372" w:type="pct"/>
                  <w:tcMar>
                    <w:top w:w="0" w:type="dxa"/>
                    <w:left w:w="57" w:type="dxa"/>
                    <w:bottom w:w="0" w:type="dxa"/>
                    <w:right w:w="57" w:type="dxa"/>
                  </w:tcMar>
                  <w:vAlign w:val="center"/>
                </w:tcPr>
                <w:p w14:paraId="64C41606">
                  <w:pPr>
                    <w:pStyle w:val="20"/>
                    <w:spacing w:before="31"/>
                    <w:rPr>
                      <w:b/>
                      <w:bCs/>
                      <w:color w:val="auto"/>
                      <w:highlight w:val="none"/>
                    </w:rPr>
                  </w:pPr>
                  <w:r>
                    <w:rPr>
                      <w:rFonts w:hint="eastAsia"/>
                      <w:b/>
                      <w:bCs/>
                      <w:color w:val="auto"/>
                      <w:highlight w:val="none"/>
                    </w:rPr>
                    <w:t>是否为可行技术</w:t>
                  </w:r>
                </w:p>
              </w:tc>
              <w:tc>
                <w:tcPr>
                  <w:tcW w:w="277" w:type="pct"/>
                  <w:tcMar>
                    <w:top w:w="0" w:type="dxa"/>
                    <w:left w:w="57" w:type="dxa"/>
                    <w:bottom w:w="0" w:type="dxa"/>
                    <w:right w:w="57" w:type="dxa"/>
                  </w:tcMar>
                  <w:vAlign w:val="center"/>
                </w:tcPr>
                <w:p w14:paraId="128B98C1">
                  <w:pPr>
                    <w:pStyle w:val="20"/>
                    <w:spacing w:before="31"/>
                    <w:rPr>
                      <w:b/>
                      <w:bCs/>
                      <w:color w:val="auto"/>
                      <w:highlight w:val="none"/>
                    </w:rPr>
                  </w:pPr>
                  <w:r>
                    <w:rPr>
                      <w:rFonts w:hint="eastAsia"/>
                      <w:b/>
                      <w:bCs/>
                      <w:color w:val="auto"/>
                      <w:highlight w:val="none"/>
                    </w:rPr>
                    <w:t>量t/a</w:t>
                  </w:r>
                </w:p>
              </w:tc>
              <w:tc>
                <w:tcPr>
                  <w:tcW w:w="253" w:type="pct"/>
                  <w:tcMar>
                    <w:top w:w="0" w:type="dxa"/>
                    <w:left w:w="57" w:type="dxa"/>
                    <w:bottom w:w="0" w:type="dxa"/>
                    <w:right w:w="57" w:type="dxa"/>
                  </w:tcMar>
                  <w:vAlign w:val="center"/>
                </w:tcPr>
                <w:p w14:paraId="2803344E">
                  <w:pPr>
                    <w:pStyle w:val="20"/>
                    <w:spacing w:before="31"/>
                    <w:rPr>
                      <w:b/>
                      <w:bCs/>
                      <w:color w:val="auto"/>
                      <w:highlight w:val="none"/>
                    </w:rPr>
                  </w:pPr>
                  <w:r>
                    <w:rPr>
                      <w:rFonts w:hint="eastAsia"/>
                      <w:b/>
                      <w:bCs/>
                      <w:color w:val="auto"/>
                      <w:highlight w:val="none"/>
                    </w:rPr>
                    <w:t>速率kg/h</w:t>
                  </w:r>
                </w:p>
              </w:tc>
              <w:tc>
                <w:tcPr>
                  <w:tcW w:w="302" w:type="pct"/>
                  <w:tcMar>
                    <w:top w:w="0" w:type="dxa"/>
                    <w:left w:w="57" w:type="dxa"/>
                    <w:bottom w:w="0" w:type="dxa"/>
                    <w:right w:w="57" w:type="dxa"/>
                  </w:tcMar>
                  <w:vAlign w:val="center"/>
                </w:tcPr>
                <w:p w14:paraId="7C17FC9F">
                  <w:pPr>
                    <w:pStyle w:val="20"/>
                    <w:spacing w:before="31"/>
                    <w:rPr>
                      <w:b/>
                      <w:bCs/>
                      <w:color w:val="auto"/>
                      <w:highlight w:val="none"/>
                    </w:rPr>
                  </w:pPr>
                  <w:r>
                    <w:rPr>
                      <w:rFonts w:hint="eastAsia"/>
                      <w:b/>
                      <w:bCs/>
                      <w:color w:val="auto"/>
                      <w:highlight w:val="none"/>
                    </w:rPr>
                    <w:t>浓度mg/m</w:t>
                  </w:r>
                  <w:r>
                    <w:rPr>
                      <w:rFonts w:hint="eastAsia"/>
                      <w:b/>
                      <w:bCs/>
                      <w:color w:val="auto"/>
                      <w:highlight w:val="none"/>
                      <w:vertAlign w:val="superscript"/>
                    </w:rPr>
                    <w:t>3</w:t>
                  </w:r>
                </w:p>
              </w:tc>
              <w:tc>
                <w:tcPr>
                  <w:tcW w:w="229" w:type="pct"/>
                  <w:vMerge w:val="continue"/>
                  <w:tcMar>
                    <w:top w:w="0" w:type="dxa"/>
                    <w:left w:w="57" w:type="dxa"/>
                    <w:bottom w:w="0" w:type="dxa"/>
                    <w:right w:w="57" w:type="dxa"/>
                  </w:tcMar>
                  <w:vAlign w:val="center"/>
                </w:tcPr>
                <w:p w14:paraId="78A617AD">
                  <w:pPr>
                    <w:pStyle w:val="20"/>
                    <w:spacing w:before="31"/>
                    <w:rPr>
                      <w:color w:val="auto"/>
                      <w:highlight w:val="none"/>
                    </w:rPr>
                  </w:pPr>
                </w:p>
              </w:tc>
            </w:tr>
            <w:tr w14:paraId="53AE4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54" w:hRule="atLeast"/>
              </w:trPr>
              <w:tc>
                <w:tcPr>
                  <w:tcW w:w="321" w:type="pct"/>
                  <w:vMerge w:val="restart"/>
                  <w:tcMar>
                    <w:top w:w="0" w:type="dxa"/>
                    <w:left w:w="57" w:type="dxa"/>
                    <w:bottom w:w="0" w:type="dxa"/>
                    <w:right w:w="57" w:type="dxa"/>
                  </w:tcMar>
                  <w:vAlign w:val="center"/>
                </w:tcPr>
                <w:p w14:paraId="0213951E">
                  <w:pPr>
                    <w:pStyle w:val="20"/>
                    <w:bidi w:val="0"/>
                    <w:rPr>
                      <w:rFonts w:hint="eastAsia"/>
                      <w:color w:val="auto"/>
                      <w:highlight w:val="none"/>
                      <w:lang w:val="en-US" w:eastAsia="zh-CN"/>
                    </w:rPr>
                  </w:pPr>
                  <w:r>
                    <w:rPr>
                      <w:rFonts w:hint="eastAsia"/>
                      <w:color w:val="auto"/>
                      <w:highlight w:val="none"/>
                    </w:rPr>
                    <w:t>DA001</w:t>
                  </w:r>
                </w:p>
              </w:tc>
              <w:tc>
                <w:tcPr>
                  <w:tcW w:w="396" w:type="pct"/>
                  <w:vMerge w:val="restart"/>
                  <w:tcMar>
                    <w:top w:w="0" w:type="dxa"/>
                    <w:left w:w="57" w:type="dxa"/>
                    <w:bottom w:w="0" w:type="dxa"/>
                    <w:right w:w="57" w:type="dxa"/>
                  </w:tcMar>
                  <w:vAlign w:val="center"/>
                </w:tcPr>
                <w:p w14:paraId="37CFD70F">
                  <w:pPr>
                    <w:pStyle w:val="20"/>
                    <w:bidi w:val="0"/>
                    <w:rPr>
                      <w:rFonts w:hint="default"/>
                      <w:color w:val="auto"/>
                      <w:highlight w:val="none"/>
                      <w:lang w:val="en-US" w:eastAsia="zh-CN"/>
                    </w:rPr>
                  </w:pPr>
                  <w:r>
                    <w:rPr>
                      <w:rFonts w:hint="eastAsia"/>
                      <w:color w:val="auto"/>
                      <w:highlight w:val="none"/>
                      <w:lang w:val="en-US" w:eastAsia="zh-CN"/>
                    </w:rPr>
                    <w:t>注塑废气+脱模、清洗剂废气</w:t>
                  </w:r>
                </w:p>
              </w:tc>
              <w:tc>
                <w:tcPr>
                  <w:tcW w:w="598" w:type="pct"/>
                  <w:tcMar>
                    <w:top w:w="0" w:type="dxa"/>
                    <w:left w:w="57" w:type="dxa"/>
                    <w:bottom w:w="0" w:type="dxa"/>
                    <w:right w:w="57" w:type="dxa"/>
                  </w:tcMar>
                  <w:vAlign w:val="center"/>
                </w:tcPr>
                <w:p w14:paraId="7A00ABD1">
                  <w:pPr>
                    <w:pStyle w:val="20"/>
                    <w:bidi w:val="0"/>
                    <w:rPr>
                      <w:color w:val="auto"/>
                      <w:highlight w:val="none"/>
                      <w:lang w:val="en-US" w:eastAsia="zh-CN"/>
                    </w:rPr>
                  </w:pPr>
                  <w:r>
                    <w:rPr>
                      <w:rFonts w:hint="eastAsia"/>
                      <w:color w:val="auto"/>
                      <w:highlight w:val="none"/>
                      <w:lang w:val="en-US" w:eastAsia="zh-CN"/>
                    </w:rPr>
                    <w:t>非甲烷总烃</w:t>
                  </w:r>
                </w:p>
              </w:tc>
              <w:tc>
                <w:tcPr>
                  <w:tcW w:w="248" w:type="pct"/>
                  <w:vMerge w:val="restart"/>
                  <w:tcMar>
                    <w:top w:w="0" w:type="dxa"/>
                    <w:left w:w="57" w:type="dxa"/>
                    <w:bottom w:w="0" w:type="dxa"/>
                    <w:right w:w="57" w:type="dxa"/>
                  </w:tcMar>
                  <w:vAlign w:val="center"/>
                </w:tcPr>
                <w:p w14:paraId="550ABF72">
                  <w:pPr>
                    <w:pStyle w:val="20"/>
                    <w:bidi w:val="0"/>
                    <w:rPr>
                      <w:rFonts w:hint="eastAsia"/>
                      <w:color w:val="auto"/>
                      <w:highlight w:val="none"/>
                      <w:lang w:val="en-US" w:eastAsia="zh-CN"/>
                    </w:rPr>
                  </w:pPr>
                  <w:r>
                    <w:rPr>
                      <w:rFonts w:hint="eastAsia"/>
                      <w:color w:val="auto"/>
                      <w:highlight w:val="none"/>
                      <w:lang w:val="en-US" w:eastAsia="zh-CN"/>
                    </w:rPr>
                    <w:t>20000</w:t>
                  </w:r>
                </w:p>
              </w:tc>
              <w:tc>
                <w:tcPr>
                  <w:tcW w:w="282" w:type="pct"/>
                  <w:shd w:val="clear" w:color="auto" w:fill="auto"/>
                  <w:tcMar>
                    <w:top w:w="0" w:type="dxa"/>
                    <w:left w:w="57" w:type="dxa"/>
                    <w:bottom w:w="0" w:type="dxa"/>
                    <w:right w:w="57" w:type="dxa"/>
                  </w:tcMar>
                  <w:vAlign w:val="center"/>
                </w:tcPr>
                <w:p w14:paraId="0B75B1C7">
                  <w:pPr>
                    <w:pStyle w:val="20"/>
                    <w:bidi w:val="0"/>
                    <w:rPr>
                      <w:rFonts w:hint="eastAsia"/>
                      <w:color w:val="auto"/>
                      <w:highlight w:val="none"/>
                      <w:lang w:val="en-US" w:eastAsia="zh-CN"/>
                    </w:rPr>
                  </w:pPr>
                  <w:r>
                    <w:rPr>
                      <w:rFonts w:hint="eastAsia"/>
                      <w:color w:val="auto"/>
                      <w:highlight w:val="none"/>
                      <w:lang w:val="en-US" w:eastAsia="zh-CN"/>
                    </w:rPr>
                    <w:t>2.017</w:t>
                  </w:r>
                </w:p>
              </w:tc>
              <w:tc>
                <w:tcPr>
                  <w:tcW w:w="279" w:type="pct"/>
                  <w:shd w:val="clear" w:color="auto" w:fill="auto"/>
                  <w:tcMar>
                    <w:top w:w="0" w:type="dxa"/>
                    <w:left w:w="57" w:type="dxa"/>
                    <w:bottom w:w="0" w:type="dxa"/>
                    <w:right w:w="57" w:type="dxa"/>
                  </w:tcMar>
                  <w:vAlign w:val="center"/>
                </w:tcPr>
                <w:p w14:paraId="68F1D4BD">
                  <w:pPr>
                    <w:pStyle w:val="20"/>
                    <w:bidi w:val="0"/>
                    <w:rPr>
                      <w:rFonts w:hint="eastAsia"/>
                      <w:color w:val="auto"/>
                      <w:highlight w:val="none"/>
                      <w:lang w:val="en-US" w:eastAsia="zh-CN"/>
                    </w:rPr>
                  </w:pPr>
                  <w:r>
                    <w:rPr>
                      <w:rFonts w:hint="eastAsia"/>
                      <w:color w:val="auto"/>
                      <w:highlight w:val="none"/>
                      <w:lang w:val="en-US" w:eastAsia="zh-CN"/>
                    </w:rPr>
                    <w:t>0.4034</w:t>
                  </w:r>
                </w:p>
              </w:tc>
              <w:tc>
                <w:tcPr>
                  <w:tcW w:w="310" w:type="pct"/>
                  <w:tcMar>
                    <w:top w:w="0" w:type="dxa"/>
                    <w:left w:w="57" w:type="dxa"/>
                    <w:bottom w:w="0" w:type="dxa"/>
                    <w:right w:w="57" w:type="dxa"/>
                  </w:tcMar>
                  <w:vAlign w:val="center"/>
                </w:tcPr>
                <w:p w14:paraId="2AA1DEA7">
                  <w:pPr>
                    <w:pStyle w:val="20"/>
                    <w:bidi w:val="0"/>
                    <w:rPr>
                      <w:color w:val="auto"/>
                      <w:highlight w:val="none"/>
                    </w:rPr>
                  </w:pPr>
                  <w:r>
                    <w:rPr>
                      <w:rFonts w:hint="eastAsia"/>
                      <w:color w:val="auto"/>
                      <w:highlight w:val="none"/>
                      <w:lang w:val="en-US" w:eastAsia="zh-CN"/>
                    </w:rPr>
                    <w:t>1.6136</w:t>
                  </w:r>
                </w:p>
              </w:tc>
              <w:tc>
                <w:tcPr>
                  <w:tcW w:w="286" w:type="pct"/>
                  <w:tcMar>
                    <w:top w:w="0" w:type="dxa"/>
                    <w:left w:w="57" w:type="dxa"/>
                    <w:bottom w:w="0" w:type="dxa"/>
                    <w:right w:w="57" w:type="dxa"/>
                  </w:tcMar>
                  <w:vAlign w:val="center"/>
                </w:tcPr>
                <w:p w14:paraId="47D58EBD">
                  <w:pPr>
                    <w:pStyle w:val="20"/>
                    <w:bidi w:val="0"/>
                    <w:rPr>
                      <w:color w:val="auto"/>
                      <w:highlight w:val="none"/>
                    </w:rPr>
                  </w:pPr>
                  <w:r>
                    <w:rPr>
                      <w:rFonts w:hint="eastAsia"/>
                      <w:color w:val="auto"/>
                      <w:highlight w:val="none"/>
                      <w:lang w:val="en-US" w:eastAsia="zh-CN"/>
                    </w:rPr>
                    <w:t>0.224</w:t>
                  </w:r>
                </w:p>
              </w:tc>
              <w:tc>
                <w:tcPr>
                  <w:tcW w:w="309" w:type="pct"/>
                  <w:tcMar>
                    <w:top w:w="0" w:type="dxa"/>
                    <w:left w:w="57" w:type="dxa"/>
                    <w:bottom w:w="0" w:type="dxa"/>
                    <w:right w:w="57" w:type="dxa"/>
                  </w:tcMar>
                  <w:vAlign w:val="center"/>
                </w:tcPr>
                <w:p w14:paraId="5372CF76">
                  <w:pPr>
                    <w:pStyle w:val="20"/>
                    <w:bidi w:val="0"/>
                    <w:rPr>
                      <w:color w:val="auto"/>
                      <w:highlight w:val="none"/>
                    </w:rPr>
                  </w:pPr>
                  <w:r>
                    <w:rPr>
                      <w:rFonts w:hint="eastAsia"/>
                      <w:color w:val="auto"/>
                      <w:highlight w:val="none"/>
                      <w:lang w:val="en-US" w:eastAsia="zh-CN"/>
                    </w:rPr>
                    <w:t>11.206</w:t>
                  </w:r>
                </w:p>
              </w:tc>
              <w:tc>
                <w:tcPr>
                  <w:tcW w:w="233" w:type="pct"/>
                  <w:vMerge w:val="restart"/>
                  <w:tcMar>
                    <w:top w:w="0" w:type="dxa"/>
                    <w:left w:w="57" w:type="dxa"/>
                    <w:bottom w:w="0" w:type="dxa"/>
                    <w:right w:w="57" w:type="dxa"/>
                  </w:tcMar>
                  <w:vAlign w:val="center"/>
                </w:tcPr>
                <w:p w14:paraId="0C6D9240">
                  <w:pPr>
                    <w:pStyle w:val="20"/>
                    <w:bidi w:val="0"/>
                    <w:rPr>
                      <w:rFonts w:hint="eastAsia" w:eastAsia="宋体"/>
                      <w:color w:val="auto"/>
                      <w:highlight w:val="none"/>
                      <w:lang w:val="en-US" w:eastAsia="zh-CN"/>
                    </w:rPr>
                  </w:pPr>
                  <w:r>
                    <w:rPr>
                      <w:rFonts w:hint="eastAsia"/>
                      <w:color w:val="auto"/>
                      <w:highlight w:val="none"/>
                      <w:lang w:eastAsia="zh-CN"/>
                    </w:rPr>
                    <w:t>过滤棉+UV光氧化+两级活性炭</w:t>
                  </w:r>
                </w:p>
              </w:tc>
              <w:tc>
                <w:tcPr>
                  <w:tcW w:w="300" w:type="pct"/>
                  <w:vMerge w:val="restart"/>
                  <w:tcMar>
                    <w:top w:w="0" w:type="dxa"/>
                    <w:left w:w="57" w:type="dxa"/>
                    <w:bottom w:w="0" w:type="dxa"/>
                    <w:right w:w="57" w:type="dxa"/>
                  </w:tcMar>
                  <w:vAlign w:val="center"/>
                </w:tcPr>
                <w:p w14:paraId="63282EA6">
                  <w:pPr>
                    <w:pStyle w:val="20"/>
                    <w:bidi w:val="0"/>
                    <w:rPr>
                      <w:rFonts w:hint="default"/>
                      <w:color w:val="auto"/>
                      <w:highlight w:val="none"/>
                      <w:lang w:val="en-US" w:eastAsia="zh-CN"/>
                    </w:rPr>
                  </w:pPr>
                  <w:r>
                    <w:rPr>
                      <w:rFonts w:hint="eastAsia"/>
                      <w:color w:val="auto"/>
                      <w:highlight w:val="none"/>
                      <w:lang w:val="en-US" w:eastAsia="zh-CN"/>
                    </w:rPr>
                    <w:t>60</w:t>
                  </w:r>
                </w:p>
              </w:tc>
              <w:tc>
                <w:tcPr>
                  <w:tcW w:w="372" w:type="pct"/>
                  <w:vMerge w:val="restart"/>
                  <w:tcMar>
                    <w:top w:w="0" w:type="dxa"/>
                    <w:left w:w="57" w:type="dxa"/>
                    <w:bottom w:w="0" w:type="dxa"/>
                    <w:right w:w="57" w:type="dxa"/>
                  </w:tcMar>
                  <w:vAlign w:val="center"/>
                </w:tcPr>
                <w:p w14:paraId="56060D42">
                  <w:pPr>
                    <w:pStyle w:val="20"/>
                    <w:bidi w:val="0"/>
                    <w:rPr>
                      <w:color w:val="auto"/>
                      <w:highlight w:val="none"/>
                    </w:rPr>
                  </w:pPr>
                  <w:r>
                    <w:rPr>
                      <w:rFonts w:hint="eastAsia"/>
                      <w:color w:val="auto"/>
                      <w:highlight w:val="none"/>
                    </w:rPr>
                    <w:t>是</w:t>
                  </w:r>
                </w:p>
              </w:tc>
              <w:tc>
                <w:tcPr>
                  <w:tcW w:w="277" w:type="pct"/>
                  <w:tcMar>
                    <w:top w:w="0" w:type="dxa"/>
                    <w:left w:w="57" w:type="dxa"/>
                    <w:bottom w:w="0" w:type="dxa"/>
                    <w:right w:w="57" w:type="dxa"/>
                  </w:tcMar>
                  <w:vAlign w:val="center"/>
                </w:tcPr>
                <w:p w14:paraId="097C8987">
                  <w:pPr>
                    <w:pStyle w:val="20"/>
                    <w:bidi w:val="0"/>
                    <w:rPr>
                      <w:color w:val="auto"/>
                      <w:highlight w:val="none"/>
                    </w:rPr>
                  </w:pPr>
                  <w:r>
                    <w:rPr>
                      <w:rFonts w:hint="eastAsia"/>
                      <w:color w:val="auto"/>
                      <w:highlight w:val="none"/>
                      <w:lang w:val="en-US" w:eastAsia="zh-CN"/>
                    </w:rPr>
                    <w:t>0.6454</w:t>
                  </w:r>
                </w:p>
              </w:tc>
              <w:tc>
                <w:tcPr>
                  <w:tcW w:w="253" w:type="pct"/>
                  <w:tcMar>
                    <w:top w:w="0" w:type="dxa"/>
                    <w:left w:w="57" w:type="dxa"/>
                    <w:bottom w:w="0" w:type="dxa"/>
                    <w:right w:w="57" w:type="dxa"/>
                  </w:tcMar>
                  <w:vAlign w:val="center"/>
                </w:tcPr>
                <w:p w14:paraId="74260399">
                  <w:pPr>
                    <w:pStyle w:val="20"/>
                    <w:bidi w:val="0"/>
                    <w:rPr>
                      <w:color w:val="auto"/>
                      <w:highlight w:val="none"/>
                    </w:rPr>
                  </w:pPr>
                  <w:r>
                    <w:rPr>
                      <w:rFonts w:hint="eastAsia"/>
                      <w:color w:val="auto"/>
                      <w:highlight w:val="none"/>
                      <w:lang w:val="en-US" w:eastAsia="zh-CN"/>
                    </w:rPr>
                    <w:t>0.090</w:t>
                  </w:r>
                </w:p>
              </w:tc>
              <w:tc>
                <w:tcPr>
                  <w:tcW w:w="302" w:type="pct"/>
                  <w:tcMar>
                    <w:top w:w="0" w:type="dxa"/>
                    <w:left w:w="57" w:type="dxa"/>
                    <w:bottom w:w="0" w:type="dxa"/>
                    <w:right w:w="57" w:type="dxa"/>
                  </w:tcMar>
                  <w:vAlign w:val="center"/>
                </w:tcPr>
                <w:p w14:paraId="1E611B17">
                  <w:pPr>
                    <w:pStyle w:val="20"/>
                    <w:bidi w:val="0"/>
                    <w:rPr>
                      <w:color w:val="auto"/>
                      <w:highlight w:val="none"/>
                    </w:rPr>
                  </w:pPr>
                  <w:r>
                    <w:rPr>
                      <w:rFonts w:hint="eastAsia"/>
                      <w:color w:val="auto"/>
                      <w:highlight w:val="none"/>
                      <w:lang w:val="en-US" w:eastAsia="zh-CN"/>
                    </w:rPr>
                    <w:t>4.482</w:t>
                  </w:r>
                </w:p>
              </w:tc>
              <w:tc>
                <w:tcPr>
                  <w:tcW w:w="229" w:type="pct"/>
                  <w:vMerge w:val="restart"/>
                  <w:tcMar>
                    <w:top w:w="0" w:type="dxa"/>
                    <w:left w:w="57" w:type="dxa"/>
                    <w:bottom w:w="0" w:type="dxa"/>
                    <w:right w:w="57" w:type="dxa"/>
                  </w:tcMar>
                  <w:vAlign w:val="center"/>
                </w:tcPr>
                <w:p w14:paraId="23E65574">
                  <w:pPr>
                    <w:pStyle w:val="20"/>
                    <w:bidi w:val="0"/>
                    <w:rPr>
                      <w:rFonts w:hint="default"/>
                      <w:color w:val="auto"/>
                      <w:highlight w:val="none"/>
                      <w:lang w:val="en-US"/>
                    </w:rPr>
                  </w:pPr>
                  <w:r>
                    <w:rPr>
                      <w:rFonts w:hint="eastAsia"/>
                      <w:color w:val="auto"/>
                      <w:highlight w:val="none"/>
                      <w:lang w:val="en-US" w:eastAsia="zh-CN"/>
                    </w:rPr>
                    <w:t>7200</w:t>
                  </w:r>
                </w:p>
              </w:tc>
            </w:tr>
            <w:tr w14:paraId="4253A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54" w:hRule="atLeast"/>
              </w:trPr>
              <w:tc>
                <w:tcPr>
                  <w:tcW w:w="321" w:type="pct"/>
                  <w:vMerge w:val="continue"/>
                  <w:tcMar>
                    <w:top w:w="0" w:type="dxa"/>
                    <w:left w:w="57" w:type="dxa"/>
                    <w:bottom w:w="0" w:type="dxa"/>
                    <w:right w:w="57" w:type="dxa"/>
                  </w:tcMar>
                  <w:vAlign w:val="center"/>
                </w:tcPr>
                <w:p w14:paraId="40406A0E">
                  <w:pPr>
                    <w:pStyle w:val="20"/>
                    <w:bidi w:val="0"/>
                    <w:rPr>
                      <w:rFonts w:hint="eastAsia"/>
                      <w:color w:val="auto"/>
                      <w:highlight w:val="none"/>
                    </w:rPr>
                  </w:pPr>
                </w:p>
              </w:tc>
              <w:tc>
                <w:tcPr>
                  <w:tcW w:w="396" w:type="pct"/>
                  <w:vMerge w:val="continue"/>
                  <w:tcMar>
                    <w:top w:w="0" w:type="dxa"/>
                    <w:left w:w="57" w:type="dxa"/>
                    <w:bottom w:w="0" w:type="dxa"/>
                    <w:right w:w="57" w:type="dxa"/>
                  </w:tcMar>
                  <w:vAlign w:val="center"/>
                </w:tcPr>
                <w:p w14:paraId="1E722C17">
                  <w:pPr>
                    <w:pStyle w:val="20"/>
                    <w:bidi w:val="0"/>
                    <w:rPr>
                      <w:rFonts w:hint="eastAsia"/>
                      <w:color w:val="auto"/>
                      <w:highlight w:val="none"/>
                      <w:lang w:val="en-US" w:eastAsia="zh-CN"/>
                    </w:rPr>
                  </w:pPr>
                </w:p>
              </w:tc>
              <w:tc>
                <w:tcPr>
                  <w:tcW w:w="598" w:type="pct"/>
                  <w:tcMar>
                    <w:top w:w="0" w:type="dxa"/>
                    <w:left w:w="57" w:type="dxa"/>
                    <w:bottom w:w="0" w:type="dxa"/>
                    <w:right w:w="57" w:type="dxa"/>
                  </w:tcMar>
                  <w:vAlign w:val="center"/>
                </w:tcPr>
                <w:p w14:paraId="7ED79051">
                  <w:pPr>
                    <w:pStyle w:val="20"/>
                    <w:bidi w:val="0"/>
                    <w:rPr>
                      <w:rFonts w:hint="eastAsia"/>
                      <w:color w:val="auto"/>
                      <w:highlight w:val="none"/>
                    </w:rPr>
                  </w:pPr>
                  <w:r>
                    <w:rPr>
                      <w:rFonts w:hint="eastAsia"/>
                      <w:color w:val="auto"/>
                      <w:highlight w:val="none"/>
                      <w:lang w:val="en-US" w:eastAsia="zh-CN"/>
                    </w:rPr>
                    <w:t>丙烯腈</w:t>
                  </w:r>
                </w:p>
              </w:tc>
              <w:tc>
                <w:tcPr>
                  <w:tcW w:w="248" w:type="pct"/>
                  <w:vMerge w:val="continue"/>
                  <w:tcMar>
                    <w:top w:w="0" w:type="dxa"/>
                    <w:left w:w="57" w:type="dxa"/>
                    <w:bottom w:w="0" w:type="dxa"/>
                    <w:right w:w="57" w:type="dxa"/>
                  </w:tcMar>
                  <w:vAlign w:val="center"/>
                </w:tcPr>
                <w:p w14:paraId="37811867">
                  <w:pPr>
                    <w:pStyle w:val="20"/>
                    <w:bidi w:val="0"/>
                    <w:rPr>
                      <w:rFonts w:hint="eastAsia"/>
                      <w:color w:val="auto"/>
                      <w:highlight w:val="none"/>
                      <w:lang w:val="en-US" w:eastAsia="zh-CN"/>
                    </w:rPr>
                  </w:pPr>
                </w:p>
              </w:tc>
              <w:tc>
                <w:tcPr>
                  <w:tcW w:w="282" w:type="pct"/>
                  <w:tcMar>
                    <w:top w:w="0" w:type="dxa"/>
                    <w:left w:w="57" w:type="dxa"/>
                    <w:bottom w:w="0" w:type="dxa"/>
                    <w:right w:w="57" w:type="dxa"/>
                  </w:tcMar>
                  <w:vAlign w:val="center"/>
                </w:tcPr>
                <w:p w14:paraId="50F96880">
                  <w:pPr>
                    <w:pStyle w:val="20"/>
                    <w:bidi w:val="0"/>
                    <w:rPr>
                      <w:rFonts w:hint="eastAsia"/>
                      <w:color w:val="auto"/>
                      <w:highlight w:val="none"/>
                      <w:lang w:val="en-US" w:eastAsia="zh-CN"/>
                    </w:rPr>
                  </w:pPr>
                  <w:r>
                    <w:rPr>
                      <w:rFonts w:hint="eastAsia"/>
                      <w:color w:val="auto"/>
                      <w:highlight w:val="none"/>
                      <w:lang w:val="en-US" w:eastAsia="zh-CN"/>
                    </w:rPr>
                    <w:t>0.021</w:t>
                  </w:r>
                </w:p>
              </w:tc>
              <w:tc>
                <w:tcPr>
                  <w:tcW w:w="279" w:type="pct"/>
                  <w:tcMar>
                    <w:top w:w="0" w:type="dxa"/>
                    <w:left w:w="57" w:type="dxa"/>
                    <w:bottom w:w="0" w:type="dxa"/>
                    <w:right w:w="57" w:type="dxa"/>
                  </w:tcMar>
                  <w:vAlign w:val="center"/>
                </w:tcPr>
                <w:p w14:paraId="22F58A24">
                  <w:pPr>
                    <w:pStyle w:val="20"/>
                    <w:bidi w:val="0"/>
                    <w:rPr>
                      <w:rFonts w:hint="eastAsia"/>
                      <w:color w:val="auto"/>
                      <w:highlight w:val="none"/>
                      <w:lang w:val="en-US" w:eastAsia="zh-CN"/>
                    </w:rPr>
                  </w:pPr>
                  <w:r>
                    <w:rPr>
                      <w:rFonts w:hint="eastAsia"/>
                      <w:color w:val="auto"/>
                      <w:highlight w:val="none"/>
                      <w:lang w:val="en-US" w:eastAsia="zh-CN"/>
                    </w:rPr>
                    <w:t>0.0042</w:t>
                  </w:r>
                </w:p>
              </w:tc>
              <w:tc>
                <w:tcPr>
                  <w:tcW w:w="310" w:type="pct"/>
                  <w:tcMar>
                    <w:top w:w="0" w:type="dxa"/>
                    <w:left w:w="57" w:type="dxa"/>
                    <w:bottom w:w="0" w:type="dxa"/>
                    <w:right w:w="57" w:type="dxa"/>
                  </w:tcMar>
                  <w:vAlign w:val="center"/>
                </w:tcPr>
                <w:p w14:paraId="430CE8A2">
                  <w:pPr>
                    <w:pStyle w:val="20"/>
                    <w:bidi w:val="0"/>
                    <w:rPr>
                      <w:rFonts w:hint="default"/>
                      <w:color w:val="auto"/>
                      <w:highlight w:val="none"/>
                      <w:lang w:val="en-US" w:eastAsia="zh-CN"/>
                    </w:rPr>
                  </w:pPr>
                  <w:r>
                    <w:rPr>
                      <w:rFonts w:hint="eastAsia"/>
                      <w:color w:val="auto"/>
                      <w:highlight w:val="none"/>
                      <w:lang w:val="en-US" w:eastAsia="zh-CN"/>
                    </w:rPr>
                    <w:t>0.0168</w:t>
                  </w:r>
                </w:p>
              </w:tc>
              <w:tc>
                <w:tcPr>
                  <w:tcW w:w="286" w:type="pct"/>
                  <w:tcMar>
                    <w:top w:w="0" w:type="dxa"/>
                    <w:left w:w="57" w:type="dxa"/>
                    <w:bottom w:w="0" w:type="dxa"/>
                    <w:right w:w="57" w:type="dxa"/>
                  </w:tcMar>
                  <w:vAlign w:val="center"/>
                </w:tcPr>
                <w:p w14:paraId="58830F48">
                  <w:pPr>
                    <w:pStyle w:val="20"/>
                    <w:bidi w:val="0"/>
                    <w:rPr>
                      <w:rFonts w:hint="default"/>
                      <w:color w:val="auto"/>
                      <w:highlight w:val="none"/>
                      <w:lang w:val="en-US" w:eastAsia="zh-CN"/>
                    </w:rPr>
                  </w:pPr>
                  <w:r>
                    <w:rPr>
                      <w:rFonts w:hint="eastAsia"/>
                      <w:color w:val="auto"/>
                      <w:highlight w:val="none"/>
                      <w:lang w:val="en-US" w:eastAsia="zh-CN"/>
                    </w:rPr>
                    <w:t>0.002</w:t>
                  </w:r>
                </w:p>
              </w:tc>
              <w:tc>
                <w:tcPr>
                  <w:tcW w:w="309" w:type="pct"/>
                  <w:tcMar>
                    <w:top w:w="0" w:type="dxa"/>
                    <w:left w:w="57" w:type="dxa"/>
                    <w:bottom w:w="0" w:type="dxa"/>
                    <w:right w:w="57" w:type="dxa"/>
                  </w:tcMar>
                  <w:vAlign w:val="center"/>
                </w:tcPr>
                <w:p w14:paraId="4208D9EA">
                  <w:pPr>
                    <w:pStyle w:val="20"/>
                    <w:bidi w:val="0"/>
                    <w:rPr>
                      <w:rFonts w:hint="default"/>
                      <w:color w:val="auto"/>
                      <w:highlight w:val="none"/>
                      <w:lang w:val="en-US" w:eastAsia="zh-CN"/>
                    </w:rPr>
                  </w:pPr>
                  <w:r>
                    <w:rPr>
                      <w:rFonts w:hint="eastAsia"/>
                      <w:color w:val="auto"/>
                      <w:highlight w:val="none"/>
                      <w:lang w:val="en-US" w:eastAsia="zh-CN"/>
                    </w:rPr>
                    <w:t>0.117</w:t>
                  </w:r>
                </w:p>
              </w:tc>
              <w:tc>
                <w:tcPr>
                  <w:tcW w:w="233" w:type="pct"/>
                  <w:vMerge w:val="continue"/>
                  <w:tcMar>
                    <w:top w:w="0" w:type="dxa"/>
                    <w:left w:w="57" w:type="dxa"/>
                    <w:bottom w:w="0" w:type="dxa"/>
                    <w:right w:w="57" w:type="dxa"/>
                  </w:tcMar>
                  <w:vAlign w:val="center"/>
                </w:tcPr>
                <w:p w14:paraId="6E1130D8">
                  <w:pPr>
                    <w:pStyle w:val="20"/>
                    <w:bidi w:val="0"/>
                    <w:rPr>
                      <w:rFonts w:hint="eastAsia"/>
                      <w:color w:val="auto"/>
                      <w:highlight w:val="none"/>
                    </w:rPr>
                  </w:pPr>
                </w:p>
              </w:tc>
              <w:tc>
                <w:tcPr>
                  <w:tcW w:w="300" w:type="pct"/>
                  <w:vMerge w:val="continue"/>
                  <w:tcMar>
                    <w:top w:w="0" w:type="dxa"/>
                    <w:left w:w="57" w:type="dxa"/>
                    <w:bottom w:w="0" w:type="dxa"/>
                    <w:right w:w="57" w:type="dxa"/>
                  </w:tcMar>
                  <w:vAlign w:val="center"/>
                </w:tcPr>
                <w:p w14:paraId="2C8054B2">
                  <w:pPr>
                    <w:pStyle w:val="20"/>
                    <w:bidi w:val="0"/>
                    <w:rPr>
                      <w:rFonts w:hint="eastAsia"/>
                      <w:color w:val="auto"/>
                      <w:highlight w:val="none"/>
                    </w:rPr>
                  </w:pPr>
                </w:p>
              </w:tc>
              <w:tc>
                <w:tcPr>
                  <w:tcW w:w="372" w:type="pct"/>
                  <w:vMerge w:val="continue"/>
                  <w:tcMar>
                    <w:top w:w="0" w:type="dxa"/>
                    <w:left w:w="57" w:type="dxa"/>
                    <w:bottom w:w="0" w:type="dxa"/>
                    <w:right w:w="57" w:type="dxa"/>
                  </w:tcMar>
                  <w:vAlign w:val="center"/>
                </w:tcPr>
                <w:p w14:paraId="2F437828">
                  <w:pPr>
                    <w:pStyle w:val="20"/>
                    <w:bidi w:val="0"/>
                    <w:rPr>
                      <w:rFonts w:hint="eastAsia"/>
                      <w:color w:val="auto"/>
                      <w:highlight w:val="none"/>
                    </w:rPr>
                  </w:pPr>
                </w:p>
              </w:tc>
              <w:tc>
                <w:tcPr>
                  <w:tcW w:w="277" w:type="pct"/>
                  <w:tcMar>
                    <w:top w:w="0" w:type="dxa"/>
                    <w:left w:w="57" w:type="dxa"/>
                    <w:bottom w:w="0" w:type="dxa"/>
                    <w:right w:w="57" w:type="dxa"/>
                  </w:tcMar>
                  <w:vAlign w:val="center"/>
                </w:tcPr>
                <w:p w14:paraId="14136DA9">
                  <w:pPr>
                    <w:pStyle w:val="20"/>
                    <w:bidi w:val="0"/>
                    <w:rPr>
                      <w:rFonts w:hint="default"/>
                      <w:color w:val="auto"/>
                      <w:highlight w:val="none"/>
                      <w:lang w:val="en-US" w:eastAsia="zh-CN"/>
                    </w:rPr>
                  </w:pPr>
                  <w:r>
                    <w:rPr>
                      <w:rFonts w:hint="eastAsia"/>
                      <w:color w:val="auto"/>
                      <w:highlight w:val="none"/>
                      <w:lang w:val="en-US" w:eastAsia="zh-CN"/>
                    </w:rPr>
                    <w:t>0.0067</w:t>
                  </w:r>
                </w:p>
              </w:tc>
              <w:tc>
                <w:tcPr>
                  <w:tcW w:w="253" w:type="pct"/>
                  <w:tcMar>
                    <w:top w:w="0" w:type="dxa"/>
                    <w:left w:w="57" w:type="dxa"/>
                    <w:bottom w:w="0" w:type="dxa"/>
                    <w:right w:w="57" w:type="dxa"/>
                  </w:tcMar>
                  <w:vAlign w:val="center"/>
                </w:tcPr>
                <w:p w14:paraId="11BA8B99">
                  <w:pPr>
                    <w:pStyle w:val="20"/>
                    <w:bidi w:val="0"/>
                    <w:rPr>
                      <w:rFonts w:hint="default"/>
                      <w:color w:val="auto"/>
                      <w:highlight w:val="none"/>
                      <w:lang w:val="en-US" w:eastAsia="zh-CN"/>
                    </w:rPr>
                  </w:pPr>
                  <w:r>
                    <w:rPr>
                      <w:rFonts w:hint="eastAsia"/>
                      <w:color w:val="auto"/>
                      <w:highlight w:val="none"/>
                      <w:lang w:val="en-US" w:eastAsia="zh-CN"/>
                    </w:rPr>
                    <w:t>0.001</w:t>
                  </w:r>
                </w:p>
              </w:tc>
              <w:tc>
                <w:tcPr>
                  <w:tcW w:w="302" w:type="pct"/>
                  <w:tcMar>
                    <w:top w:w="0" w:type="dxa"/>
                    <w:left w:w="57" w:type="dxa"/>
                    <w:bottom w:w="0" w:type="dxa"/>
                    <w:right w:w="57" w:type="dxa"/>
                  </w:tcMar>
                  <w:vAlign w:val="center"/>
                </w:tcPr>
                <w:p w14:paraId="6B67C53D">
                  <w:pPr>
                    <w:pStyle w:val="20"/>
                    <w:bidi w:val="0"/>
                    <w:rPr>
                      <w:rFonts w:hint="default"/>
                      <w:color w:val="auto"/>
                      <w:highlight w:val="none"/>
                      <w:lang w:val="en-US" w:eastAsia="zh-CN"/>
                    </w:rPr>
                  </w:pPr>
                  <w:r>
                    <w:rPr>
                      <w:rFonts w:hint="eastAsia"/>
                      <w:color w:val="auto"/>
                      <w:highlight w:val="none"/>
                      <w:lang w:val="en-US" w:eastAsia="zh-CN"/>
                    </w:rPr>
                    <w:t>0.047</w:t>
                  </w:r>
                </w:p>
              </w:tc>
              <w:tc>
                <w:tcPr>
                  <w:tcW w:w="229" w:type="pct"/>
                  <w:vMerge w:val="continue"/>
                  <w:tcMar>
                    <w:top w:w="0" w:type="dxa"/>
                    <w:left w:w="57" w:type="dxa"/>
                    <w:bottom w:w="0" w:type="dxa"/>
                    <w:right w:w="57" w:type="dxa"/>
                  </w:tcMar>
                  <w:vAlign w:val="center"/>
                </w:tcPr>
                <w:p w14:paraId="3284591D">
                  <w:pPr>
                    <w:pStyle w:val="20"/>
                    <w:bidi w:val="0"/>
                    <w:rPr>
                      <w:rFonts w:hint="eastAsia"/>
                      <w:color w:val="auto"/>
                      <w:highlight w:val="none"/>
                      <w:lang w:val="en-US" w:eastAsia="zh-CN"/>
                    </w:rPr>
                  </w:pPr>
                </w:p>
              </w:tc>
            </w:tr>
            <w:tr w14:paraId="3E9D2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54" w:hRule="atLeast"/>
              </w:trPr>
              <w:tc>
                <w:tcPr>
                  <w:tcW w:w="321" w:type="pct"/>
                  <w:vMerge w:val="continue"/>
                  <w:tcMar>
                    <w:top w:w="0" w:type="dxa"/>
                    <w:left w:w="57" w:type="dxa"/>
                    <w:bottom w:w="0" w:type="dxa"/>
                    <w:right w:w="57" w:type="dxa"/>
                  </w:tcMar>
                  <w:vAlign w:val="center"/>
                </w:tcPr>
                <w:p w14:paraId="54540FFA">
                  <w:pPr>
                    <w:pStyle w:val="20"/>
                    <w:bidi w:val="0"/>
                    <w:rPr>
                      <w:rFonts w:hint="eastAsia"/>
                      <w:color w:val="auto"/>
                      <w:highlight w:val="none"/>
                    </w:rPr>
                  </w:pPr>
                </w:p>
              </w:tc>
              <w:tc>
                <w:tcPr>
                  <w:tcW w:w="396" w:type="pct"/>
                  <w:vMerge w:val="continue"/>
                  <w:tcMar>
                    <w:top w:w="0" w:type="dxa"/>
                    <w:left w:w="57" w:type="dxa"/>
                    <w:bottom w:w="0" w:type="dxa"/>
                    <w:right w:w="57" w:type="dxa"/>
                  </w:tcMar>
                  <w:vAlign w:val="center"/>
                </w:tcPr>
                <w:p w14:paraId="53B34041">
                  <w:pPr>
                    <w:pStyle w:val="20"/>
                    <w:bidi w:val="0"/>
                    <w:rPr>
                      <w:rFonts w:hint="eastAsia"/>
                      <w:color w:val="auto"/>
                      <w:highlight w:val="none"/>
                      <w:lang w:val="en-US" w:eastAsia="zh-CN"/>
                    </w:rPr>
                  </w:pPr>
                </w:p>
              </w:tc>
              <w:tc>
                <w:tcPr>
                  <w:tcW w:w="598" w:type="pct"/>
                  <w:tcMar>
                    <w:top w:w="0" w:type="dxa"/>
                    <w:left w:w="57" w:type="dxa"/>
                    <w:bottom w:w="0" w:type="dxa"/>
                    <w:right w:w="57" w:type="dxa"/>
                  </w:tcMar>
                  <w:vAlign w:val="center"/>
                </w:tcPr>
                <w:p w14:paraId="2A6EAFF3">
                  <w:pPr>
                    <w:pStyle w:val="20"/>
                    <w:bidi w:val="0"/>
                    <w:rPr>
                      <w:rFonts w:hint="eastAsia"/>
                      <w:color w:val="auto"/>
                      <w:highlight w:val="none"/>
                    </w:rPr>
                  </w:pPr>
                  <w:r>
                    <w:rPr>
                      <w:rFonts w:hint="eastAsia"/>
                      <w:color w:val="auto"/>
                      <w:highlight w:val="none"/>
                      <w:lang w:val="en-US" w:eastAsia="zh-CN"/>
                    </w:rPr>
                    <w:t>1,3-丁二烯</w:t>
                  </w:r>
                </w:p>
              </w:tc>
              <w:tc>
                <w:tcPr>
                  <w:tcW w:w="248" w:type="pct"/>
                  <w:vMerge w:val="continue"/>
                  <w:tcMar>
                    <w:top w:w="0" w:type="dxa"/>
                    <w:left w:w="57" w:type="dxa"/>
                    <w:bottom w:w="0" w:type="dxa"/>
                    <w:right w:w="57" w:type="dxa"/>
                  </w:tcMar>
                  <w:vAlign w:val="center"/>
                </w:tcPr>
                <w:p w14:paraId="3C2172A1">
                  <w:pPr>
                    <w:pStyle w:val="20"/>
                    <w:bidi w:val="0"/>
                    <w:rPr>
                      <w:rFonts w:hint="eastAsia"/>
                      <w:color w:val="auto"/>
                      <w:highlight w:val="none"/>
                      <w:lang w:val="en-US" w:eastAsia="zh-CN"/>
                    </w:rPr>
                  </w:pPr>
                </w:p>
              </w:tc>
              <w:tc>
                <w:tcPr>
                  <w:tcW w:w="282" w:type="pct"/>
                  <w:tcMar>
                    <w:top w:w="0" w:type="dxa"/>
                    <w:left w:w="57" w:type="dxa"/>
                    <w:bottom w:w="0" w:type="dxa"/>
                    <w:right w:w="57" w:type="dxa"/>
                  </w:tcMar>
                  <w:vAlign w:val="center"/>
                </w:tcPr>
                <w:p w14:paraId="25DC1590">
                  <w:pPr>
                    <w:pStyle w:val="20"/>
                    <w:bidi w:val="0"/>
                    <w:rPr>
                      <w:rFonts w:hint="eastAsia"/>
                      <w:color w:val="auto"/>
                      <w:highlight w:val="none"/>
                      <w:lang w:val="en-US" w:eastAsia="zh-CN"/>
                    </w:rPr>
                  </w:pPr>
                  <w:r>
                    <w:rPr>
                      <w:rFonts w:hint="eastAsia"/>
                      <w:color w:val="auto"/>
                      <w:highlight w:val="none"/>
                      <w:lang w:val="en-US" w:eastAsia="zh-CN"/>
                    </w:rPr>
                    <w:t>0.001</w:t>
                  </w:r>
                </w:p>
              </w:tc>
              <w:tc>
                <w:tcPr>
                  <w:tcW w:w="279" w:type="pct"/>
                  <w:tcMar>
                    <w:top w:w="0" w:type="dxa"/>
                    <w:left w:w="57" w:type="dxa"/>
                    <w:bottom w:w="0" w:type="dxa"/>
                    <w:right w:w="57" w:type="dxa"/>
                  </w:tcMar>
                  <w:vAlign w:val="center"/>
                </w:tcPr>
                <w:p w14:paraId="7DDC1FC1">
                  <w:pPr>
                    <w:pStyle w:val="20"/>
                    <w:bidi w:val="0"/>
                    <w:rPr>
                      <w:rFonts w:hint="eastAsia"/>
                      <w:color w:val="auto"/>
                      <w:highlight w:val="none"/>
                      <w:lang w:val="en-US" w:eastAsia="zh-CN"/>
                    </w:rPr>
                  </w:pPr>
                  <w:r>
                    <w:rPr>
                      <w:rFonts w:hint="eastAsia"/>
                      <w:color w:val="auto"/>
                      <w:highlight w:val="none"/>
                      <w:lang w:val="en-US" w:eastAsia="zh-CN"/>
                    </w:rPr>
                    <w:t>0.0002</w:t>
                  </w:r>
                </w:p>
              </w:tc>
              <w:tc>
                <w:tcPr>
                  <w:tcW w:w="310" w:type="pct"/>
                  <w:tcMar>
                    <w:top w:w="0" w:type="dxa"/>
                    <w:left w:w="57" w:type="dxa"/>
                    <w:bottom w:w="0" w:type="dxa"/>
                    <w:right w:w="57" w:type="dxa"/>
                  </w:tcMar>
                  <w:vAlign w:val="center"/>
                </w:tcPr>
                <w:p w14:paraId="02359966">
                  <w:pPr>
                    <w:pStyle w:val="20"/>
                    <w:bidi w:val="0"/>
                    <w:rPr>
                      <w:rFonts w:hint="default"/>
                      <w:color w:val="auto"/>
                      <w:highlight w:val="none"/>
                      <w:lang w:val="en-US" w:eastAsia="zh-CN"/>
                    </w:rPr>
                  </w:pPr>
                  <w:r>
                    <w:rPr>
                      <w:rFonts w:hint="eastAsia"/>
                      <w:color w:val="auto"/>
                      <w:highlight w:val="none"/>
                      <w:lang w:val="en-US" w:eastAsia="zh-CN"/>
                    </w:rPr>
                    <w:t>0.0008</w:t>
                  </w:r>
                </w:p>
              </w:tc>
              <w:tc>
                <w:tcPr>
                  <w:tcW w:w="286" w:type="pct"/>
                  <w:tcMar>
                    <w:top w:w="0" w:type="dxa"/>
                    <w:left w:w="57" w:type="dxa"/>
                    <w:bottom w:w="0" w:type="dxa"/>
                    <w:right w:w="57" w:type="dxa"/>
                  </w:tcMar>
                  <w:vAlign w:val="center"/>
                </w:tcPr>
                <w:p w14:paraId="246D783C">
                  <w:pPr>
                    <w:pStyle w:val="20"/>
                    <w:bidi w:val="0"/>
                    <w:rPr>
                      <w:rFonts w:hint="default"/>
                      <w:color w:val="auto"/>
                      <w:highlight w:val="none"/>
                      <w:lang w:val="en-US" w:eastAsia="zh-CN"/>
                    </w:rPr>
                  </w:pPr>
                  <w:r>
                    <w:rPr>
                      <w:rFonts w:hint="eastAsia"/>
                      <w:color w:val="auto"/>
                      <w:highlight w:val="none"/>
                      <w:lang w:val="en-US" w:eastAsia="zh-CN"/>
                    </w:rPr>
                    <w:t>0.000</w:t>
                  </w:r>
                </w:p>
              </w:tc>
              <w:tc>
                <w:tcPr>
                  <w:tcW w:w="309" w:type="pct"/>
                  <w:tcMar>
                    <w:top w:w="0" w:type="dxa"/>
                    <w:left w:w="57" w:type="dxa"/>
                    <w:bottom w:w="0" w:type="dxa"/>
                    <w:right w:w="57" w:type="dxa"/>
                  </w:tcMar>
                  <w:vAlign w:val="center"/>
                </w:tcPr>
                <w:p w14:paraId="0F2DC626">
                  <w:pPr>
                    <w:pStyle w:val="20"/>
                    <w:bidi w:val="0"/>
                    <w:rPr>
                      <w:rFonts w:hint="default"/>
                      <w:color w:val="auto"/>
                      <w:highlight w:val="none"/>
                      <w:lang w:val="en-US" w:eastAsia="zh-CN"/>
                    </w:rPr>
                  </w:pPr>
                  <w:r>
                    <w:rPr>
                      <w:rFonts w:hint="eastAsia"/>
                      <w:color w:val="auto"/>
                      <w:highlight w:val="none"/>
                      <w:lang w:val="en-US" w:eastAsia="zh-CN"/>
                    </w:rPr>
                    <w:t>0.006</w:t>
                  </w:r>
                </w:p>
              </w:tc>
              <w:tc>
                <w:tcPr>
                  <w:tcW w:w="233" w:type="pct"/>
                  <w:vMerge w:val="continue"/>
                  <w:tcMar>
                    <w:top w:w="0" w:type="dxa"/>
                    <w:left w:w="57" w:type="dxa"/>
                    <w:bottom w:w="0" w:type="dxa"/>
                    <w:right w:w="57" w:type="dxa"/>
                  </w:tcMar>
                  <w:vAlign w:val="center"/>
                </w:tcPr>
                <w:p w14:paraId="32BB9B99">
                  <w:pPr>
                    <w:pStyle w:val="20"/>
                    <w:bidi w:val="0"/>
                    <w:rPr>
                      <w:rFonts w:hint="eastAsia"/>
                      <w:color w:val="auto"/>
                      <w:highlight w:val="none"/>
                    </w:rPr>
                  </w:pPr>
                </w:p>
              </w:tc>
              <w:tc>
                <w:tcPr>
                  <w:tcW w:w="300" w:type="pct"/>
                  <w:vMerge w:val="continue"/>
                  <w:tcMar>
                    <w:top w:w="0" w:type="dxa"/>
                    <w:left w:w="57" w:type="dxa"/>
                    <w:bottom w:w="0" w:type="dxa"/>
                    <w:right w:w="57" w:type="dxa"/>
                  </w:tcMar>
                  <w:vAlign w:val="center"/>
                </w:tcPr>
                <w:p w14:paraId="49BF9320">
                  <w:pPr>
                    <w:pStyle w:val="20"/>
                    <w:bidi w:val="0"/>
                    <w:rPr>
                      <w:rFonts w:hint="eastAsia"/>
                      <w:color w:val="auto"/>
                      <w:highlight w:val="none"/>
                    </w:rPr>
                  </w:pPr>
                </w:p>
              </w:tc>
              <w:tc>
                <w:tcPr>
                  <w:tcW w:w="372" w:type="pct"/>
                  <w:vMerge w:val="continue"/>
                  <w:tcMar>
                    <w:top w:w="0" w:type="dxa"/>
                    <w:left w:w="57" w:type="dxa"/>
                    <w:bottom w:w="0" w:type="dxa"/>
                    <w:right w:w="57" w:type="dxa"/>
                  </w:tcMar>
                  <w:vAlign w:val="center"/>
                </w:tcPr>
                <w:p w14:paraId="64DD3BEF">
                  <w:pPr>
                    <w:pStyle w:val="20"/>
                    <w:bidi w:val="0"/>
                    <w:rPr>
                      <w:rFonts w:hint="eastAsia"/>
                      <w:color w:val="auto"/>
                      <w:highlight w:val="none"/>
                    </w:rPr>
                  </w:pPr>
                </w:p>
              </w:tc>
              <w:tc>
                <w:tcPr>
                  <w:tcW w:w="277" w:type="pct"/>
                  <w:tcMar>
                    <w:top w:w="0" w:type="dxa"/>
                    <w:left w:w="57" w:type="dxa"/>
                    <w:bottom w:w="0" w:type="dxa"/>
                    <w:right w:w="57" w:type="dxa"/>
                  </w:tcMar>
                  <w:vAlign w:val="center"/>
                </w:tcPr>
                <w:p w14:paraId="7012D4D8">
                  <w:pPr>
                    <w:pStyle w:val="20"/>
                    <w:bidi w:val="0"/>
                    <w:rPr>
                      <w:rFonts w:hint="default"/>
                      <w:color w:val="auto"/>
                      <w:highlight w:val="none"/>
                      <w:lang w:val="en-US" w:eastAsia="zh-CN"/>
                    </w:rPr>
                  </w:pPr>
                  <w:r>
                    <w:rPr>
                      <w:rFonts w:hint="eastAsia"/>
                      <w:color w:val="auto"/>
                      <w:highlight w:val="none"/>
                      <w:lang w:val="en-US" w:eastAsia="zh-CN"/>
                    </w:rPr>
                    <w:t>0.0003</w:t>
                  </w:r>
                </w:p>
              </w:tc>
              <w:tc>
                <w:tcPr>
                  <w:tcW w:w="253" w:type="pct"/>
                  <w:tcMar>
                    <w:top w:w="0" w:type="dxa"/>
                    <w:left w:w="57" w:type="dxa"/>
                    <w:bottom w:w="0" w:type="dxa"/>
                    <w:right w:w="57" w:type="dxa"/>
                  </w:tcMar>
                  <w:vAlign w:val="center"/>
                </w:tcPr>
                <w:p w14:paraId="18FFD105">
                  <w:pPr>
                    <w:pStyle w:val="20"/>
                    <w:bidi w:val="0"/>
                    <w:rPr>
                      <w:rFonts w:hint="default"/>
                      <w:color w:val="auto"/>
                      <w:highlight w:val="none"/>
                      <w:lang w:val="en-US" w:eastAsia="zh-CN"/>
                    </w:rPr>
                  </w:pPr>
                  <w:r>
                    <w:rPr>
                      <w:rFonts w:hint="eastAsia"/>
                      <w:color w:val="auto"/>
                      <w:highlight w:val="none"/>
                      <w:lang w:val="en-US" w:eastAsia="zh-CN"/>
                    </w:rPr>
                    <w:t>0.000</w:t>
                  </w:r>
                </w:p>
              </w:tc>
              <w:tc>
                <w:tcPr>
                  <w:tcW w:w="302" w:type="pct"/>
                  <w:tcMar>
                    <w:top w:w="0" w:type="dxa"/>
                    <w:left w:w="57" w:type="dxa"/>
                    <w:bottom w:w="0" w:type="dxa"/>
                    <w:right w:w="57" w:type="dxa"/>
                  </w:tcMar>
                  <w:vAlign w:val="center"/>
                </w:tcPr>
                <w:p w14:paraId="1B9A98A3">
                  <w:pPr>
                    <w:pStyle w:val="20"/>
                    <w:bidi w:val="0"/>
                    <w:rPr>
                      <w:rFonts w:hint="default"/>
                      <w:color w:val="auto"/>
                      <w:highlight w:val="none"/>
                      <w:lang w:val="en-US" w:eastAsia="zh-CN"/>
                    </w:rPr>
                  </w:pPr>
                  <w:r>
                    <w:rPr>
                      <w:rFonts w:hint="eastAsia"/>
                      <w:color w:val="auto"/>
                      <w:highlight w:val="none"/>
                      <w:lang w:val="en-US" w:eastAsia="zh-CN"/>
                    </w:rPr>
                    <w:t>0.002</w:t>
                  </w:r>
                </w:p>
              </w:tc>
              <w:tc>
                <w:tcPr>
                  <w:tcW w:w="229" w:type="pct"/>
                  <w:vMerge w:val="continue"/>
                  <w:tcMar>
                    <w:top w:w="0" w:type="dxa"/>
                    <w:left w:w="57" w:type="dxa"/>
                    <w:bottom w:w="0" w:type="dxa"/>
                    <w:right w:w="57" w:type="dxa"/>
                  </w:tcMar>
                  <w:vAlign w:val="center"/>
                </w:tcPr>
                <w:p w14:paraId="4AA0E68E">
                  <w:pPr>
                    <w:pStyle w:val="20"/>
                    <w:bidi w:val="0"/>
                    <w:rPr>
                      <w:rFonts w:hint="eastAsia"/>
                      <w:color w:val="auto"/>
                      <w:highlight w:val="none"/>
                      <w:lang w:val="en-US" w:eastAsia="zh-CN"/>
                    </w:rPr>
                  </w:pPr>
                </w:p>
              </w:tc>
            </w:tr>
            <w:tr w14:paraId="5AAAF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54" w:hRule="atLeast"/>
              </w:trPr>
              <w:tc>
                <w:tcPr>
                  <w:tcW w:w="321" w:type="pct"/>
                  <w:vMerge w:val="continue"/>
                  <w:tcMar>
                    <w:top w:w="0" w:type="dxa"/>
                    <w:left w:w="57" w:type="dxa"/>
                    <w:bottom w:w="0" w:type="dxa"/>
                    <w:right w:w="57" w:type="dxa"/>
                  </w:tcMar>
                  <w:vAlign w:val="center"/>
                </w:tcPr>
                <w:p w14:paraId="02BEB09A">
                  <w:pPr>
                    <w:pStyle w:val="20"/>
                    <w:bidi w:val="0"/>
                    <w:rPr>
                      <w:rFonts w:hint="eastAsia"/>
                      <w:color w:val="auto"/>
                      <w:highlight w:val="none"/>
                    </w:rPr>
                  </w:pPr>
                </w:p>
              </w:tc>
              <w:tc>
                <w:tcPr>
                  <w:tcW w:w="396" w:type="pct"/>
                  <w:vMerge w:val="continue"/>
                  <w:tcMar>
                    <w:top w:w="0" w:type="dxa"/>
                    <w:left w:w="57" w:type="dxa"/>
                    <w:bottom w:w="0" w:type="dxa"/>
                    <w:right w:w="57" w:type="dxa"/>
                  </w:tcMar>
                  <w:vAlign w:val="center"/>
                </w:tcPr>
                <w:p w14:paraId="70E8E8B1">
                  <w:pPr>
                    <w:pStyle w:val="20"/>
                    <w:bidi w:val="0"/>
                    <w:rPr>
                      <w:rFonts w:hint="eastAsia"/>
                      <w:color w:val="auto"/>
                      <w:highlight w:val="none"/>
                      <w:lang w:val="en-US" w:eastAsia="zh-CN"/>
                    </w:rPr>
                  </w:pPr>
                </w:p>
              </w:tc>
              <w:tc>
                <w:tcPr>
                  <w:tcW w:w="598" w:type="pct"/>
                  <w:tcMar>
                    <w:top w:w="0" w:type="dxa"/>
                    <w:left w:w="57" w:type="dxa"/>
                    <w:bottom w:w="0" w:type="dxa"/>
                    <w:right w:w="57" w:type="dxa"/>
                  </w:tcMar>
                  <w:vAlign w:val="center"/>
                </w:tcPr>
                <w:p w14:paraId="2CD176D4">
                  <w:pPr>
                    <w:pStyle w:val="20"/>
                    <w:bidi w:val="0"/>
                    <w:rPr>
                      <w:rFonts w:hint="eastAsia"/>
                      <w:color w:val="auto"/>
                      <w:highlight w:val="none"/>
                    </w:rPr>
                  </w:pPr>
                  <w:r>
                    <w:rPr>
                      <w:rFonts w:hint="eastAsia"/>
                      <w:color w:val="auto"/>
                      <w:highlight w:val="none"/>
                      <w:lang w:val="en-US" w:eastAsia="zh-CN"/>
                    </w:rPr>
                    <w:t>苯乙烯</w:t>
                  </w:r>
                </w:p>
              </w:tc>
              <w:tc>
                <w:tcPr>
                  <w:tcW w:w="248" w:type="pct"/>
                  <w:vMerge w:val="continue"/>
                  <w:tcMar>
                    <w:top w:w="0" w:type="dxa"/>
                    <w:left w:w="57" w:type="dxa"/>
                    <w:bottom w:w="0" w:type="dxa"/>
                    <w:right w:w="57" w:type="dxa"/>
                  </w:tcMar>
                  <w:vAlign w:val="center"/>
                </w:tcPr>
                <w:p w14:paraId="071C6F4E">
                  <w:pPr>
                    <w:pStyle w:val="20"/>
                    <w:bidi w:val="0"/>
                    <w:rPr>
                      <w:rFonts w:hint="eastAsia"/>
                      <w:color w:val="auto"/>
                      <w:highlight w:val="none"/>
                      <w:lang w:val="en-US" w:eastAsia="zh-CN"/>
                    </w:rPr>
                  </w:pPr>
                </w:p>
              </w:tc>
              <w:tc>
                <w:tcPr>
                  <w:tcW w:w="282" w:type="pct"/>
                  <w:tcMar>
                    <w:top w:w="0" w:type="dxa"/>
                    <w:left w:w="57" w:type="dxa"/>
                    <w:bottom w:w="0" w:type="dxa"/>
                    <w:right w:w="57" w:type="dxa"/>
                  </w:tcMar>
                  <w:vAlign w:val="center"/>
                </w:tcPr>
                <w:p w14:paraId="6EF4B1BB">
                  <w:pPr>
                    <w:pStyle w:val="20"/>
                    <w:bidi w:val="0"/>
                    <w:rPr>
                      <w:rFonts w:hint="eastAsia"/>
                      <w:color w:val="auto"/>
                      <w:highlight w:val="none"/>
                      <w:lang w:val="en-US" w:eastAsia="zh-CN"/>
                    </w:rPr>
                  </w:pPr>
                  <w:r>
                    <w:rPr>
                      <w:rFonts w:hint="eastAsia"/>
                      <w:color w:val="auto"/>
                      <w:highlight w:val="none"/>
                      <w:lang w:val="en-US" w:eastAsia="zh-CN"/>
                    </w:rPr>
                    <w:t>0.467</w:t>
                  </w:r>
                </w:p>
              </w:tc>
              <w:tc>
                <w:tcPr>
                  <w:tcW w:w="279" w:type="pct"/>
                  <w:tcMar>
                    <w:top w:w="0" w:type="dxa"/>
                    <w:left w:w="57" w:type="dxa"/>
                    <w:bottom w:w="0" w:type="dxa"/>
                    <w:right w:w="57" w:type="dxa"/>
                  </w:tcMar>
                  <w:vAlign w:val="center"/>
                </w:tcPr>
                <w:p w14:paraId="2022B873">
                  <w:pPr>
                    <w:pStyle w:val="20"/>
                    <w:bidi w:val="0"/>
                    <w:rPr>
                      <w:rFonts w:hint="eastAsia"/>
                      <w:color w:val="auto"/>
                      <w:highlight w:val="none"/>
                      <w:lang w:val="en-US" w:eastAsia="zh-CN"/>
                    </w:rPr>
                  </w:pPr>
                  <w:r>
                    <w:rPr>
                      <w:rFonts w:hint="eastAsia"/>
                      <w:color w:val="auto"/>
                      <w:highlight w:val="none"/>
                      <w:lang w:val="en-US" w:eastAsia="zh-CN"/>
                    </w:rPr>
                    <w:t>0.0934</w:t>
                  </w:r>
                </w:p>
              </w:tc>
              <w:tc>
                <w:tcPr>
                  <w:tcW w:w="310" w:type="pct"/>
                  <w:tcMar>
                    <w:top w:w="0" w:type="dxa"/>
                    <w:left w:w="57" w:type="dxa"/>
                    <w:bottom w:w="0" w:type="dxa"/>
                    <w:right w:w="57" w:type="dxa"/>
                  </w:tcMar>
                  <w:vAlign w:val="center"/>
                </w:tcPr>
                <w:p w14:paraId="07CB710E">
                  <w:pPr>
                    <w:pStyle w:val="20"/>
                    <w:bidi w:val="0"/>
                    <w:rPr>
                      <w:rFonts w:hint="default"/>
                      <w:color w:val="auto"/>
                      <w:highlight w:val="none"/>
                      <w:lang w:val="en-US" w:eastAsia="zh-CN"/>
                    </w:rPr>
                  </w:pPr>
                  <w:r>
                    <w:rPr>
                      <w:rFonts w:hint="eastAsia"/>
                      <w:color w:val="auto"/>
                      <w:highlight w:val="none"/>
                      <w:lang w:val="en-US" w:eastAsia="zh-CN"/>
                    </w:rPr>
                    <w:t>0.3736</w:t>
                  </w:r>
                </w:p>
              </w:tc>
              <w:tc>
                <w:tcPr>
                  <w:tcW w:w="286" w:type="pct"/>
                  <w:tcMar>
                    <w:top w:w="0" w:type="dxa"/>
                    <w:left w:w="57" w:type="dxa"/>
                    <w:bottom w:w="0" w:type="dxa"/>
                    <w:right w:w="57" w:type="dxa"/>
                  </w:tcMar>
                  <w:vAlign w:val="center"/>
                </w:tcPr>
                <w:p w14:paraId="5CFFA1B5">
                  <w:pPr>
                    <w:pStyle w:val="20"/>
                    <w:bidi w:val="0"/>
                    <w:rPr>
                      <w:rFonts w:hint="default"/>
                      <w:color w:val="auto"/>
                      <w:highlight w:val="none"/>
                      <w:lang w:val="en-US" w:eastAsia="zh-CN"/>
                    </w:rPr>
                  </w:pPr>
                  <w:r>
                    <w:rPr>
                      <w:rFonts w:hint="eastAsia"/>
                      <w:color w:val="auto"/>
                      <w:highlight w:val="none"/>
                      <w:lang w:val="en-US" w:eastAsia="zh-CN"/>
                    </w:rPr>
                    <w:t>0.052</w:t>
                  </w:r>
                </w:p>
              </w:tc>
              <w:tc>
                <w:tcPr>
                  <w:tcW w:w="309" w:type="pct"/>
                  <w:tcMar>
                    <w:top w:w="0" w:type="dxa"/>
                    <w:left w:w="57" w:type="dxa"/>
                    <w:bottom w:w="0" w:type="dxa"/>
                    <w:right w:w="57" w:type="dxa"/>
                  </w:tcMar>
                  <w:vAlign w:val="center"/>
                </w:tcPr>
                <w:p w14:paraId="65BCBAD1">
                  <w:pPr>
                    <w:pStyle w:val="20"/>
                    <w:bidi w:val="0"/>
                    <w:rPr>
                      <w:rFonts w:hint="default"/>
                      <w:color w:val="auto"/>
                      <w:highlight w:val="none"/>
                      <w:lang w:val="en-US" w:eastAsia="zh-CN"/>
                    </w:rPr>
                  </w:pPr>
                  <w:r>
                    <w:rPr>
                      <w:rFonts w:hint="eastAsia"/>
                      <w:color w:val="auto"/>
                      <w:highlight w:val="none"/>
                      <w:lang w:val="en-US" w:eastAsia="zh-CN"/>
                    </w:rPr>
                    <w:t>2.594</w:t>
                  </w:r>
                </w:p>
              </w:tc>
              <w:tc>
                <w:tcPr>
                  <w:tcW w:w="233" w:type="pct"/>
                  <w:vMerge w:val="continue"/>
                  <w:tcMar>
                    <w:top w:w="0" w:type="dxa"/>
                    <w:left w:w="57" w:type="dxa"/>
                    <w:bottom w:w="0" w:type="dxa"/>
                    <w:right w:w="57" w:type="dxa"/>
                  </w:tcMar>
                  <w:vAlign w:val="center"/>
                </w:tcPr>
                <w:p w14:paraId="3FE8A527">
                  <w:pPr>
                    <w:pStyle w:val="20"/>
                    <w:bidi w:val="0"/>
                    <w:rPr>
                      <w:rFonts w:hint="eastAsia"/>
                      <w:color w:val="auto"/>
                      <w:highlight w:val="none"/>
                    </w:rPr>
                  </w:pPr>
                </w:p>
              </w:tc>
              <w:tc>
                <w:tcPr>
                  <w:tcW w:w="300" w:type="pct"/>
                  <w:vMerge w:val="continue"/>
                  <w:tcMar>
                    <w:top w:w="0" w:type="dxa"/>
                    <w:left w:w="57" w:type="dxa"/>
                    <w:bottom w:w="0" w:type="dxa"/>
                    <w:right w:w="57" w:type="dxa"/>
                  </w:tcMar>
                  <w:vAlign w:val="center"/>
                </w:tcPr>
                <w:p w14:paraId="0AF9ACA3">
                  <w:pPr>
                    <w:pStyle w:val="20"/>
                    <w:bidi w:val="0"/>
                    <w:rPr>
                      <w:rFonts w:hint="eastAsia"/>
                      <w:color w:val="auto"/>
                      <w:highlight w:val="none"/>
                    </w:rPr>
                  </w:pPr>
                </w:p>
              </w:tc>
              <w:tc>
                <w:tcPr>
                  <w:tcW w:w="372" w:type="pct"/>
                  <w:vMerge w:val="continue"/>
                  <w:tcMar>
                    <w:top w:w="0" w:type="dxa"/>
                    <w:left w:w="57" w:type="dxa"/>
                    <w:bottom w:w="0" w:type="dxa"/>
                    <w:right w:w="57" w:type="dxa"/>
                  </w:tcMar>
                  <w:vAlign w:val="center"/>
                </w:tcPr>
                <w:p w14:paraId="1836E66D">
                  <w:pPr>
                    <w:pStyle w:val="20"/>
                    <w:bidi w:val="0"/>
                    <w:rPr>
                      <w:rFonts w:hint="eastAsia"/>
                      <w:color w:val="auto"/>
                      <w:highlight w:val="none"/>
                    </w:rPr>
                  </w:pPr>
                </w:p>
              </w:tc>
              <w:tc>
                <w:tcPr>
                  <w:tcW w:w="277" w:type="pct"/>
                  <w:tcMar>
                    <w:top w:w="0" w:type="dxa"/>
                    <w:left w:w="57" w:type="dxa"/>
                    <w:bottom w:w="0" w:type="dxa"/>
                    <w:right w:w="57" w:type="dxa"/>
                  </w:tcMar>
                  <w:vAlign w:val="center"/>
                </w:tcPr>
                <w:p w14:paraId="54F3CE69">
                  <w:pPr>
                    <w:pStyle w:val="20"/>
                    <w:bidi w:val="0"/>
                    <w:rPr>
                      <w:rFonts w:hint="default"/>
                      <w:color w:val="auto"/>
                      <w:highlight w:val="none"/>
                      <w:lang w:val="en-US" w:eastAsia="zh-CN"/>
                    </w:rPr>
                  </w:pPr>
                  <w:r>
                    <w:rPr>
                      <w:rFonts w:hint="eastAsia"/>
                      <w:color w:val="auto"/>
                      <w:highlight w:val="none"/>
                      <w:lang w:val="en-US" w:eastAsia="zh-CN"/>
                    </w:rPr>
                    <w:t>0.1494</w:t>
                  </w:r>
                </w:p>
              </w:tc>
              <w:tc>
                <w:tcPr>
                  <w:tcW w:w="253" w:type="pct"/>
                  <w:tcMar>
                    <w:top w:w="0" w:type="dxa"/>
                    <w:left w:w="57" w:type="dxa"/>
                    <w:bottom w:w="0" w:type="dxa"/>
                    <w:right w:w="57" w:type="dxa"/>
                  </w:tcMar>
                  <w:vAlign w:val="center"/>
                </w:tcPr>
                <w:p w14:paraId="18C9FD30">
                  <w:pPr>
                    <w:pStyle w:val="20"/>
                    <w:bidi w:val="0"/>
                    <w:rPr>
                      <w:rFonts w:hint="default"/>
                      <w:color w:val="auto"/>
                      <w:highlight w:val="none"/>
                      <w:lang w:val="en-US" w:eastAsia="zh-CN"/>
                    </w:rPr>
                  </w:pPr>
                  <w:r>
                    <w:rPr>
                      <w:rFonts w:hint="eastAsia"/>
                      <w:color w:val="auto"/>
                      <w:highlight w:val="none"/>
                      <w:lang w:val="en-US" w:eastAsia="zh-CN"/>
                    </w:rPr>
                    <w:t>0.021</w:t>
                  </w:r>
                </w:p>
              </w:tc>
              <w:tc>
                <w:tcPr>
                  <w:tcW w:w="302" w:type="pct"/>
                  <w:tcMar>
                    <w:top w:w="0" w:type="dxa"/>
                    <w:left w:w="57" w:type="dxa"/>
                    <w:bottom w:w="0" w:type="dxa"/>
                    <w:right w:w="57" w:type="dxa"/>
                  </w:tcMar>
                  <w:vAlign w:val="center"/>
                </w:tcPr>
                <w:p w14:paraId="6B768420">
                  <w:pPr>
                    <w:pStyle w:val="20"/>
                    <w:bidi w:val="0"/>
                    <w:rPr>
                      <w:rFonts w:hint="default"/>
                      <w:color w:val="auto"/>
                      <w:highlight w:val="none"/>
                      <w:lang w:val="en-US" w:eastAsia="zh-CN"/>
                    </w:rPr>
                  </w:pPr>
                  <w:r>
                    <w:rPr>
                      <w:rFonts w:hint="eastAsia"/>
                      <w:color w:val="auto"/>
                      <w:highlight w:val="none"/>
                      <w:lang w:val="en-US" w:eastAsia="zh-CN"/>
                    </w:rPr>
                    <w:t>1.038</w:t>
                  </w:r>
                </w:p>
              </w:tc>
              <w:tc>
                <w:tcPr>
                  <w:tcW w:w="229" w:type="pct"/>
                  <w:vMerge w:val="continue"/>
                  <w:tcMar>
                    <w:top w:w="0" w:type="dxa"/>
                    <w:left w:w="57" w:type="dxa"/>
                    <w:bottom w:w="0" w:type="dxa"/>
                    <w:right w:w="57" w:type="dxa"/>
                  </w:tcMar>
                  <w:vAlign w:val="center"/>
                </w:tcPr>
                <w:p w14:paraId="163636D5">
                  <w:pPr>
                    <w:pStyle w:val="20"/>
                    <w:bidi w:val="0"/>
                    <w:rPr>
                      <w:rFonts w:hint="eastAsia"/>
                      <w:color w:val="auto"/>
                      <w:highlight w:val="none"/>
                      <w:lang w:val="en-US" w:eastAsia="zh-CN"/>
                    </w:rPr>
                  </w:pPr>
                </w:p>
              </w:tc>
            </w:tr>
            <w:tr w14:paraId="5ECAF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54" w:hRule="atLeast"/>
              </w:trPr>
              <w:tc>
                <w:tcPr>
                  <w:tcW w:w="321" w:type="pct"/>
                  <w:vMerge w:val="continue"/>
                  <w:tcMar>
                    <w:top w:w="0" w:type="dxa"/>
                    <w:left w:w="57" w:type="dxa"/>
                    <w:bottom w:w="0" w:type="dxa"/>
                    <w:right w:w="57" w:type="dxa"/>
                  </w:tcMar>
                  <w:vAlign w:val="center"/>
                </w:tcPr>
                <w:p w14:paraId="218210F4">
                  <w:pPr>
                    <w:pStyle w:val="20"/>
                    <w:bidi w:val="0"/>
                    <w:rPr>
                      <w:rFonts w:hint="eastAsia"/>
                      <w:color w:val="auto"/>
                      <w:highlight w:val="none"/>
                    </w:rPr>
                  </w:pPr>
                </w:p>
              </w:tc>
              <w:tc>
                <w:tcPr>
                  <w:tcW w:w="396" w:type="pct"/>
                  <w:vMerge w:val="continue"/>
                  <w:tcMar>
                    <w:top w:w="0" w:type="dxa"/>
                    <w:left w:w="57" w:type="dxa"/>
                    <w:bottom w:w="0" w:type="dxa"/>
                    <w:right w:w="57" w:type="dxa"/>
                  </w:tcMar>
                  <w:vAlign w:val="center"/>
                </w:tcPr>
                <w:p w14:paraId="5EC2245D">
                  <w:pPr>
                    <w:pStyle w:val="20"/>
                    <w:bidi w:val="0"/>
                    <w:rPr>
                      <w:rFonts w:hint="eastAsia"/>
                      <w:color w:val="auto"/>
                      <w:highlight w:val="none"/>
                      <w:lang w:val="en-US" w:eastAsia="zh-CN"/>
                    </w:rPr>
                  </w:pPr>
                </w:p>
              </w:tc>
              <w:tc>
                <w:tcPr>
                  <w:tcW w:w="598" w:type="pct"/>
                  <w:tcMar>
                    <w:top w:w="0" w:type="dxa"/>
                    <w:left w:w="57" w:type="dxa"/>
                    <w:bottom w:w="0" w:type="dxa"/>
                    <w:right w:w="57" w:type="dxa"/>
                  </w:tcMar>
                  <w:vAlign w:val="center"/>
                </w:tcPr>
                <w:p w14:paraId="3317EA57">
                  <w:pPr>
                    <w:pStyle w:val="20"/>
                    <w:bidi w:val="0"/>
                    <w:rPr>
                      <w:rFonts w:hint="eastAsia"/>
                      <w:color w:val="auto"/>
                      <w:highlight w:val="none"/>
                    </w:rPr>
                  </w:pPr>
                  <w:r>
                    <w:rPr>
                      <w:rFonts w:hint="eastAsia"/>
                      <w:color w:val="auto"/>
                      <w:highlight w:val="none"/>
                      <w:lang w:val="en-US" w:eastAsia="zh-CN"/>
                    </w:rPr>
                    <w:t>甲苯</w:t>
                  </w:r>
                </w:p>
              </w:tc>
              <w:tc>
                <w:tcPr>
                  <w:tcW w:w="248" w:type="pct"/>
                  <w:vMerge w:val="continue"/>
                  <w:tcMar>
                    <w:top w:w="0" w:type="dxa"/>
                    <w:left w:w="57" w:type="dxa"/>
                    <w:bottom w:w="0" w:type="dxa"/>
                    <w:right w:w="57" w:type="dxa"/>
                  </w:tcMar>
                  <w:vAlign w:val="center"/>
                </w:tcPr>
                <w:p w14:paraId="2A4D0267">
                  <w:pPr>
                    <w:pStyle w:val="20"/>
                    <w:bidi w:val="0"/>
                    <w:rPr>
                      <w:rFonts w:hint="eastAsia"/>
                      <w:color w:val="auto"/>
                      <w:highlight w:val="none"/>
                      <w:lang w:val="en-US" w:eastAsia="zh-CN"/>
                    </w:rPr>
                  </w:pPr>
                </w:p>
              </w:tc>
              <w:tc>
                <w:tcPr>
                  <w:tcW w:w="282" w:type="pct"/>
                  <w:tcMar>
                    <w:top w:w="0" w:type="dxa"/>
                    <w:left w:w="57" w:type="dxa"/>
                    <w:bottom w:w="0" w:type="dxa"/>
                    <w:right w:w="57" w:type="dxa"/>
                  </w:tcMar>
                  <w:vAlign w:val="center"/>
                </w:tcPr>
                <w:p w14:paraId="31EE2213">
                  <w:pPr>
                    <w:pStyle w:val="20"/>
                    <w:bidi w:val="0"/>
                    <w:rPr>
                      <w:rFonts w:hint="eastAsia"/>
                      <w:color w:val="auto"/>
                      <w:highlight w:val="none"/>
                      <w:lang w:val="en-US" w:eastAsia="zh-CN"/>
                    </w:rPr>
                  </w:pPr>
                  <w:r>
                    <w:rPr>
                      <w:rFonts w:hint="eastAsia"/>
                      <w:color w:val="auto"/>
                      <w:highlight w:val="none"/>
                      <w:lang w:val="en-US" w:eastAsia="zh-CN"/>
                    </w:rPr>
                    <w:t>0.013</w:t>
                  </w:r>
                </w:p>
              </w:tc>
              <w:tc>
                <w:tcPr>
                  <w:tcW w:w="279" w:type="pct"/>
                  <w:tcMar>
                    <w:top w:w="0" w:type="dxa"/>
                    <w:left w:w="57" w:type="dxa"/>
                    <w:bottom w:w="0" w:type="dxa"/>
                    <w:right w:w="57" w:type="dxa"/>
                  </w:tcMar>
                  <w:vAlign w:val="center"/>
                </w:tcPr>
                <w:p w14:paraId="6CEB5161">
                  <w:pPr>
                    <w:pStyle w:val="20"/>
                    <w:bidi w:val="0"/>
                    <w:rPr>
                      <w:rFonts w:hint="eastAsia"/>
                      <w:color w:val="auto"/>
                      <w:highlight w:val="none"/>
                      <w:lang w:val="en-US" w:eastAsia="zh-CN"/>
                    </w:rPr>
                  </w:pPr>
                  <w:r>
                    <w:rPr>
                      <w:rFonts w:hint="eastAsia"/>
                      <w:color w:val="auto"/>
                      <w:highlight w:val="none"/>
                      <w:lang w:val="en-US" w:eastAsia="zh-CN"/>
                    </w:rPr>
                    <w:t>0.0026</w:t>
                  </w:r>
                </w:p>
              </w:tc>
              <w:tc>
                <w:tcPr>
                  <w:tcW w:w="310" w:type="pct"/>
                  <w:tcMar>
                    <w:top w:w="0" w:type="dxa"/>
                    <w:left w:w="57" w:type="dxa"/>
                    <w:bottom w:w="0" w:type="dxa"/>
                    <w:right w:w="57" w:type="dxa"/>
                  </w:tcMar>
                  <w:vAlign w:val="center"/>
                </w:tcPr>
                <w:p w14:paraId="4BEA3209">
                  <w:pPr>
                    <w:pStyle w:val="20"/>
                    <w:bidi w:val="0"/>
                    <w:rPr>
                      <w:rFonts w:hint="default"/>
                      <w:color w:val="auto"/>
                      <w:highlight w:val="none"/>
                      <w:lang w:val="en-US" w:eastAsia="zh-CN"/>
                    </w:rPr>
                  </w:pPr>
                  <w:r>
                    <w:rPr>
                      <w:rFonts w:hint="eastAsia"/>
                      <w:color w:val="auto"/>
                      <w:highlight w:val="none"/>
                      <w:lang w:val="en-US" w:eastAsia="zh-CN"/>
                    </w:rPr>
                    <w:t>0.0104</w:t>
                  </w:r>
                </w:p>
              </w:tc>
              <w:tc>
                <w:tcPr>
                  <w:tcW w:w="286" w:type="pct"/>
                  <w:tcMar>
                    <w:top w:w="0" w:type="dxa"/>
                    <w:left w:w="57" w:type="dxa"/>
                    <w:bottom w:w="0" w:type="dxa"/>
                    <w:right w:w="57" w:type="dxa"/>
                  </w:tcMar>
                  <w:vAlign w:val="center"/>
                </w:tcPr>
                <w:p w14:paraId="388746B8">
                  <w:pPr>
                    <w:pStyle w:val="20"/>
                    <w:bidi w:val="0"/>
                    <w:rPr>
                      <w:rFonts w:hint="default"/>
                      <w:color w:val="auto"/>
                      <w:highlight w:val="none"/>
                      <w:lang w:val="en-US" w:eastAsia="zh-CN"/>
                    </w:rPr>
                  </w:pPr>
                  <w:r>
                    <w:rPr>
                      <w:rFonts w:hint="eastAsia"/>
                      <w:color w:val="auto"/>
                      <w:highlight w:val="none"/>
                      <w:lang w:val="en-US" w:eastAsia="zh-CN"/>
                    </w:rPr>
                    <w:t>0.001</w:t>
                  </w:r>
                </w:p>
              </w:tc>
              <w:tc>
                <w:tcPr>
                  <w:tcW w:w="309" w:type="pct"/>
                  <w:tcMar>
                    <w:top w:w="0" w:type="dxa"/>
                    <w:left w:w="57" w:type="dxa"/>
                    <w:bottom w:w="0" w:type="dxa"/>
                    <w:right w:w="57" w:type="dxa"/>
                  </w:tcMar>
                  <w:vAlign w:val="center"/>
                </w:tcPr>
                <w:p w14:paraId="67A74BDC">
                  <w:pPr>
                    <w:pStyle w:val="20"/>
                    <w:bidi w:val="0"/>
                    <w:rPr>
                      <w:rFonts w:hint="default"/>
                      <w:color w:val="auto"/>
                      <w:highlight w:val="none"/>
                      <w:lang w:val="en-US" w:eastAsia="zh-CN"/>
                    </w:rPr>
                  </w:pPr>
                  <w:r>
                    <w:rPr>
                      <w:rFonts w:hint="eastAsia"/>
                      <w:color w:val="auto"/>
                      <w:highlight w:val="none"/>
                      <w:lang w:val="en-US" w:eastAsia="zh-CN"/>
                    </w:rPr>
                    <w:t>0.072</w:t>
                  </w:r>
                </w:p>
              </w:tc>
              <w:tc>
                <w:tcPr>
                  <w:tcW w:w="233" w:type="pct"/>
                  <w:vMerge w:val="continue"/>
                  <w:tcMar>
                    <w:top w:w="0" w:type="dxa"/>
                    <w:left w:w="57" w:type="dxa"/>
                    <w:bottom w:w="0" w:type="dxa"/>
                    <w:right w:w="57" w:type="dxa"/>
                  </w:tcMar>
                  <w:vAlign w:val="center"/>
                </w:tcPr>
                <w:p w14:paraId="1EA5CA60">
                  <w:pPr>
                    <w:pStyle w:val="20"/>
                    <w:bidi w:val="0"/>
                    <w:rPr>
                      <w:rFonts w:hint="eastAsia"/>
                      <w:color w:val="auto"/>
                      <w:highlight w:val="none"/>
                    </w:rPr>
                  </w:pPr>
                </w:p>
              </w:tc>
              <w:tc>
                <w:tcPr>
                  <w:tcW w:w="300" w:type="pct"/>
                  <w:vMerge w:val="continue"/>
                  <w:tcMar>
                    <w:top w:w="0" w:type="dxa"/>
                    <w:left w:w="57" w:type="dxa"/>
                    <w:bottom w:w="0" w:type="dxa"/>
                    <w:right w:w="57" w:type="dxa"/>
                  </w:tcMar>
                  <w:vAlign w:val="center"/>
                </w:tcPr>
                <w:p w14:paraId="3C658E23">
                  <w:pPr>
                    <w:pStyle w:val="20"/>
                    <w:bidi w:val="0"/>
                    <w:rPr>
                      <w:rFonts w:hint="eastAsia"/>
                      <w:color w:val="auto"/>
                      <w:highlight w:val="none"/>
                    </w:rPr>
                  </w:pPr>
                </w:p>
              </w:tc>
              <w:tc>
                <w:tcPr>
                  <w:tcW w:w="372" w:type="pct"/>
                  <w:vMerge w:val="continue"/>
                  <w:tcMar>
                    <w:top w:w="0" w:type="dxa"/>
                    <w:left w:w="57" w:type="dxa"/>
                    <w:bottom w:w="0" w:type="dxa"/>
                    <w:right w:w="57" w:type="dxa"/>
                  </w:tcMar>
                  <w:vAlign w:val="center"/>
                </w:tcPr>
                <w:p w14:paraId="1134B7E6">
                  <w:pPr>
                    <w:pStyle w:val="20"/>
                    <w:bidi w:val="0"/>
                    <w:rPr>
                      <w:rFonts w:hint="eastAsia"/>
                      <w:color w:val="auto"/>
                      <w:highlight w:val="none"/>
                    </w:rPr>
                  </w:pPr>
                </w:p>
              </w:tc>
              <w:tc>
                <w:tcPr>
                  <w:tcW w:w="277" w:type="pct"/>
                  <w:tcMar>
                    <w:top w:w="0" w:type="dxa"/>
                    <w:left w:w="57" w:type="dxa"/>
                    <w:bottom w:w="0" w:type="dxa"/>
                    <w:right w:w="57" w:type="dxa"/>
                  </w:tcMar>
                  <w:vAlign w:val="center"/>
                </w:tcPr>
                <w:p w14:paraId="2292656F">
                  <w:pPr>
                    <w:pStyle w:val="20"/>
                    <w:bidi w:val="0"/>
                    <w:rPr>
                      <w:rFonts w:hint="default"/>
                      <w:color w:val="auto"/>
                      <w:highlight w:val="none"/>
                      <w:lang w:val="en-US" w:eastAsia="zh-CN"/>
                    </w:rPr>
                  </w:pPr>
                  <w:r>
                    <w:rPr>
                      <w:rFonts w:hint="eastAsia"/>
                      <w:color w:val="auto"/>
                      <w:highlight w:val="none"/>
                      <w:lang w:val="en-US" w:eastAsia="zh-CN"/>
                    </w:rPr>
                    <w:t>0.0042</w:t>
                  </w:r>
                </w:p>
              </w:tc>
              <w:tc>
                <w:tcPr>
                  <w:tcW w:w="253" w:type="pct"/>
                  <w:tcMar>
                    <w:top w:w="0" w:type="dxa"/>
                    <w:left w:w="57" w:type="dxa"/>
                    <w:bottom w:w="0" w:type="dxa"/>
                    <w:right w:w="57" w:type="dxa"/>
                  </w:tcMar>
                  <w:vAlign w:val="center"/>
                </w:tcPr>
                <w:p w14:paraId="5F80AE6E">
                  <w:pPr>
                    <w:pStyle w:val="20"/>
                    <w:bidi w:val="0"/>
                    <w:rPr>
                      <w:rFonts w:hint="default"/>
                      <w:color w:val="auto"/>
                      <w:highlight w:val="none"/>
                      <w:lang w:val="en-US" w:eastAsia="zh-CN"/>
                    </w:rPr>
                  </w:pPr>
                  <w:r>
                    <w:rPr>
                      <w:rFonts w:hint="eastAsia"/>
                      <w:color w:val="auto"/>
                      <w:highlight w:val="none"/>
                      <w:lang w:val="en-US" w:eastAsia="zh-CN"/>
                    </w:rPr>
                    <w:t>0.001</w:t>
                  </w:r>
                </w:p>
              </w:tc>
              <w:tc>
                <w:tcPr>
                  <w:tcW w:w="302" w:type="pct"/>
                  <w:tcMar>
                    <w:top w:w="0" w:type="dxa"/>
                    <w:left w:w="57" w:type="dxa"/>
                    <w:bottom w:w="0" w:type="dxa"/>
                    <w:right w:w="57" w:type="dxa"/>
                  </w:tcMar>
                  <w:vAlign w:val="center"/>
                </w:tcPr>
                <w:p w14:paraId="6269A377">
                  <w:pPr>
                    <w:pStyle w:val="20"/>
                    <w:bidi w:val="0"/>
                    <w:rPr>
                      <w:rFonts w:hint="default"/>
                      <w:color w:val="auto"/>
                      <w:highlight w:val="none"/>
                      <w:lang w:val="en-US" w:eastAsia="zh-CN"/>
                    </w:rPr>
                  </w:pPr>
                  <w:r>
                    <w:rPr>
                      <w:rFonts w:hint="eastAsia"/>
                      <w:color w:val="auto"/>
                      <w:highlight w:val="none"/>
                      <w:lang w:val="en-US" w:eastAsia="zh-CN"/>
                    </w:rPr>
                    <w:t>0.029</w:t>
                  </w:r>
                </w:p>
              </w:tc>
              <w:tc>
                <w:tcPr>
                  <w:tcW w:w="229" w:type="pct"/>
                  <w:vMerge w:val="continue"/>
                  <w:tcMar>
                    <w:top w:w="0" w:type="dxa"/>
                    <w:left w:w="57" w:type="dxa"/>
                    <w:bottom w:w="0" w:type="dxa"/>
                    <w:right w:w="57" w:type="dxa"/>
                  </w:tcMar>
                  <w:vAlign w:val="center"/>
                </w:tcPr>
                <w:p w14:paraId="07AA717A">
                  <w:pPr>
                    <w:pStyle w:val="20"/>
                    <w:bidi w:val="0"/>
                    <w:rPr>
                      <w:rFonts w:hint="eastAsia"/>
                      <w:color w:val="auto"/>
                      <w:highlight w:val="none"/>
                      <w:lang w:val="en-US" w:eastAsia="zh-CN"/>
                    </w:rPr>
                  </w:pPr>
                </w:p>
              </w:tc>
            </w:tr>
            <w:tr w14:paraId="5EA27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54" w:hRule="atLeast"/>
              </w:trPr>
              <w:tc>
                <w:tcPr>
                  <w:tcW w:w="321" w:type="pct"/>
                  <w:vMerge w:val="continue"/>
                  <w:tcMar>
                    <w:top w:w="0" w:type="dxa"/>
                    <w:left w:w="57" w:type="dxa"/>
                    <w:bottom w:w="0" w:type="dxa"/>
                    <w:right w:w="57" w:type="dxa"/>
                  </w:tcMar>
                  <w:vAlign w:val="center"/>
                </w:tcPr>
                <w:p w14:paraId="32DEC162">
                  <w:pPr>
                    <w:pStyle w:val="20"/>
                    <w:bidi w:val="0"/>
                    <w:rPr>
                      <w:rFonts w:hint="eastAsia"/>
                      <w:color w:val="auto"/>
                      <w:highlight w:val="none"/>
                    </w:rPr>
                  </w:pPr>
                </w:p>
              </w:tc>
              <w:tc>
                <w:tcPr>
                  <w:tcW w:w="396" w:type="pct"/>
                  <w:vMerge w:val="continue"/>
                  <w:tcMar>
                    <w:top w:w="0" w:type="dxa"/>
                    <w:left w:w="57" w:type="dxa"/>
                    <w:bottom w:w="0" w:type="dxa"/>
                    <w:right w:w="57" w:type="dxa"/>
                  </w:tcMar>
                  <w:vAlign w:val="center"/>
                </w:tcPr>
                <w:p w14:paraId="70C2CB7C">
                  <w:pPr>
                    <w:pStyle w:val="20"/>
                    <w:bidi w:val="0"/>
                    <w:rPr>
                      <w:rFonts w:hint="eastAsia"/>
                      <w:color w:val="auto"/>
                      <w:highlight w:val="none"/>
                      <w:lang w:val="en-US" w:eastAsia="zh-CN"/>
                    </w:rPr>
                  </w:pPr>
                </w:p>
              </w:tc>
              <w:tc>
                <w:tcPr>
                  <w:tcW w:w="598" w:type="pct"/>
                  <w:tcMar>
                    <w:top w:w="0" w:type="dxa"/>
                    <w:left w:w="57" w:type="dxa"/>
                    <w:bottom w:w="0" w:type="dxa"/>
                    <w:right w:w="57" w:type="dxa"/>
                  </w:tcMar>
                  <w:vAlign w:val="center"/>
                </w:tcPr>
                <w:p w14:paraId="065C4472">
                  <w:pPr>
                    <w:pStyle w:val="20"/>
                    <w:bidi w:val="0"/>
                    <w:rPr>
                      <w:rFonts w:hint="eastAsia"/>
                      <w:color w:val="auto"/>
                      <w:highlight w:val="none"/>
                    </w:rPr>
                  </w:pPr>
                  <w:r>
                    <w:rPr>
                      <w:rFonts w:hint="eastAsia"/>
                      <w:color w:val="auto"/>
                      <w:highlight w:val="none"/>
                      <w:lang w:val="en-US" w:eastAsia="zh-CN"/>
                    </w:rPr>
                    <w:t>乙苯</w:t>
                  </w:r>
                </w:p>
              </w:tc>
              <w:tc>
                <w:tcPr>
                  <w:tcW w:w="248" w:type="pct"/>
                  <w:vMerge w:val="continue"/>
                  <w:tcMar>
                    <w:top w:w="0" w:type="dxa"/>
                    <w:left w:w="57" w:type="dxa"/>
                    <w:bottom w:w="0" w:type="dxa"/>
                    <w:right w:w="57" w:type="dxa"/>
                  </w:tcMar>
                  <w:vAlign w:val="center"/>
                </w:tcPr>
                <w:p w14:paraId="0BE787B6">
                  <w:pPr>
                    <w:pStyle w:val="20"/>
                    <w:bidi w:val="0"/>
                    <w:rPr>
                      <w:rFonts w:hint="eastAsia"/>
                      <w:color w:val="auto"/>
                      <w:highlight w:val="none"/>
                      <w:lang w:val="en-US" w:eastAsia="zh-CN"/>
                    </w:rPr>
                  </w:pPr>
                </w:p>
              </w:tc>
              <w:tc>
                <w:tcPr>
                  <w:tcW w:w="282" w:type="pct"/>
                  <w:tcMar>
                    <w:top w:w="0" w:type="dxa"/>
                    <w:left w:w="57" w:type="dxa"/>
                    <w:bottom w:w="0" w:type="dxa"/>
                    <w:right w:w="57" w:type="dxa"/>
                  </w:tcMar>
                  <w:vAlign w:val="center"/>
                </w:tcPr>
                <w:p w14:paraId="6D3ABEB5">
                  <w:pPr>
                    <w:pStyle w:val="20"/>
                    <w:bidi w:val="0"/>
                    <w:rPr>
                      <w:rFonts w:hint="eastAsia"/>
                      <w:color w:val="auto"/>
                      <w:highlight w:val="none"/>
                      <w:lang w:val="en-US" w:eastAsia="zh-CN"/>
                    </w:rPr>
                  </w:pPr>
                  <w:r>
                    <w:rPr>
                      <w:rFonts w:hint="eastAsia"/>
                      <w:color w:val="auto"/>
                      <w:highlight w:val="none"/>
                      <w:lang w:val="en-US" w:eastAsia="zh-CN"/>
                    </w:rPr>
                    <w:t>0.055</w:t>
                  </w:r>
                </w:p>
              </w:tc>
              <w:tc>
                <w:tcPr>
                  <w:tcW w:w="279" w:type="pct"/>
                  <w:tcMar>
                    <w:top w:w="0" w:type="dxa"/>
                    <w:left w:w="57" w:type="dxa"/>
                    <w:bottom w:w="0" w:type="dxa"/>
                    <w:right w:w="57" w:type="dxa"/>
                  </w:tcMar>
                  <w:vAlign w:val="center"/>
                </w:tcPr>
                <w:p w14:paraId="4DA97C9B">
                  <w:pPr>
                    <w:pStyle w:val="20"/>
                    <w:bidi w:val="0"/>
                    <w:rPr>
                      <w:rFonts w:hint="eastAsia"/>
                      <w:color w:val="auto"/>
                      <w:highlight w:val="none"/>
                      <w:lang w:val="en-US" w:eastAsia="zh-CN"/>
                    </w:rPr>
                  </w:pPr>
                  <w:r>
                    <w:rPr>
                      <w:rFonts w:hint="eastAsia"/>
                      <w:color w:val="auto"/>
                      <w:highlight w:val="none"/>
                      <w:lang w:val="en-US" w:eastAsia="zh-CN"/>
                    </w:rPr>
                    <w:t>0.0110</w:t>
                  </w:r>
                </w:p>
              </w:tc>
              <w:tc>
                <w:tcPr>
                  <w:tcW w:w="310" w:type="pct"/>
                  <w:tcMar>
                    <w:top w:w="0" w:type="dxa"/>
                    <w:left w:w="57" w:type="dxa"/>
                    <w:bottom w:w="0" w:type="dxa"/>
                    <w:right w:w="57" w:type="dxa"/>
                  </w:tcMar>
                  <w:vAlign w:val="center"/>
                </w:tcPr>
                <w:p w14:paraId="0A24DF73">
                  <w:pPr>
                    <w:pStyle w:val="20"/>
                    <w:bidi w:val="0"/>
                    <w:rPr>
                      <w:rFonts w:hint="default"/>
                      <w:color w:val="auto"/>
                      <w:highlight w:val="none"/>
                      <w:lang w:val="en-US" w:eastAsia="zh-CN"/>
                    </w:rPr>
                  </w:pPr>
                  <w:r>
                    <w:rPr>
                      <w:rFonts w:hint="eastAsia"/>
                      <w:color w:val="auto"/>
                      <w:highlight w:val="none"/>
                      <w:lang w:val="en-US" w:eastAsia="zh-CN"/>
                    </w:rPr>
                    <w:t>0.0440</w:t>
                  </w:r>
                </w:p>
              </w:tc>
              <w:tc>
                <w:tcPr>
                  <w:tcW w:w="286" w:type="pct"/>
                  <w:tcMar>
                    <w:top w:w="0" w:type="dxa"/>
                    <w:left w:w="57" w:type="dxa"/>
                    <w:bottom w:w="0" w:type="dxa"/>
                    <w:right w:w="57" w:type="dxa"/>
                  </w:tcMar>
                  <w:vAlign w:val="center"/>
                </w:tcPr>
                <w:p w14:paraId="09AC46B9">
                  <w:pPr>
                    <w:pStyle w:val="20"/>
                    <w:bidi w:val="0"/>
                    <w:rPr>
                      <w:rFonts w:hint="default"/>
                      <w:color w:val="auto"/>
                      <w:highlight w:val="none"/>
                      <w:lang w:val="en-US" w:eastAsia="zh-CN"/>
                    </w:rPr>
                  </w:pPr>
                  <w:r>
                    <w:rPr>
                      <w:rFonts w:hint="eastAsia"/>
                      <w:color w:val="auto"/>
                      <w:highlight w:val="none"/>
                      <w:lang w:val="en-US" w:eastAsia="zh-CN"/>
                    </w:rPr>
                    <w:t>0.006</w:t>
                  </w:r>
                </w:p>
              </w:tc>
              <w:tc>
                <w:tcPr>
                  <w:tcW w:w="309" w:type="pct"/>
                  <w:tcMar>
                    <w:top w:w="0" w:type="dxa"/>
                    <w:left w:w="57" w:type="dxa"/>
                    <w:bottom w:w="0" w:type="dxa"/>
                    <w:right w:w="57" w:type="dxa"/>
                  </w:tcMar>
                  <w:vAlign w:val="center"/>
                </w:tcPr>
                <w:p w14:paraId="12BC1C93">
                  <w:pPr>
                    <w:pStyle w:val="20"/>
                    <w:bidi w:val="0"/>
                    <w:rPr>
                      <w:rFonts w:hint="default"/>
                      <w:color w:val="auto"/>
                      <w:highlight w:val="none"/>
                      <w:lang w:val="en-US" w:eastAsia="zh-CN"/>
                    </w:rPr>
                  </w:pPr>
                  <w:r>
                    <w:rPr>
                      <w:rFonts w:hint="eastAsia"/>
                      <w:color w:val="auto"/>
                      <w:highlight w:val="none"/>
                      <w:lang w:val="en-US" w:eastAsia="zh-CN"/>
                    </w:rPr>
                    <w:t>0.306</w:t>
                  </w:r>
                </w:p>
              </w:tc>
              <w:tc>
                <w:tcPr>
                  <w:tcW w:w="233" w:type="pct"/>
                  <w:vMerge w:val="continue"/>
                  <w:tcMar>
                    <w:top w:w="0" w:type="dxa"/>
                    <w:left w:w="57" w:type="dxa"/>
                    <w:bottom w:w="0" w:type="dxa"/>
                    <w:right w:w="57" w:type="dxa"/>
                  </w:tcMar>
                  <w:vAlign w:val="center"/>
                </w:tcPr>
                <w:p w14:paraId="014DBFEE">
                  <w:pPr>
                    <w:pStyle w:val="20"/>
                    <w:bidi w:val="0"/>
                    <w:rPr>
                      <w:rFonts w:hint="eastAsia"/>
                      <w:color w:val="auto"/>
                      <w:highlight w:val="none"/>
                    </w:rPr>
                  </w:pPr>
                </w:p>
              </w:tc>
              <w:tc>
                <w:tcPr>
                  <w:tcW w:w="300" w:type="pct"/>
                  <w:vMerge w:val="continue"/>
                  <w:tcMar>
                    <w:top w:w="0" w:type="dxa"/>
                    <w:left w:w="57" w:type="dxa"/>
                    <w:bottom w:w="0" w:type="dxa"/>
                    <w:right w:w="57" w:type="dxa"/>
                  </w:tcMar>
                  <w:vAlign w:val="center"/>
                </w:tcPr>
                <w:p w14:paraId="0389AF8E">
                  <w:pPr>
                    <w:pStyle w:val="20"/>
                    <w:bidi w:val="0"/>
                    <w:rPr>
                      <w:rFonts w:hint="eastAsia"/>
                      <w:color w:val="auto"/>
                      <w:highlight w:val="none"/>
                    </w:rPr>
                  </w:pPr>
                </w:p>
              </w:tc>
              <w:tc>
                <w:tcPr>
                  <w:tcW w:w="372" w:type="pct"/>
                  <w:vMerge w:val="continue"/>
                  <w:tcMar>
                    <w:top w:w="0" w:type="dxa"/>
                    <w:left w:w="57" w:type="dxa"/>
                    <w:bottom w:w="0" w:type="dxa"/>
                    <w:right w:w="57" w:type="dxa"/>
                  </w:tcMar>
                  <w:vAlign w:val="center"/>
                </w:tcPr>
                <w:p w14:paraId="71F319E8">
                  <w:pPr>
                    <w:pStyle w:val="20"/>
                    <w:bidi w:val="0"/>
                    <w:rPr>
                      <w:rFonts w:hint="eastAsia"/>
                      <w:color w:val="auto"/>
                      <w:highlight w:val="none"/>
                    </w:rPr>
                  </w:pPr>
                </w:p>
              </w:tc>
              <w:tc>
                <w:tcPr>
                  <w:tcW w:w="277" w:type="pct"/>
                  <w:tcMar>
                    <w:top w:w="0" w:type="dxa"/>
                    <w:left w:w="57" w:type="dxa"/>
                    <w:bottom w:w="0" w:type="dxa"/>
                    <w:right w:w="57" w:type="dxa"/>
                  </w:tcMar>
                  <w:vAlign w:val="center"/>
                </w:tcPr>
                <w:p w14:paraId="5E649B6B">
                  <w:pPr>
                    <w:pStyle w:val="20"/>
                    <w:bidi w:val="0"/>
                    <w:rPr>
                      <w:rFonts w:hint="default"/>
                      <w:color w:val="auto"/>
                      <w:highlight w:val="none"/>
                      <w:lang w:val="en-US" w:eastAsia="zh-CN"/>
                    </w:rPr>
                  </w:pPr>
                  <w:r>
                    <w:rPr>
                      <w:rFonts w:hint="eastAsia"/>
                      <w:color w:val="auto"/>
                      <w:highlight w:val="none"/>
                      <w:lang w:val="en-US" w:eastAsia="zh-CN"/>
                    </w:rPr>
                    <w:t>0.0176</w:t>
                  </w:r>
                </w:p>
              </w:tc>
              <w:tc>
                <w:tcPr>
                  <w:tcW w:w="253" w:type="pct"/>
                  <w:tcMar>
                    <w:top w:w="0" w:type="dxa"/>
                    <w:left w:w="57" w:type="dxa"/>
                    <w:bottom w:w="0" w:type="dxa"/>
                    <w:right w:w="57" w:type="dxa"/>
                  </w:tcMar>
                  <w:vAlign w:val="center"/>
                </w:tcPr>
                <w:p w14:paraId="7F4B03A0">
                  <w:pPr>
                    <w:pStyle w:val="20"/>
                    <w:bidi w:val="0"/>
                    <w:rPr>
                      <w:rFonts w:hint="default"/>
                      <w:color w:val="auto"/>
                      <w:highlight w:val="none"/>
                      <w:lang w:val="en-US" w:eastAsia="zh-CN"/>
                    </w:rPr>
                  </w:pPr>
                  <w:r>
                    <w:rPr>
                      <w:rFonts w:hint="eastAsia"/>
                      <w:color w:val="auto"/>
                      <w:highlight w:val="none"/>
                      <w:lang w:val="en-US" w:eastAsia="zh-CN"/>
                    </w:rPr>
                    <w:t>0.002</w:t>
                  </w:r>
                </w:p>
              </w:tc>
              <w:tc>
                <w:tcPr>
                  <w:tcW w:w="302" w:type="pct"/>
                  <w:tcMar>
                    <w:top w:w="0" w:type="dxa"/>
                    <w:left w:w="57" w:type="dxa"/>
                    <w:bottom w:w="0" w:type="dxa"/>
                    <w:right w:w="57" w:type="dxa"/>
                  </w:tcMar>
                  <w:vAlign w:val="center"/>
                </w:tcPr>
                <w:p w14:paraId="1A29B96E">
                  <w:pPr>
                    <w:pStyle w:val="20"/>
                    <w:bidi w:val="0"/>
                    <w:rPr>
                      <w:rFonts w:hint="default"/>
                      <w:color w:val="auto"/>
                      <w:highlight w:val="none"/>
                      <w:lang w:val="en-US" w:eastAsia="zh-CN"/>
                    </w:rPr>
                  </w:pPr>
                  <w:r>
                    <w:rPr>
                      <w:rFonts w:hint="eastAsia"/>
                      <w:color w:val="auto"/>
                      <w:highlight w:val="none"/>
                      <w:lang w:val="en-US" w:eastAsia="zh-CN"/>
                    </w:rPr>
                    <w:t>0.122</w:t>
                  </w:r>
                </w:p>
              </w:tc>
              <w:tc>
                <w:tcPr>
                  <w:tcW w:w="229" w:type="pct"/>
                  <w:vMerge w:val="continue"/>
                  <w:tcMar>
                    <w:top w:w="0" w:type="dxa"/>
                    <w:left w:w="57" w:type="dxa"/>
                    <w:bottom w:w="0" w:type="dxa"/>
                    <w:right w:w="57" w:type="dxa"/>
                  </w:tcMar>
                  <w:vAlign w:val="center"/>
                </w:tcPr>
                <w:p w14:paraId="0E61E586">
                  <w:pPr>
                    <w:pStyle w:val="20"/>
                    <w:bidi w:val="0"/>
                    <w:rPr>
                      <w:rFonts w:hint="eastAsia"/>
                      <w:color w:val="auto"/>
                      <w:highlight w:val="none"/>
                      <w:lang w:val="en-US" w:eastAsia="zh-CN"/>
                    </w:rPr>
                  </w:pPr>
                </w:p>
              </w:tc>
            </w:tr>
            <w:tr w14:paraId="20BF6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54" w:hRule="atLeast"/>
              </w:trPr>
              <w:tc>
                <w:tcPr>
                  <w:tcW w:w="321" w:type="pct"/>
                  <w:vMerge w:val="continue"/>
                  <w:tcMar>
                    <w:top w:w="0" w:type="dxa"/>
                    <w:left w:w="57" w:type="dxa"/>
                    <w:bottom w:w="0" w:type="dxa"/>
                    <w:right w:w="57" w:type="dxa"/>
                  </w:tcMar>
                  <w:vAlign w:val="center"/>
                </w:tcPr>
                <w:p w14:paraId="43AB1540">
                  <w:pPr>
                    <w:pStyle w:val="20"/>
                    <w:bidi w:val="0"/>
                    <w:rPr>
                      <w:rFonts w:hint="eastAsia"/>
                      <w:color w:val="auto"/>
                      <w:highlight w:val="none"/>
                    </w:rPr>
                  </w:pPr>
                </w:p>
              </w:tc>
              <w:tc>
                <w:tcPr>
                  <w:tcW w:w="396" w:type="pct"/>
                  <w:vMerge w:val="continue"/>
                  <w:tcMar>
                    <w:top w:w="0" w:type="dxa"/>
                    <w:left w:w="57" w:type="dxa"/>
                    <w:bottom w:w="0" w:type="dxa"/>
                    <w:right w:w="57" w:type="dxa"/>
                  </w:tcMar>
                  <w:vAlign w:val="center"/>
                </w:tcPr>
                <w:p w14:paraId="65679ACB">
                  <w:pPr>
                    <w:pStyle w:val="20"/>
                    <w:bidi w:val="0"/>
                    <w:rPr>
                      <w:rFonts w:hint="eastAsia"/>
                      <w:color w:val="auto"/>
                      <w:highlight w:val="none"/>
                      <w:lang w:val="en-US" w:eastAsia="zh-CN"/>
                    </w:rPr>
                  </w:pPr>
                </w:p>
              </w:tc>
              <w:tc>
                <w:tcPr>
                  <w:tcW w:w="598" w:type="pct"/>
                  <w:tcMar>
                    <w:top w:w="0" w:type="dxa"/>
                    <w:left w:w="57" w:type="dxa"/>
                    <w:bottom w:w="0" w:type="dxa"/>
                    <w:right w:w="57" w:type="dxa"/>
                  </w:tcMar>
                  <w:vAlign w:val="center"/>
                </w:tcPr>
                <w:p w14:paraId="28FB964D">
                  <w:pPr>
                    <w:pStyle w:val="20"/>
                    <w:bidi w:val="0"/>
                    <w:rPr>
                      <w:rFonts w:hint="eastAsia"/>
                      <w:color w:val="auto"/>
                      <w:highlight w:val="none"/>
                    </w:rPr>
                  </w:pPr>
                  <w:r>
                    <w:rPr>
                      <w:rFonts w:hint="eastAsia"/>
                      <w:color w:val="auto"/>
                      <w:highlight w:val="none"/>
                      <w:lang w:val="en-US" w:eastAsia="zh-CN"/>
                    </w:rPr>
                    <w:t>甲基丙烯酸甲酯</w:t>
                  </w:r>
                </w:p>
              </w:tc>
              <w:tc>
                <w:tcPr>
                  <w:tcW w:w="248" w:type="pct"/>
                  <w:vMerge w:val="continue"/>
                  <w:tcMar>
                    <w:top w:w="0" w:type="dxa"/>
                    <w:left w:w="57" w:type="dxa"/>
                    <w:bottom w:w="0" w:type="dxa"/>
                    <w:right w:w="57" w:type="dxa"/>
                  </w:tcMar>
                  <w:vAlign w:val="center"/>
                </w:tcPr>
                <w:p w14:paraId="658D9235">
                  <w:pPr>
                    <w:pStyle w:val="20"/>
                    <w:bidi w:val="0"/>
                    <w:rPr>
                      <w:rFonts w:hint="eastAsia"/>
                      <w:color w:val="auto"/>
                      <w:highlight w:val="none"/>
                      <w:lang w:val="en-US" w:eastAsia="zh-CN"/>
                    </w:rPr>
                  </w:pPr>
                </w:p>
              </w:tc>
              <w:tc>
                <w:tcPr>
                  <w:tcW w:w="282" w:type="pct"/>
                  <w:tcMar>
                    <w:top w:w="0" w:type="dxa"/>
                    <w:left w:w="57" w:type="dxa"/>
                    <w:bottom w:w="0" w:type="dxa"/>
                    <w:right w:w="57" w:type="dxa"/>
                  </w:tcMar>
                  <w:vAlign w:val="center"/>
                </w:tcPr>
                <w:p w14:paraId="212EDC42">
                  <w:pPr>
                    <w:pStyle w:val="20"/>
                    <w:bidi w:val="0"/>
                    <w:rPr>
                      <w:rFonts w:hint="eastAsia"/>
                      <w:color w:val="auto"/>
                      <w:highlight w:val="none"/>
                      <w:lang w:val="en-US" w:eastAsia="zh-CN"/>
                    </w:rPr>
                  </w:pPr>
                  <w:r>
                    <w:rPr>
                      <w:rFonts w:hint="default"/>
                      <w:color w:val="auto"/>
                      <w:highlight w:val="none"/>
                      <w:lang w:val="en-US" w:eastAsia="zh-CN"/>
                    </w:rPr>
                    <w:t>0.226</w:t>
                  </w:r>
                </w:p>
              </w:tc>
              <w:tc>
                <w:tcPr>
                  <w:tcW w:w="279" w:type="pct"/>
                  <w:tcMar>
                    <w:top w:w="0" w:type="dxa"/>
                    <w:left w:w="57" w:type="dxa"/>
                    <w:bottom w:w="0" w:type="dxa"/>
                    <w:right w:w="57" w:type="dxa"/>
                  </w:tcMar>
                  <w:vAlign w:val="center"/>
                </w:tcPr>
                <w:p w14:paraId="11C78140">
                  <w:pPr>
                    <w:pStyle w:val="20"/>
                    <w:bidi w:val="0"/>
                    <w:rPr>
                      <w:rFonts w:hint="eastAsia"/>
                      <w:color w:val="auto"/>
                      <w:highlight w:val="none"/>
                      <w:lang w:val="en-US" w:eastAsia="zh-CN"/>
                    </w:rPr>
                  </w:pPr>
                  <w:r>
                    <w:rPr>
                      <w:rFonts w:hint="eastAsia"/>
                      <w:color w:val="auto"/>
                      <w:highlight w:val="none"/>
                      <w:lang w:val="en-US" w:eastAsia="zh-CN"/>
                    </w:rPr>
                    <w:t>0.0452</w:t>
                  </w:r>
                </w:p>
              </w:tc>
              <w:tc>
                <w:tcPr>
                  <w:tcW w:w="310" w:type="pct"/>
                  <w:tcMar>
                    <w:top w:w="0" w:type="dxa"/>
                    <w:left w:w="57" w:type="dxa"/>
                    <w:bottom w:w="0" w:type="dxa"/>
                    <w:right w:w="57" w:type="dxa"/>
                  </w:tcMar>
                  <w:vAlign w:val="center"/>
                </w:tcPr>
                <w:p w14:paraId="7FC5952A">
                  <w:pPr>
                    <w:pStyle w:val="20"/>
                    <w:bidi w:val="0"/>
                    <w:rPr>
                      <w:rFonts w:hint="default"/>
                      <w:color w:val="auto"/>
                      <w:highlight w:val="none"/>
                      <w:lang w:val="en-US" w:eastAsia="zh-CN"/>
                    </w:rPr>
                  </w:pPr>
                  <w:r>
                    <w:rPr>
                      <w:rFonts w:hint="eastAsia"/>
                      <w:color w:val="auto"/>
                      <w:highlight w:val="none"/>
                      <w:lang w:val="en-US" w:eastAsia="zh-CN"/>
                    </w:rPr>
                    <w:t>0.1808</w:t>
                  </w:r>
                </w:p>
              </w:tc>
              <w:tc>
                <w:tcPr>
                  <w:tcW w:w="286" w:type="pct"/>
                  <w:tcMar>
                    <w:top w:w="0" w:type="dxa"/>
                    <w:left w:w="57" w:type="dxa"/>
                    <w:bottom w:w="0" w:type="dxa"/>
                    <w:right w:w="57" w:type="dxa"/>
                  </w:tcMar>
                  <w:vAlign w:val="center"/>
                </w:tcPr>
                <w:p w14:paraId="4836DA88">
                  <w:pPr>
                    <w:pStyle w:val="20"/>
                    <w:bidi w:val="0"/>
                    <w:rPr>
                      <w:rFonts w:hint="default"/>
                      <w:color w:val="auto"/>
                      <w:highlight w:val="none"/>
                      <w:lang w:val="en-US" w:eastAsia="zh-CN"/>
                    </w:rPr>
                  </w:pPr>
                  <w:r>
                    <w:rPr>
                      <w:rFonts w:hint="eastAsia"/>
                      <w:color w:val="auto"/>
                      <w:highlight w:val="none"/>
                      <w:lang w:val="en-US" w:eastAsia="zh-CN"/>
                    </w:rPr>
                    <w:t>0.025</w:t>
                  </w:r>
                </w:p>
              </w:tc>
              <w:tc>
                <w:tcPr>
                  <w:tcW w:w="309" w:type="pct"/>
                  <w:tcMar>
                    <w:top w:w="0" w:type="dxa"/>
                    <w:left w:w="57" w:type="dxa"/>
                    <w:bottom w:w="0" w:type="dxa"/>
                    <w:right w:w="57" w:type="dxa"/>
                  </w:tcMar>
                  <w:vAlign w:val="center"/>
                </w:tcPr>
                <w:p w14:paraId="362C9002">
                  <w:pPr>
                    <w:pStyle w:val="20"/>
                    <w:bidi w:val="0"/>
                    <w:rPr>
                      <w:rFonts w:hint="default"/>
                      <w:color w:val="auto"/>
                      <w:highlight w:val="none"/>
                      <w:lang w:val="en-US" w:eastAsia="zh-CN"/>
                    </w:rPr>
                  </w:pPr>
                  <w:r>
                    <w:rPr>
                      <w:rFonts w:hint="eastAsia"/>
                      <w:color w:val="auto"/>
                      <w:highlight w:val="none"/>
                      <w:lang w:val="en-US" w:eastAsia="zh-CN"/>
                    </w:rPr>
                    <w:t>1.256</w:t>
                  </w:r>
                </w:p>
              </w:tc>
              <w:tc>
                <w:tcPr>
                  <w:tcW w:w="233" w:type="pct"/>
                  <w:vMerge w:val="continue"/>
                  <w:tcMar>
                    <w:top w:w="0" w:type="dxa"/>
                    <w:left w:w="57" w:type="dxa"/>
                    <w:bottom w:w="0" w:type="dxa"/>
                    <w:right w:w="57" w:type="dxa"/>
                  </w:tcMar>
                  <w:vAlign w:val="center"/>
                </w:tcPr>
                <w:p w14:paraId="27AFA95A">
                  <w:pPr>
                    <w:pStyle w:val="20"/>
                    <w:bidi w:val="0"/>
                    <w:rPr>
                      <w:rFonts w:hint="eastAsia"/>
                      <w:color w:val="auto"/>
                      <w:highlight w:val="none"/>
                    </w:rPr>
                  </w:pPr>
                </w:p>
              </w:tc>
              <w:tc>
                <w:tcPr>
                  <w:tcW w:w="300" w:type="pct"/>
                  <w:vMerge w:val="continue"/>
                  <w:tcMar>
                    <w:top w:w="0" w:type="dxa"/>
                    <w:left w:w="57" w:type="dxa"/>
                    <w:bottom w:w="0" w:type="dxa"/>
                    <w:right w:w="57" w:type="dxa"/>
                  </w:tcMar>
                  <w:vAlign w:val="center"/>
                </w:tcPr>
                <w:p w14:paraId="33FDFFB7">
                  <w:pPr>
                    <w:pStyle w:val="20"/>
                    <w:bidi w:val="0"/>
                    <w:rPr>
                      <w:rFonts w:hint="eastAsia"/>
                      <w:color w:val="auto"/>
                      <w:highlight w:val="none"/>
                    </w:rPr>
                  </w:pPr>
                </w:p>
              </w:tc>
              <w:tc>
                <w:tcPr>
                  <w:tcW w:w="372" w:type="pct"/>
                  <w:vMerge w:val="continue"/>
                  <w:tcMar>
                    <w:top w:w="0" w:type="dxa"/>
                    <w:left w:w="57" w:type="dxa"/>
                    <w:bottom w:w="0" w:type="dxa"/>
                    <w:right w:w="57" w:type="dxa"/>
                  </w:tcMar>
                  <w:vAlign w:val="center"/>
                </w:tcPr>
                <w:p w14:paraId="0C4A7877">
                  <w:pPr>
                    <w:pStyle w:val="20"/>
                    <w:bidi w:val="0"/>
                    <w:rPr>
                      <w:rFonts w:hint="eastAsia"/>
                      <w:color w:val="auto"/>
                      <w:highlight w:val="none"/>
                    </w:rPr>
                  </w:pPr>
                </w:p>
              </w:tc>
              <w:tc>
                <w:tcPr>
                  <w:tcW w:w="277" w:type="pct"/>
                  <w:tcMar>
                    <w:top w:w="0" w:type="dxa"/>
                    <w:left w:w="57" w:type="dxa"/>
                    <w:bottom w:w="0" w:type="dxa"/>
                    <w:right w:w="57" w:type="dxa"/>
                  </w:tcMar>
                  <w:vAlign w:val="center"/>
                </w:tcPr>
                <w:p w14:paraId="362F9558">
                  <w:pPr>
                    <w:pStyle w:val="20"/>
                    <w:bidi w:val="0"/>
                    <w:rPr>
                      <w:rFonts w:hint="default"/>
                      <w:color w:val="auto"/>
                      <w:highlight w:val="none"/>
                      <w:lang w:val="en-US" w:eastAsia="zh-CN"/>
                    </w:rPr>
                  </w:pPr>
                  <w:r>
                    <w:rPr>
                      <w:rFonts w:hint="eastAsia"/>
                      <w:color w:val="auto"/>
                      <w:highlight w:val="none"/>
                      <w:lang w:val="en-US" w:eastAsia="zh-CN"/>
                    </w:rPr>
                    <w:t>0.0723</w:t>
                  </w:r>
                </w:p>
              </w:tc>
              <w:tc>
                <w:tcPr>
                  <w:tcW w:w="253" w:type="pct"/>
                  <w:tcMar>
                    <w:top w:w="0" w:type="dxa"/>
                    <w:left w:w="57" w:type="dxa"/>
                    <w:bottom w:w="0" w:type="dxa"/>
                    <w:right w:w="57" w:type="dxa"/>
                  </w:tcMar>
                  <w:vAlign w:val="center"/>
                </w:tcPr>
                <w:p w14:paraId="2FA3EBDF">
                  <w:pPr>
                    <w:pStyle w:val="20"/>
                    <w:bidi w:val="0"/>
                    <w:rPr>
                      <w:rFonts w:hint="default"/>
                      <w:color w:val="auto"/>
                      <w:highlight w:val="none"/>
                      <w:lang w:val="en-US" w:eastAsia="zh-CN"/>
                    </w:rPr>
                  </w:pPr>
                  <w:r>
                    <w:rPr>
                      <w:rFonts w:hint="eastAsia"/>
                      <w:color w:val="auto"/>
                      <w:highlight w:val="none"/>
                      <w:lang w:val="en-US" w:eastAsia="zh-CN"/>
                    </w:rPr>
                    <w:t>0.010</w:t>
                  </w:r>
                </w:p>
              </w:tc>
              <w:tc>
                <w:tcPr>
                  <w:tcW w:w="302" w:type="pct"/>
                  <w:tcMar>
                    <w:top w:w="0" w:type="dxa"/>
                    <w:left w:w="57" w:type="dxa"/>
                    <w:bottom w:w="0" w:type="dxa"/>
                    <w:right w:w="57" w:type="dxa"/>
                  </w:tcMar>
                  <w:vAlign w:val="center"/>
                </w:tcPr>
                <w:p w14:paraId="78113468">
                  <w:pPr>
                    <w:pStyle w:val="20"/>
                    <w:bidi w:val="0"/>
                    <w:rPr>
                      <w:rFonts w:hint="default"/>
                      <w:color w:val="auto"/>
                      <w:highlight w:val="none"/>
                      <w:lang w:val="en-US" w:eastAsia="zh-CN"/>
                    </w:rPr>
                  </w:pPr>
                  <w:r>
                    <w:rPr>
                      <w:rFonts w:hint="eastAsia"/>
                      <w:color w:val="auto"/>
                      <w:highlight w:val="none"/>
                      <w:lang w:val="en-US" w:eastAsia="zh-CN"/>
                    </w:rPr>
                    <w:t>0.502</w:t>
                  </w:r>
                </w:p>
              </w:tc>
              <w:tc>
                <w:tcPr>
                  <w:tcW w:w="229" w:type="pct"/>
                  <w:vMerge w:val="continue"/>
                  <w:tcMar>
                    <w:top w:w="0" w:type="dxa"/>
                    <w:left w:w="57" w:type="dxa"/>
                    <w:bottom w:w="0" w:type="dxa"/>
                    <w:right w:w="57" w:type="dxa"/>
                  </w:tcMar>
                  <w:vAlign w:val="center"/>
                </w:tcPr>
                <w:p w14:paraId="286379F3">
                  <w:pPr>
                    <w:pStyle w:val="20"/>
                    <w:bidi w:val="0"/>
                    <w:rPr>
                      <w:rFonts w:hint="eastAsia"/>
                      <w:color w:val="auto"/>
                      <w:highlight w:val="none"/>
                      <w:lang w:val="en-US" w:eastAsia="zh-CN"/>
                    </w:rPr>
                  </w:pPr>
                </w:p>
              </w:tc>
            </w:tr>
            <w:tr w14:paraId="3B1F7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54" w:hRule="atLeast"/>
              </w:trPr>
              <w:tc>
                <w:tcPr>
                  <w:tcW w:w="321" w:type="pct"/>
                  <w:vMerge w:val="continue"/>
                  <w:tcMar>
                    <w:top w:w="0" w:type="dxa"/>
                    <w:left w:w="57" w:type="dxa"/>
                    <w:bottom w:w="0" w:type="dxa"/>
                    <w:right w:w="57" w:type="dxa"/>
                  </w:tcMar>
                  <w:vAlign w:val="center"/>
                </w:tcPr>
                <w:p w14:paraId="77B9BFE2">
                  <w:pPr>
                    <w:pStyle w:val="20"/>
                    <w:bidi w:val="0"/>
                    <w:rPr>
                      <w:rFonts w:hint="eastAsia"/>
                      <w:color w:val="auto"/>
                      <w:highlight w:val="none"/>
                    </w:rPr>
                  </w:pPr>
                </w:p>
              </w:tc>
              <w:tc>
                <w:tcPr>
                  <w:tcW w:w="396" w:type="pct"/>
                  <w:vMerge w:val="continue"/>
                  <w:tcMar>
                    <w:top w:w="0" w:type="dxa"/>
                    <w:left w:w="57" w:type="dxa"/>
                    <w:bottom w:w="0" w:type="dxa"/>
                    <w:right w:w="57" w:type="dxa"/>
                  </w:tcMar>
                  <w:vAlign w:val="center"/>
                </w:tcPr>
                <w:p w14:paraId="388BB452">
                  <w:pPr>
                    <w:pStyle w:val="20"/>
                    <w:bidi w:val="0"/>
                    <w:rPr>
                      <w:rFonts w:hint="eastAsia"/>
                      <w:color w:val="auto"/>
                      <w:highlight w:val="none"/>
                      <w:lang w:val="en-US" w:eastAsia="zh-CN"/>
                    </w:rPr>
                  </w:pPr>
                </w:p>
              </w:tc>
              <w:tc>
                <w:tcPr>
                  <w:tcW w:w="598" w:type="pct"/>
                  <w:tcMar>
                    <w:top w:w="0" w:type="dxa"/>
                    <w:left w:w="57" w:type="dxa"/>
                    <w:bottom w:w="0" w:type="dxa"/>
                    <w:right w:w="57" w:type="dxa"/>
                  </w:tcMar>
                  <w:vAlign w:val="center"/>
                </w:tcPr>
                <w:p w14:paraId="333B9CB2">
                  <w:pPr>
                    <w:pStyle w:val="20"/>
                    <w:bidi w:val="0"/>
                    <w:rPr>
                      <w:rFonts w:hint="eastAsia"/>
                      <w:color w:val="auto"/>
                      <w:highlight w:val="none"/>
                    </w:rPr>
                  </w:pPr>
                  <w:r>
                    <w:rPr>
                      <w:rFonts w:hint="eastAsia"/>
                      <w:color w:val="auto"/>
                      <w:highlight w:val="none"/>
                      <w:lang w:val="en-US" w:eastAsia="zh-CN"/>
                    </w:rPr>
                    <w:t>丙烯酸甲酯</w:t>
                  </w:r>
                </w:p>
              </w:tc>
              <w:tc>
                <w:tcPr>
                  <w:tcW w:w="248" w:type="pct"/>
                  <w:vMerge w:val="continue"/>
                  <w:tcMar>
                    <w:top w:w="0" w:type="dxa"/>
                    <w:left w:w="57" w:type="dxa"/>
                    <w:bottom w:w="0" w:type="dxa"/>
                    <w:right w:w="57" w:type="dxa"/>
                  </w:tcMar>
                  <w:vAlign w:val="center"/>
                </w:tcPr>
                <w:p w14:paraId="4E967988">
                  <w:pPr>
                    <w:pStyle w:val="20"/>
                    <w:bidi w:val="0"/>
                    <w:rPr>
                      <w:rFonts w:hint="eastAsia"/>
                      <w:color w:val="auto"/>
                      <w:highlight w:val="none"/>
                      <w:lang w:val="en-US" w:eastAsia="zh-CN"/>
                    </w:rPr>
                  </w:pPr>
                </w:p>
              </w:tc>
              <w:tc>
                <w:tcPr>
                  <w:tcW w:w="282" w:type="pct"/>
                  <w:tcMar>
                    <w:top w:w="0" w:type="dxa"/>
                    <w:left w:w="57" w:type="dxa"/>
                    <w:bottom w:w="0" w:type="dxa"/>
                    <w:right w:w="57" w:type="dxa"/>
                  </w:tcMar>
                  <w:vAlign w:val="center"/>
                </w:tcPr>
                <w:p w14:paraId="1E2AF765">
                  <w:pPr>
                    <w:pStyle w:val="20"/>
                    <w:bidi w:val="0"/>
                    <w:rPr>
                      <w:rFonts w:hint="eastAsia"/>
                      <w:color w:val="auto"/>
                      <w:highlight w:val="none"/>
                      <w:lang w:val="en-US" w:eastAsia="zh-CN"/>
                    </w:rPr>
                  </w:pPr>
                  <w:r>
                    <w:rPr>
                      <w:rFonts w:hint="default"/>
                      <w:color w:val="auto"/>
                      <w:highlight w:val="none"/>
                      <w:lang w:val="en-US" w:eastAsia="zh-CN"/>
                    </w:rPr>
                    <w:t>0.006</w:t>
                  </w:r>
                </w:p>
              </w:tc>
              <w:tc>
                <w:tcPr>
                  <w:tcW w:w="279" w:type="pct"/>
                  <w:tcMar>
                    <w:top w:w="0" w:type="dxa"/>
                    <w:left w:w="57" w:type="dxa"/>
                    <w:bottom w:w="0" w:type="dxa"/>
                    <w:right w:w="57" w:type="dxa"/>
                  </w:tcMar>
                  <w:vAlign w:val="center"/>
                </w:tcPr>
                <w:p w14:paraId="5A32CD0D">
                  <w:pPr>
                    <w:pStyle w:val="20"/>
                    <w:bidi w:val="0"/>
                    <w:rPr>
                      <w:rFonts w:hint="eastAsia"/>
                      <w:color w:val="auto"/>
                      <w:highlight w:val="none"/>
                      <w:lang w:val="en-US" w:eastAsia="zh-CN"/>
                    </w:rPr>
                  </w:pPr>
                  <w:r>
                    <w:rPr>
                      <w:rFonts w:hint="eastAsia"/>
                      <w:color w:val="auto"/>
                      <w:highlight w:val="none"/>
                      <w:lang w:val="en-US" w:eastAsia="zh-CN"/>
                    </w:rPr>
                    <w:t>0.0012</w:t>
                  </w:r>
                </w:p>
              </w:tc>
              <w:tc>
                <w:tcPr>
                  <w:tcW w:w="310" w:type="pct"/>
                  <w:tcMar>
                    <w:top w:w="0" w:type="dxa"/>
                    <w:left w:w="57" w:type="dxa"/>
                    <w:bottom w:w="0" w:type="dxa"/>
                    <w:right w:w="57" w:type="dxa"/>
                  </w:tcMar>
                  <w:vAlign w:val="center"/>
                </w:tcPr>
                <w:p w14:paraId="47305288">
                  <w:pPr>
                    <w:pStyle w:val="20"/>
                    <w:bidi w:val="0"/>
                    <w:rPr>
                      <w:rFonts w:hint="default"/>
                      <w:color w:val="auto"/>
                      <w:highlight w:val="none"/>
                      <w:lang w:val="en-US" w:eastAsia="zh-CN"/>
                    </w:rPr>
                  </w:pPr>
                  <w:r>
                    <w:rPr>
                      <w:rFonts w:hint="eastAsia"/>
                      <w:color w:val="auto"/>
                      <w:highlight w:val="none"/>
                      <w:lang w:val="en-US" w:eastAsia="zh-CN"/>
                    </w:rPr>
                    <w:t>0.0048</w:t>
                  </w:r>
                </w:p>
              </w:tc>
              <w:tc>
                <w:tcPr>
                  <w:tcW w:w="286" w:type="pct"/>
                  <w:tcMar>
                    <w:top w:w="0" w:type="dxa"/>
                    <w:left w:w="57" w:type="dxa"/>
                    <w:bottom w:w="0" w:type="dxa"/>
                    <w:right w:w="57" w:type="dxa"/>
                  </w:tcMar>
                  <w:vAlign w:val="center"/>
                </w:tcPr>
                <w:p w14:paraId="310709D9">
                  <w:pPr>
                    <w:pStyle w:val="20"/>
                    <w:bidi w:val="0"/>
                    <w:rPr>
                      <w:rFonts w:hint="default"/>
                      <w:color w:val="auto"/>
                      <w:highlight w:val="none"/>
                      <w:lang w:val="en-US" w:eastAsia="zh-CN"/>
                    </w:rPr>
                  </w:pPr>
                  <w:r>
                    <w:rPr>
                      <w:rFonts w:hint="eastAsia"/>
                      <w:color w:val="auto"/>
                      <w:highlight w:val="none"/>
                      <w:lang w:val="en-US" w:eastAsia="zh-CN"/>
                    </w:rPr>
                    <w:t>0.001</w:t>
                  </w:r>
                </w:p>
              </w:tc>
              <w:tc>
                <w:tcPr>
                  <w:tcW w:w="309" w:type="pct"/>
                  <w:tcMar>
                    <w:top w:w="0" w:type="dxa"/>
                    <w:left w:w="57" w:type="dxa"/>
                    <w:bottom w:w="0" w:type="dxa"/>
                    <w:right w:w="57" w:type="dxa"/>
                  </w:tcMar>
                  <w:vAlign w:val="center"/>
                </w:tcPr>
                <w:p w14:paraId="1EDEBF65">
                  <w:pPr>
                    <w:pStyle w:val="20"/>
                    <w:bidi w:val="0"/>
                    <w:rPr>
                      <w:rFonts w:hint="default"/>
                      <w:color w:val="auto"/>
                      <w:highlight w:val="none"/>
                      <w:lang w:val="en-US" w:eastAsia="zh-CN"/>
                    </w:rPr>
                  </w:pPr>
                  <w:r>
                    <w:rPr>
                      <w:rFonts w:hint="eastAsia"/>
                      <w:color w:val="auto"/>
                      <w:highlight w:val="none"/>
                      <w:lang w:val="en-US" w:eastAsia="zh-CN"/>
                    </w:rPr>
                    <w:t>0.033</w:t>
                  </w:r>
                </w:p>
              </w:tc>
              <w:tc>
                <w:tcPr>
                  <w:tcW w:w="233" w:type="pct"/>
                  <w:vMerge w:val="continue"/>
                  <w:tcMar>
                    <w:top w:w="0" w:type="dxa"/>
                    <w:left w:w="57" w:type="dxa"/>
                    <w:bottom w:w="0" w:type="dxa"/>
                    <w:right w:w="57" w:type="dxa"/>
                  </w:tcMar>
                  <w:vAlign w:val="center"/>
                </w:tcPr>
                <w:p w14:paraId="799D61D5">
                  <w:pPr>
                    <w:pStyle w:val="20"/>
                    <w:bidi w:val="0"/>
                    <w:rPr>
                      <w:rFonts w:hint="eastAsia"/>
                      <w:color w:val="auto"/>
                      <w:highlight w:val="none"/>
                    </w:rPr>
                  </w:pPr>
                </w:p>
              </w:tc>
              <w:tc>
                <w:tcPr>
                  <w:tcW w:w="300" w:type="pct"/>
                  <w:vMerge w:val="continue"/>
                  <w:tcMar>
                    <w:top w:w="0" w:type="dxa"/>
                    <w:left w:w="57" w:type="dxa"/>
                    <w:bottom w:w="0" w:type="dxa"/>
                    <w:right w:w="57" w:type="dxa"/>
                  </w:tcMar>
                  <w:vAlign w:val="center"/>
                </w:tcPr>
                <w:p w14:paraId="2AF0236D">
                  <w:pPr>
                    <w:pStyle w:val="20"/>
                    <w:bidi w:val="0"/>
                    <w:rPr>
                      <w:rFonts w:hint="eastAsia"/>
                      <w:color w:val="auto"/>
                      <w:highlight w:val="none"/>
                    </w:rPr>
                  </w:pPr>
                </w:p>
              </w:tc>
              <w:tc>
                <w:tcPr>
                  <w:tcW w:w="372" w:type="pct"/>
                  <w:vMerge w:val="continue"/>
                  <w:tcMar>
                    <w:top w:w="0" w:type="dxa"/>
                    <w:left w:w="57" w:type="dxa"/>
                    <w:bottom w:w="0" w:type="dxa"/>
                    <w:right w:w="57" w:type="dxa"/>
                  </w:tcMar>
                  <w:vAlign w:val="center"/>
                </w:tcPr>
                <w:p w14:paraId="151CA610">
                  <w:pPr>
                    <w:pStyle w:val="20"/>
                    <w:bidi w:val="0"/>
                    <w:rPr>
                      <w:rFonts w:hint="eastAsia"/>
                      <w:color w:val="auto"/>
                      <w:highlight w:val="none"/>
                    </w:rPr>
                  </w:pPr>
                </w:p>
              </w:tc>
              <w:tc>
                <w:tcPr>
                  <w:tcW w:w="277" w:type="pct"/>
                  <w:tcMar>
                    <w:top w:w="0" w:type="dxa"/>
                    <w:left w:w="57" w:type="dxa"/>
                    <w:bottom w:w="0" w:type="dxa"/>
                    <w:right w:w="57" w:type="dxa"/>
                  </w:tcMar>
                  <w:vAlign w:val="center"/>
                </w:tcPr>
                <w:p w14:paraId="701BD403">
                  <w:pPr>
                    <w:pStyle w:val="20"/>
                    <w:bidi w:val="0"/>
                    <w:rPr>
                      <w:rFonts w:hint="default"/>
                      <w:color w:val="auto"/>
                      <w:highlight w:val="none"/>
                      <w:lang w:val="en-US" w:eastAsia="zh-CN"/>
                    </w:rPr>
                  </w:pPr>
                  <w:r>
                    <w:rPr>
                      <w:rFonts w:hint="eastAsia"/>
                      <w:color w:val="auto"/>
                      <w:highlight w:val="none"/>
                      <w:lang w:val="en-US" w:eastAsia="zh-CN"/>
                    </w:rPr>
                    <w:t>0.0019</w:t>
                  </w:r>
                </w:p>
              </w:tc>
              <w:tc>
                <w:tcPr>
                  <w:tcW w:w="253" w:type="pct"/>
                  <w:tcMar>
                    <w:top w:w="0" w:type="dxa"/>
                    <w:left w:w="57" w:type="dxa"/>
                    <w:bottom w:w="0" w:type="dxa"/>
                    <w:right w:w="57" w:type="dxa"/>
                  </w:tcMar>
                  <w:vAlign w:val="center"/>
                </w:tcPr>
                <w:p w14:paraId="6C996F31">
                  <w:pPr>
                    <w:pStyle w:val="20"/>
                    <w:bidi w:val="0"/>
                    <w:rPr>
                      <w:rFonts w:hint="default"/>
                      <w:color w:val="auto"/>
                      <w:highlight w:val="none"/>
                      <w:lang w:val="en-US" w:eastAsia="zh-CN"/>
                    </w:rPr>
                  </w:pPr>
                  <w:r>
                    <w:rPr>
                      <w:rFonts w:hint="eastAsia"/>
                      <w:color w:val="auto"/>
                      <w:highlight w:val="none"/>
                      <w:lang w:val="en-US" w:eastAsia="zh-CN"/>
                    </w:rPr>
                    <w:t>0.000</w:t>
                  </w:r>
                </w:p>
              </w:tc>
              <w:tc>
                <w:tcPr>
                  <w:tcW w:w="302" w:type="pct"/>
                  <w:tcMar>
                    <w:top w:w="0" w:type="dxa"/>
                    <w:left w:w="57" w:type="dxa"/>
                    <w:bottom w:w="0" w:type="dxa"/>
                    <w:right w:w="57" w:type="dxa"/>
                  </w:tcMar>
                  <w:vAlign w:val="center"/>
                </w:tcPr>
                <w:p w14:paraId="402CC212">
                  <w:pPr>
                    <w:pStyle w:val="20"/>
                    <w:bidi w:val="0"/>
                    <w:rPr>
                      <w:rFonts w:hint="default"/>
                      <w:color w:val="auto"/>
                      <w:highlight w:val="none"/>
                      <w:lang w:val="en-US" w:eastAsia="zh-CN"/>
                    </w:rPr>
                  </w:pPr>
                  <w:r>
                    <w:rPr>
                      <w:rFonts w:hint="eastAsia"/>
                      <w:color w:val="auto"/>
                      <w:highlight w:val="none"/>
                      <w:lang w:val="en-US" w:eastAsia="zh-CN"/>
                    </w:rPr>
                    <w:t>0.013</w:t>
                  </w:r>
                </w:p>
              </w:tc>
              <w:tc>
                <w:tcPr>
                  <w:tcW w:w="229" w:type="pct"/>
                  <w:vMerge w:val="continue"/>
                  <w:tcMar>
                    <w:top w:w="0" w:type="dxa"/>
                    <w:left w:w="57" w:type="dxa"/>
                    <w:bottom w:w="0" w:type="dxa"/>
                    <w:right w:w="57" w:type="dxa"/>
                  </w:tcMar>
                  <w:vAlign w:val="center"/>
                </w:tcPr>
                <w:p w14:paraId="3A08FF58">
                  <w:pPr>
                    <w:pStyle w:val="20"/>
                    <w:bidi w:val="0"/>
                    <w:rPr>
                      <w:rFonts w:hint="eastAsia"/>
                      <w:color w:val="auto"/>
                      <w:highlight w:val="none"/>
                      <w:lang w:val="en-US" w:eastAsia="zh-CN"/>
                    </w:rPr>
                  </w:pPr>
                </w:p>
              </w:tc>
            </w:tr>
            <w:tr w14:paraId="694D3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54" w:hRule="atLeast"/>
              </w:trPr>
              <w:tc>
                <w:tcPr>
                  <w:tcW w:w="321" w:type="pct"/>
                  <w:vMerge w:val="continue"/>
                  <w:tcMar>
                    <w:top w:w="0" w:type="dxa"/>
                    <w:left w:w="57" w:type="dxa"/>
                    <w:bottom w:w="0" w:type="dxa"/>
                    <w:right w:w="57" w:type="dxa"/>
                  </w:tcMar>
                  <w:vAlign w:val="center"/>
                </w:tcPr>
                <w:p w14:paraId="352E7AE3">
                  <w:pPr>
                    <w:pStyle w:val="20"/>
                    <w:bidi w:val="0"/>
                    <w:rPr>
                      <w:rFonts w:hint="eastAsia"/>
                      <w:color w:val="auto"/>
                      <w:highlight w:val="none"/>
                    </w:rPr>
                  </w:pPr>
                </w:p>
              </w:tc>
              <w:tc>
                <w:tcPr>
                  <w:tcW w:w="396" w:type="pct"/>
                  <w:vMerge w:val="continue"/>
                  <w:tcMar>
                    <w:top w:w="0" w:type="dxa"/>
                    <w:left w:w="57" w:type="dxa"/>
                    <w:bottom w:w="0" w:type="dxa"/>
                    <w:right w:w="57" w:type="dxa"/>
                  </w:tcMar>
                  <w:vAlign w:val="center"/>
                </w:tcPr>
                <w:p w14:paraId="6ADEF09C">
                  <w:pPr>
                    <w:pStyle w:val="20"/>
                    <w:bidi w:val="0"/>
                    <w:rPr>
                      <w:rFonts w:hint="eastAsia"/>
                      <w:color w:val="auto"/>
                      <w:highlight w:val="none"/>
                      <w:lang w:val="en-US" w:eastAsia="zh-CN"/>
                    </w:rPr>
                  </w:pPr>
                </w:p>
              </w:tc>
              <w:tc>
                <w:tcPr>
                  <w:tcW w:w="598" w:type="pct"/>
                  <w:tcMar>
                    <w:top w:w="0" w:type="dxa"/>
                    <w:left w:w="57" w:type="dxa"/>
                    <w:bottom w:w="0" w:type="dxa"/>
                    <w:right w:w="57" w:type="dxa"/>
                  </w:tcMar>
                  <w:vAlign w:val="center"/>
                </w:tcPr>
                <w:p w14:paraId="6AB6397E">
                  <w:pPr>
                    <w:pStyle w:val="20"/>
                    <w:bidi w:val="0"/>
                    <w:rPr>
                      <w:rFonts w:hint="eastAsia"/>
                      <w:color w:val="auto"/>
                      <w:highlight w:val="none"/>
                    </w:rPr>
                  </w:pPr>
                  <w:r>
                    <w:rPr>
                      <w:rFonts w:hint="eastAsia"/>
                      <w:color w:val="auto"/>
                      <w:highlight w:val="none"/>
                      <w:lang w:val="en-US" w:eastAsia="zh-CN"/>
                    </w:rPr>
                    <w:t>丙烯酸</w:t>
                  </w:r>
                </w:p>
              </w:tc>
              <w:tc>
                <w:tcPr>
                  <w:tcW w:w="248" w:type="pct"/>
                  <w:vMerge w:val="continue"/>
                  <w:tcMar>
                    <w:top w:w="0" w:type="dxa"/>
                    <w:left w:w="57" w:type="dxa"/>
                    <w:bottom w:w="0" w:type="dxa"/>
                    <w:right w:w="57" w:type="dxa"/>
                  </w:tcMar>
                  <w:vAlign w:val="center"/>
                </w:tcPr>
                <w:p w14:paraId="4A98995E">
                  <w:pPr>
                    <w:pStyle w:val="20"/>
                    <w:bidi w:val="0"/>
                    <w:rPr>
                      <w:rFonts w:hint="eastAsia"/>
                      <w:color w:val="auto"/>
                      <w:highlight w:val="none"/>
                      <w:lang w:val="en-US" w:eastAsia="zh-CN"/>
                    </w:rPr>
                  </w:pPr>
                </w:p>
              </w:tc>
              <w:tc>
                <w:tcPr>
                  <w:tcW w:w="282" w:type="pct"/>
                  <w:tcMar>
                    <w:top w:w="0" w:type="dxa"/>
                    <w:left w:w="57" w:type="dxa"/>
                    <w:bottom w:w="0" w:type="dxa"/>
                    <w:right w:w="57" w:type="dxa"/>
                  </w:tcMar>
                  <w:vAlign w:val="center"/>
                </w:tcPr>
                <w:p w14:paraId="37AD258A">
                  <w:pPr>
                    <w:pStyle w:val="20"/>
                    <w:bidi w:val="0"/>
                    <w:rPr>
                      <w:rFonts w:hint="eastAsia"/>
                      <w:color w:val="auto"/>
                      <w:highlight w:val="none"/>
                      <w:lang w:val="en-US" w:eastAsia="zh-CN"/>
                    </w:rPr>
                  </w:pPr>
                  <w:r>
                    <w:rPr>
                      <w:rFonts w:hint="default"/>
                      <w:color w:val="auto"/>
                      <w:highlight w:val="none"/>
                      <w:lang w:val="en-US" w:eastAsia="zh-CN"/>
                    </w:rPr>
                    <w:t>0.083</w:t>
                  </w:r>
                </w:p>
              </w:tc>
              <w:tc>
                <w:tcPr>
                  <w:tcW w:w="279" w:type="pct"/>
                  <w:tcMar>
                    <w:top w:w="0" w:type="dxa"/>
                    <w:left w:w="57" w:type="dxa"/>
                    <w:bottom w:w="0" w:type="dxa"/>
                    <w:right w:w="57" w:type="dxa"/>
                  </w:tcMar>
                  <w:vAlign w:val="center"/>
                </w:tcPr>
                <w:p w14:paraId="0F764C30">
                  <w:pPr>
                    <w:pStyle w:val="20"/>
                    <w:bidi w:val="0"/>
                    <w:rPr>
                      <w:rFonts w:hint="eastAsia"/>
                      <w:color w:val="auto"/>
                      <w:highlight w:val="none"/>
                      <w:lang w:val="en-US" w:eastAsia="zh-CN"/>
                    </w:rPr>
                  </w:pPr>
                  <w:r>
                    <w:rPr>
                      <w:rFonts w:hint="eastAsia"/>
                      <w:color w:val="auto"/>
                      <w:highlight w:val="none"/>
                      <w:lang w:val="en-US" w:eastAsia="zh-CN"/>
                    </w:rPr>
                    <w:t>0.0166</w:t>
                  </w:r>
                </w:p>
              </w:tc>
              <w:tc>
                <w:tcPr>
                  <w:tcW w:w="310" w:type="pct"/>
                  <w:tcMar>
                    <w:top w:w="0" w:type="dxa"/>
                    <w:left w:w="57" w:type="dxa"/>
                    <w:bottom w:w="0" w:type="dxa"/>
                    <w:right w:w="57" w:type="dxa"/>
                  </w:tcMar>
                  <w:vAlign w:val="center"/>
                </w:tcPr>
                <w:p w14:paraId="1B02497B">
                  <w:pPr>
                    <w:pStyle w:val="20"/>
                    <w:bidi w:val="0"/>
                    <w:rPr>
                      <w:rFonts w:hint="default"/>
                      <w:color w:val="auto"/>
                      <w:highlight w:val="none"/>
                      <w:lang w:val="en-US" w:eastAsia="zh-CN"/>
                    </w:rPr>
                  </w:pPr>
                  <w:r>
                    <w:rPr>
                      <w:rFonts w:hint="eastAsia"/>
                      <w:color w:val="auto"/>
                      <w:highlight w:val="none"/>
                      <w:lang w:val="en-US" w:eastAsia="zh-CN"/>
                    </w:rPr>
                    <w:t>0.0664</w:t>
                  </w:r>
                </w:p>
              </w:tc>
              <w:tc>
                <w:tcPr>
                  <w:tcW w:w="286" w:type="pct"/>
                  <w:tcMar>
                    <w:top w:w="0" w:type="dxa"/>
                    <w:left w:w="57" w:type="dxa"/>
                    <w:bottom w:w="0" w:type="dxa"/>
                    <w:right w:w="57" w:type="dxa"/>
                  </w:tcMar>
                  <w:vAlign w:val="center"/>
                </w:tcPr>
                <w:p w14:paraId="6D313FB7">
                  <w:pPr>
                    <w:pStyle w:val="20"/>
                    <w:bidi w:val="0"/>
                    <w:rPr>
                      <w:rFonts w:hint="default"/>
                      <w:color w:val="auto"/>
                      <w:highlight w:val="none"/>
                      <w:lang w:val="en-US" w:eastAsia="zh-CN"/>
                    </w:rPr>
                  </w:pPr>
                  <w:r>
                    <w:rPr>
                      <w:rFonts w:hint="eastAsia"/>
                      <w:color w:val="auto"/>
                      <w:highlight w:val="none"/>
                      <w:lang w:val="en-US" w:eastAsia="zh-CN"/>
                    </w:rPr>
                    <w:t>0.009</w:t>
                  </w:r>
                </w:p>
              </w:tc>
              <w:tc>
                <w:tcPr>
                  <w:tcW w:w="309" w:type="pct"/>
                  <w:tcMar>
                    <w:top w:w="0" w:type="dxa"/>
                    <w:left w:w="57" w:type="dxa"/>
                    <w:bottom w:w="0" w:type="dxa"/>
                    <w:right w:w="57" w:type="dxa"/>
                  </w:tcMar>
                  <w:vAlign w:val="center"/>
                </w:tcPr>
                <w:p w14:paraId="2D1E5F18">
                  <w:pPr>
                    <w:pStyle w:val="20"/>
                    <w:bidi w:val="0"/>
                    <w:rPr>
                      <w:rFonts w:hint="default"/>
                      <w:color w:val="auto"/>
                      <w:highlight w:val="none"/>
                      <w:lang w:val="en-US" w:eastAsia="zh-CN"/>
                    </w:rPr>
                  </w:pPr>
                  <w:r>
                    <w:rPr>
                      <w:rFonts w:hint="eastAsia"/>
                      <w:color w:val="auto"/>
                      <w:highlight w:val="none"/>
                      <w:lang w:val="en-US" w:eastAsia="zh-CN"/>
                    </w:rPr>
                    <w:t>0.461</w:t>
                  </w:r>
                </w:p>
              </w:tc>
              <w:tc>
                <w:tcPr>
                  <w:tcW w:w="233" w:type="pct"/>
                  <w:vMerge w:val="continue"/>
                  <w:tcMar>
                    <w:top w:w="0" w:type="dxa"/>
                    <w:left w:w="57" w:type="dxa"/>
                    <w:bottom w:w="0" w:type="dxa"/>
                    <w:right w:w="57" w:type="dxa"/>
                  </w:tcMar>
                  <w:vAlign w:val="center"/>
                </w:tcPr>
                <w:p w14:paraId="29DB050F">
                  <w:pPr>
                    <w:pStyle w:val="20"/>
                    <w:bidi w:val="0"/>
                    <w:rPr>
                      <w:rFonts w:hint="eastAsia"/>
                      <w:color w:val="auto"/>
                      <w:highlight w:val="none"/>
                    </w:rPr>
                  </w:pPr>
                </w:p>
              </w:tc>
              <w:tc>
                <w:tcPr>
                  <w:tcW w:w="300" w:type="pct"/>
                  <w:vMerge w:val="continue"/>
                  <w:tcMar>
                    <w:top w:w="0" w:type="dxa"/>
                    <w:left w:w="57" w:type="dxa"/>
                    <w:bottom w:w="0" w:type="dxa"/>
                    <w:right w:w="57" w:type="dxa"/>
                  </w:tcMar>
                  <w:vAlign w:val="center"/>
                </w:tcPr>
                <w:p w14:paraId="63AA7D29">
                  <w:pPr>
                    <w:pStyle w:val="20"/>
                    <w:bidi w:val="0"/>
                    <w:rPr>
                      <w:rFonts w:hint="eastAsia"/>
                      <w:color w:val="auto"/>
                      <w:highlight w:val="none"/>
                    </w:rPr>
                  </w:pPr>
                </w:p>
              </w:tc>
              <w:tc>
                <w:tcPr>
                  <w:tcW w:w="372" w:type="pct"/>
                  <w:vMerge w:val="continue"/>
                  <w:tcMar>
                    <w:top w:w="0" w:type="dxa"/>
                    <w:left w:w="57" w:type="dxa"/>
                    <w:bottom w:w="0" w:type="dxa"/>
                    <w:right w:w="57" w:type="dxa"/>
                  </w:tcMar>
                  <w:vAlign w:val="center"/>
                </w:tcPr>
                <w:p w14:paraId="459A0BB2">
                  <w:pPr>
                    <w:pStyle w:val="20"/>
                    <w:bidi w:val="0"/>
                    <w:rPr>
                      <w:rFonts w:hint="eastAsia"/>
                      <w:color w:val="auto"/>
                      <w:highlight w:val="none"/>
                    </w:rPr>
                  </w:pPr>
                </w:p>
              </w:tc>
              <w:tc>
                <w:tcPr>
                  <w:tcW w:w="277" w:type="pct"/>
                  <w:tcMar>
                    <w:top w:w="0" w:type="dxa"/>
                    <w:left w:w="57" w:type="dxa"/>
                    <w:bottom w:w="0" w:type="dxa"/>
                    <w:right w:w="57" w:type="dxa"/>
                  </w:tcMar>
                  <w:vAlign w:val="center"/>
                </w:tcPr>
                <w:p w14:paraId="17D38707">
                  <w:pPr>
                    <w:pStyle w:val="20"/>
                    <w:bidi w:val="0"/>
                    <w:rPr>
                      <w:rFonts w:hint="default"/>
                      <w:color w:val="auto"/>
                      <w:highlight w:val="none"/>
                      <w:lang w:val="en-US" w:eastAsia="zh-CN"/>
                    </w:rPr>
                  </w:pPr>
                  <w:r>
                    <w:rPr>
                      <w:rFonts w:hint="eastAsia"/>
                      <w:color w:val="auto"/>
                      <w:highlight w:val="none"/>
                      <w:lang w:val="en-US" w:eastAsia="zh-CN"/>
                    </w:rPr>
                    <w:t>0.0266</w:t>
                  </w:r>
                </w:p>
              </w:tc>
              <w:tc>
                <w:tcPr>
                  <w:tcW w:w="253" w:type="pct"/>
                  <w:tcMar>
                    <w:top w:w="0" w:type="dxa"/>
                    <w:left w:w="57" w:type="dxa"/>
                    <w:bottom w:w="0" w:type="dxa"/>
                    <w:right w:w="57" w:type="dxa"/>
                  </w:tcMar>
                  <w:vAlign w:val="center"/>
                </w:tcPr>
                <w:p w14:paraId="5643F81E">
                  <w:pPr>
                    <w:pStyle w:val="20"/>
                    <w:bidi w:val="0"/>
                    <w:rPr>
                      <w:rFonts w:hint="default"/>
                      <w:color w:val="auto"/>
                      <w:highlight w:val="none"/>
                      <w:lang w:val="en-US" w:eastAsia="zh-CN"/>
                    </w:rPr>
                  </w:pPr>
                  <w:r>
                    <w:rPr>
                      <w:rFonts w:hint="eastAsia"/>
                      <w:color w:val="auto"/>
                      <w:highlight w:val="none"/>
                      <w:lang w:val="en-US" w:eastAsia="zh-CN"/>
                    </w:rPr>
                    <w:t>0.004</w:t>
                  </w:r>
                </w:p>
              </w:tc>
              <w:tc>
                <w:tcPr>
                  <w:tcW w:w="302" w:type="pct"/>
                  <w:tcMar>
                    <w:top w:w="0" w:type="dxa"/>
                    <w:left w:w="57" w:type="dxa"/>
                    <w:bottom w:w="0" w:type="dxa"/>
                    <w:right w:w="57" w:type="dxa"/>
                  </w:tcMar>
                  <w:vAlign w:val="center"/>
                </w:tcPr>
                <w:p w14:paraId="6E2C804E">
                  <w:pPr>
                    <w:pStyle w:val="20"/>
                    <w:bidi w:val="0"/>
                    <w:rPr>
                      <w:rFonts w:hint="default"/>
                      <w:color w:val="auto"/>
                      <w:highlight w:val="none"/>
                      <w:lang w:val="en-US" w:eastAsia="zh-CN"/>
                    </w:rPr>
                  </w:pPr>
                  <w:r>
                    <w:rPr>
                      <w:rFonts w:hint="eastAsia"/>
                      <w:color w:val="auto"/>
                      <w:highlight w:val="none"/>
                      <w:lang w:val="en-US" w:eastAsia="zh-CN"/>
                    </w:rPr>
                    <w:t>0.184</w:t>
                  </w:r>
                </w:p>
              </w:tc>
              <w:tc>
                <w:tcPr>
                  <w:tcW w:w="229" w:type="pct"/>
                  <w:vMerge w:val="continue"/>
                  <w:tcMar>
                    <w:top w:w="0" w:type="dxa"/>
                    <w:left w:w="57" w:type="dxa"/>
                    <w:bottom w:w="0" w:type="dxa"/>
                    <w:right w:w="57" w:type="dxa"/>
                  </w:tcMar>
                  <w:vAlign w:val="center"/>
                </w:tcPr>
                <w:p w14:paraId="72ECD1F0">
                  <w:pPr>
                    <w:pStyle w:val="20"/>
                    <w:bidi w:val="0"/>
                    <w:rPr>
                      <w:rFonts w:hint="eastAsia"/>
                      <w:color w:val="auto"/>
                      <w:highlight w:val="none"/>
                      <w:lang w:val="en-US" w:eastAsia="zh-CN"/>
                    </w:rPr>
                  </w:pPr>
                </w:p>
              </w:tc>
            </w:tr>
            <w:tr w14:paraId="20EC4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54" w:hRule="atLeast"/>
              </w:trPr>
              <w:tc>
                <w:tcPr>
                  <w:tcW w:w="321" w:type="pct"/>
                  <w:vMerge w:val="continue"/>
                  <w:tcMar>
                    <w:top w:w="0" w:type="dxa"/>
                    <w:left w:w="57" w:type="dxa"/>
                    <w:bottom w:w="0" w:type="dxa"/>
                    <w:right w:w="57" w:type="dxa"/>
                  </w:tcMar>
                  <w:vAlign w:val="center"/>
                </w:tcPr>
                <w:p w14:paraId="0030D090">
                  <w:pPr>
                    <w:pStyle w:val="20"/>
                    <w:bidi w:val="0"/>
                    <w:rPr>
                      <w:rFonts w:hint="eastAsia"/>
                      <w:color w:val="auto"/>
                      <w:highlight w:val="none"/>
                    </w:rPr>
                  </w:pPr>
                </w:p>
              </w:tc>
              <w:tc>
                <w:tcPr>
                  <w:tcW w:w="396" w:type="pct"/>
                  <w:vMerge w:val="continue"/>
                  <w:tcMar>
                    <w:top w:w="0" w:type="dxa"/>
                    <w:left w:w="57" w:type="dxa"/>
                    <w:bottom w:w="0" w:type="dxa"/>
                    <w:right w:w="57" w:type="dxa"/>
                  </w:tcMar>
                  <w:vAlign w:val="center"/>
                </w:tcPr>
                <w:p w14:paraId="0DF74A5A">
                  <w:pPr>
                    <w:pStyle w:val="20"/>
                    <w:bidi w:val="0"/>
                    <w:rPr>
                      <w:rFonts w:hint="eastAsia"/>
                      <w:color w:val="auto"/>
                      <w:highlight w:val="none"/>
                      <w:lang w:val="en-US" w:eastAsia="zh-CN"/>
                    </w:rPr>
                  </w:pPr>
                </w:p>
              </w:tc>
              <w:tc>
                <w:tcPr>
                  <w:tcW w:w="598" w:type="pct"/>
                  <w:tcMar>
                    <w:top w:w="0" w:type="dxa"/>
                    <w:left w:w="57" w:type="dxa"/>
                    <w:bottom w:w="0" w:type="dxa"/>
                    <w:right w:w="57" w:type="dxa"/>
                  </w:tcMar>
                  <w:vAlign w:val="center"/>
                </w:tcPr>
                <w:p w14:paraId="2CCE6053">
                  <w:pPr>
                    <w:pStyle w:val="20"/>
                    <w:bidi w:val="0"/>
                    <w:rPr>
                      <w:rFonts w:hint="eastAsia"/>
                      <w:color w:val="auto"/>
                      <w:highlight w:val="none"/>
                    </w:rPr>
                  </w:pPr>
                  <w:r>
                    <w:rPr>
                      <w:rFonts w:hint="eastAsia"/>
                      <w:color w:val="auto"/>
                      <w:highlight w:val="none"/>
                      <w:lang w:val="en-US" w:eastAsia="zh-CN"/>
                    </w:rPr>
                    <w:t>丙烯酸丁酯</w:t>
                  </w:r>
                </w:p>
              </w:tc>
              <w:tc>
                <w:tcPr>
                  <w:tcW w:w="248" w:type="pct"/>
                  <w:vMerge w:val="continue"/>
                  <w:tcMar>
                    <w:top w:w="0" w:type="dxa"/>
                    <w:left w:w="57" w:type="dxa"/>
                    <w:bottom w:w="0" w:type="dxa"/>
                    <w:right w:w="57" w:type="dxa"/>
                  </w:tcMar>
                  <w:vAlign w:val="center"/>
                </w:tcPr>
                <w:p w14:paraId="7B71506B">
                  <w:pPr>
                    <w:pStyle w:val="20"/>
                    <w:bidi w:val="0"/>
                    <w:rPr>
                      <w:rFonts w:hint="eastAsia"/>
                      <w:color w:val="auto"/>
                      <w:highlight w:val="none"/>
                      <w:lang w:val="en-US" w:eastAsia="zh-CN"/>
                    </w:rPr>
                  </w:pPr>
                </w:p>
              </w:tc>
              <w:tc>
                <w:tcPr>
                  <w:tcW w:w="282" w:type="pct"/>
                  <w:tcMar>
                    <w:top w:w="0" w:type="dxa"/>
                    <w:left w:w="57" w:type="dxa"/>
                    <w:bottom w:w="0" w:type="dxa"/>
                    <w:right w:w="57" w:type="dxa"/>
                  </w:tcMar>
                  <w:vAlign w:val="center"/>
                </w:tcPr>
                <w:p w14:paraId="3AFDAFAC">
                  <w:pPr>
                    <w:pStyle w:val="20"/>
                    <w:bidi w:val="0"/>
                    <w:rPr>
                      <w:rFonts w:hint="eastAsia"/>
                      <w:color w:val="auto"/>
                      <w:highlight w:val="none"/>
                      <w:lang w:val="en-US" w:eastAsia="zh-CN"/>
                    </w:rPr>
                  </w:pPr>
                  <w:r>
                    <w:rPr>
                      <w:rFonts w:hint="default"/>
                      <w:color w:val="auto"/>
                      <w:highlight w:val="none"/>
                      <w:lang w:val="en-US" w:eastAsia="zh-CN"/>
                    </w:rPr>
                    <w:t>0.415</w:t>
                  </w:r>
                </w:p>
              </w:tc>
              <w:tc>
                <w:tcPr>
                  <w:tcW w:w="279" w:type="pct"/>
                  <w:tcMar>
                    <w:top w:w="0" w:type="dxa"/>
                    <w:left w:w="57" w:type="dxa"/>
                    <w:bottom w:w="0" w:type="dxa"/>
                    <w:right w:w="57" w:type="dxa"/>
                  </w:tcMar>
                  <w:vAlign w:val="center"/>
                </w:tcPr>
                <w:p w14:paraId="4DAAFE54">
                  <w:pPr>
                    <w:pStyle w:val="20"/>
                    <w:bidi w:val="0"/>
                    <w:rPr>
                      <w:rFonts w:hint="eastAsia"/>
                      <w:color w:val="auto"/>
                      <w:highlight w:val="none"/>
                      <w:lang w:val="en-US" w:eastAsia="zh-CN"/>
                    </w:rPr>
                  </w:pPr>
                  <w:r>
                    <w:rPr>
                      <w:rFonts w:hint="eastAsia"/>
                      <w:color w:val="auto"/>
                      <w:highlight w:val="none"/>
                      <w:lang w:val="en-US" w:eastAsia="zh-CN"/>
                    </w:rPr>
                    <w:t>0.0830</w:t>
                  </w:r>
                </w:p>
              </w:tc>
              <w:tc>
                <w:tcPr>
                  <w:tcW w:w="310" w:type="pct"/>
                  <w:tcMar>
                    <w:top w:w="0" w:type="dxa"/>
                    <w:left w:w="57" w:type="dxa"/>
                    <w:bottom w:w="0" w:type="dxa"/>
                    <w:right w:w="57" w:type="dxa"/>
                  </w:tcMar>
                  <w:vAlign w:val="center"/>
                </w:tcPr>
                <w:p w14:paraId="61CBC22B">
                  <w:pPr>
                    <w:pStyle w:val="20"/>
                    <w:bidi w:val="0"/>
                    <w:rPr>
                      <w:rFonts w:hint="default"/>
                      <w:color w:val="auto"/>
                      <w:highlight w:val="none"/>
                      <w:lang w:val="en-US" w:eastAsia="zh-CN"/>
                    </w:rPr>
                  </w:pPr>
                  <w:r>
                    <w:rPr>
                      <w:rFonts w:hint="eastAsia"/>
                      <w:color w:val="auto"/>
                      <w:highlight w:val="none"/>
                      <w:lang w:val="en-US" w:eastAsia="zh-CN"/>
                    </w:rPr>
                    <w:t>0.3320</w:t>
                  </w:r>
                </w:p>
              </w:tc>
              <w:tc>
                <w:tcPr>
                  <w:tcW w:w="286" w:type="pct"/>
                  <w:tcMar>
                    <w:top w:w="0" w:type="dxa"/>
                    <w:left w:w="57" w:type="dxa"/>
                    <w:bottom w:w="0" w:type="dxa"/>
                    <w:right w:w="57" w:type="dxa"/>
                  </w:tcMar>
                  <w:vAlign w:val="center"/>
                </w:tcPr>
                <w:p w14:paraId="7332FE63">
                  <w:pPr>
                    <w:pStyle w:val="20"/>
                    <w:bidi w:val="0"/>
                    <w:rPr>
                      <w:rFonts w:hint="default"/>
                      <w:color w:val="auto"/>
                      <w:highlight w:val="none"/>
                      <w:lang w:val="en-US" w:eastAsia="zh-CN"/>
                    </w:rPr>
                  </w:pPr>
                  <w:r>
                    <w:rPr>
                      <w:rFonts w:hint="eastAsia"/>
                      <w:color w:val="auto"/>
                      <w:highlight w:val="none"/>
                      <w:lang w:val="en-US" w:eastAsia="zh-CN"/>
                    </w:rPr>
                    <w:t>0.046</w:t>
                  </w:r>
                </w:p>
              </w:tc>
              <w:tc>
                <w:tcPr>
                  <w:tcW w:w="309" w:type="pct"/>
                  <w:tcMar>
                    <w:top w:w="0" w:type="dxa"/>
                    <w:left w:w="57" w:type="dxa"/>
                    <w:bottom w:w="0" w:type="dxa"/>
                    <w:right w:w="57" w:type="dxa"/>
                  </w:tcMar>
                  <w:vAlign w:val="center"/>
                </w:tcPr>
                <w:p w14:paraId="1E41EE9D">
                  <w:pPr>
                    <w:pStyle w:val="20"/>
                    <w:bidi w:val="0"/>
                    <w:rPr>
                      <w:rFonts w:hint="default"/>
                      <w:color w:val="auto"/>
                      <w:highlight w:val="none"/>
                      <w:lang w:val="en-US" w:eastAsia="zh-CN"/>
                    </w:rPr>
                  </w:pPr>
                  <w:r>
                    <w:rPr>
                      <w:rFonts w:hint="eastAsia"/>
                      <w:color w:val="auto"/>
                      <w:highlight w:val="none"/>
                      <w:lang w:val="en-US" w:eastAsia="zh-CN"/>
                    </w:rPr>
                    <w:t>2.306</w:t>
                  </w:r>
                </w:p>
              </w:tc>
              <w:tc>
                <w:tcPr>
                  <w:tcW w:w="233" w:type="pct"/>
                  <w:vMerge w:val="continue"/>
                  <w:tcMar>
                    <w:top w:w="0" w:type="dxa"/>
                    <w:left w:w="57" w:type="dxa"/>
                    <w:bottom w:w="0" w:type="dxa"/>
                    <w:right w:w="57" w:type="dxa"/>
                  </w:tcMar>
                  <w:vAlign w:val="center"/>
                </w:tcPr>
                <w:p w14:paraId="299294E0">
                  <w:pPr>
                    <w:pStyle w:val="20"/>
                    <w:bidi w:val="0"/>
                    <w:rPr>
                      <w:rFonts w:hint="eastAsia"/>
                      <w:color w:val="auto"/>
                      <w:highlight w:val="none"/>
                    </w:rPr>
                  </w:pPr>
                </w:p>
              </w:tc>
              <w:tc>
                <w:tcPr>
                  <w:tcW w:w="300" w:type="pct"/>
                  <w:vMerge w:val="continue"/>
                  <w:tcMar>
                    <w:top w:w="0" w:type="dxa"/>
                    <w:left w:w="57" w:type="dxa"/>
                    <w:bottom w:w="0" w:type="dxa"/>
                    <w:right w:w="57" w:type="dxa"/>
                  </w:tcMar>
                  <w:vAlign w:val="center"/>
                </w:tcPr>
                <w:p w14:paraId="5BEEBA16">
                  <w:pPr>
                    <w:pStyle w:val="20"/>
                    <w:bidi w:val="0"/>
                    <w:rPr>
                      <w:rFonts w:hint="eastAsia"/>
                      <w:color w:val="auto"/>
                      <w:highlight w:val="none"/>
                    </w:rPr>
                  </w:pPr>
                </w:p>
              </w:tc>
              <w:tc>
                <w:tcPr>
                  <w:tcW w:w="372" w:type="pct"/>
                  <w:vMerge w:val="continue"/>
                  <w:tcMar>
                    <w:top w:w="0" w:type="dxa"/>
                    <w:left w:w="57" w:type="dxa"/>
                    <w:bottom w:w="0" w:type="dxa"/>
                    <w:right w:w="57" w:type="dxa"/>
                  </w:tcMar>
                  <w:vAlign w:val="center"/>
                </w:tcPr>
                <w:p w14:paraId="4A475E44">
                  <w:pPr>
                    <w:pStyle w:val="20"/>
                    <w:bidi w:val="0"/>
                    <w:rPr>
                      <w:rFonts w:hint="eastAsia"/>
                      <w:color w:val="auto"/>
                      <w:highlight w:val="none"/>
                    </w:rPr>
                  </w:pPr>
                </w:p>
              </w:tc>
              <w:tc>
                <w:tcPr>
                  <w:tcW w:w="277" w:type="pct"/>
                  <w:tcMar>
                    <w:top w:w="0" w:type="dxa"/>
                    <w:left w:w="57" w:type="dxa"/>
                    <w:bottom w:w="0" w:type="dxa"/>
                    <w:right w:w="57" w:type="dxa"/>
                  </w:tcMar>
                  <w:vAlign w:val="center"/>
                </w:tcPr>
                <w:p w14:paraId="3CA24C12">
                  <w:pPr>
                    <w:pStyle w:val="20"/>
                    <w:bidi w:val="0"/>
                    <w:rPr>
                      <w:rFonts w:hint="default"/>
                      <w:color w:val="auto"/>
                      <w:highlight w:val="none"/>
                      <w:lang w:val="en-US" w:eastAsia="zh-CN"/>
                    </w:rPr>
                  </w:pPr>
                  <w:r>
                    <w:rPr>
                      <w:rFonts w:hint="eastAsia"/>
                      <w:color w:val="auto"/>
                      <w:highlight w:val="none"/>
                      <w:lang w:val="en-US" w:eastAsia="zh-CN"/>
                    </w:rPr>
                    <w:t>0.1328</w:t>
                  </w:r>
                </w:p>
              </w:tc>
              <w:tc>
                <w:tcPr>
                  <w:tcW w:w="253" w:type="pct"/>
                  <w:tcMar>
                    <w:top w:w="0" w:type="dxa"/>
                    <w:left w:w="57" w:type="dxa"/>
                    <w:bottom w:w="0" w:type="dxa"/>
                    <w:right w:w="57" w:type="dxa"/>
                  </w:tcMar>
                  <w:vAlign w:val="center"/>
                </w:tcPr>
                <w:p w14:paraId="3F5FF962">
                  <w:pPr>
                    <w:pStyle w:val="20"/>
                    <w:bidi w:val="0"/>
                    <w:rPr>
                      <w:rFonts w:hint="default"/>
                      <w:color w:val="auto"/>
                      <w:highlight w:val="none"/>
                      <w:lang w:val="en-US" w:eastAsia="zh-CN"/>
                    </w:rPr>
                  </w:pPr>
                  <w:r>
                    <w:rPr>
                      <w:rFonts w:hint="eastAsia"/>
                      <w:color w:val="auto"/>
                      <w:highlight w:val="none"/>
                      <w:lang w:val="en-US" w:eastAsia="zh-CN"/>
                    </w:rPr>
                    <w:t>0.018</w:t>
                  </w:r>
                </w:p>
              </w:tc>
              <w:tc>
                <w:tcPr>
                  <w:tcW w:w="302" w:type="pct"/>
                  <w:tcMar>
                    <w:top w:w="0" w:type="dxa"/>
                    <w:left w:w="57" w:type="dxa"/>
                    <w:bottom w:w="0" w:type="dxa"/>
                    <w:right w:w="57" w:type="dxa"/>
                  </w:tcMar>
                  <w:vAlign w:val="center"/>
                </w:tcPr>
                <w:p w14:paraId="04A4DA30">
                  <w:pPr>
                    <w:pStyle w:val="20"/>
                    <w:bidi w:val="0"/>
                    <w:rPr>
                      <w:rFonts w:hint="default"/>
                      <w:color w:val="auto"/>
                      <w:highlight w:val="none"/>
                      <w:lang w:val="en-US" w:eastAsia="zh-CN"/>
                    </w:rPr>
                  </w:pPr>
                  <w:r>
                    <w:rPr>
                      <w:rFonts w:hint="eastAsia"/>
                      <w:color w:val="auto"/>
                      <w:highlight w:val="none"/>
                      <w:lang w:val="en-US" w:eastAsia="zh-CN"/>
                    </w:rPr>
                    <w:t>0.922</w:t>
                  </w:r>
                </w:p>
              </w:tc>
              <w:tc>
                <w:tcPr>
                  <w:tcW w:w="229" w:type="pct"/>
                  <w:vMerge w:val="continue"/>
                  <w:tcMar>
                    <w:top w:w="0" w:type="dxa"/>
                    <w:left w:w="57" w:type="dxa"/>
                    <w:bottom w:w="0" w:type="dxa"/>
                    <w:right w:w="57" w:type="dxa"/>
                  </w:tcMar>
                  <w:vAlign w:val="center"/>
                </w:tcPr>
                <w:p w14:paraId="17ABB7EF">
                  <w:pPr>
                    <w:pStyle w:val="20"/>
                    <w:bidi w:val="0"/>
                    <w:rPr>
                      <w:rFonts w:hint="eastAsia"/>
                      <w:color w:val="auto"/>
                      <w:highlight w:val="none"/>
                      <w:lang w:val="en-US" w:eastAsia="zh-CN"/>
                    </w:rPr>
                  </w:pPr>
                </w:p>
              </w:tc>
            </w:tr>
            <w:tr w14:paraId="470C8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54" w:hRule="atLeast"/>
              </w:trPr>
              <w:tc>
                <w:tcPr>
                  <w:tcW w:w="321" w:type="pct"/>
                  <w:vMerge w:val="continue"/>
                  <w:tcMar>
                    <w:top w:w="0" w:type="dxa"/>
                    <w:left w:w="57" w:type="dxa"/>
                    <w:bottom w:w="0" w:type="dxa"/>
                    <w:right w:w="57" w:type="dxa"/>
                  </w:tcMar>
                  <w:vAlign w:val="center"/>
                </w:tcPr>
                <w:p w14:paraId="3934E6C6">
                  <w:pPr>
                    <w:pStyle w:val="20"/>
                    <w:bidi w:val="0"/>
                    <w:rPr>
                      <w:rFonts w:hint="eastAsia"/>
                      <w:color w:val="auto"/>
                      <w:highlight w:val="none"/>
                    </w:rPr>
                  </w:pPr>
                </w:p>
              </w:tc>
              <w:tc>
                <w:tcPr>
                  <w:tcW w:w="396" w:type="pct"/>
                  <w:vMerge w:val="continue"/>
                  <w:tcMar>
                    <w:top w:w="0" w:type="dxa"/>
                    <w:left w:w="57" w:type="dxa"/>
                    <w:bottom w:w="0" w:type="dxa"/>
                    <w:right w:w="57" w:type="dxa"/>
                  </w:tcMar>
                  <w:vAlign w:val="center"/>
                </w:tcPr>
                <w:p w14:paraId="309722E0">
                  <w:pPr>
                    <w:pStyle w:val="20"/>
                    <w:bidi w:val="0"/>
                    <w:rPr>
                      <w:rFonts w:hint="eastAsia"/>
                      <w:color w:val="auto"/>
                      <w:highlight w:val="none"/>
                      <w:lang w:val="en-US" w:eastAsia="zh-CN"/>
                    </w:rPr>
                  </w:pPr>
                </w:p>
              </w:tc>
              <w:tc>
                <w:tcPr>
                  <w:tcW w:w="598" w:type="pct"/>
                  <w:tcMar>
                    <w:top w:w="0" w:type="dxa"/>
                    <w:left w:w="57" w:type="dxa"/>
                    <w:bottom w:w="0" w:type="dxa"/>
                    <w:right w:w="57" w:type="dxa"/>
                  </w:tcMar>
                  <w:vAlign w:val="center"/>
                </w:tcPr>
                <w:p w14:paraId="2D936456">
                  <w:pPr>
                    <w:pStyle w:val="20"/>
                    <w:bidi w:val="0"/>
                    <w:rPr>
                      <w:rFonts w:hint="default"/>
                      <w:color w:val="auto"/>
                      <w:highlight w:val="none"/>
                      <w:lang w:val="en-US" w:eastAsia="zh-CN"/>
                    </w:rPr>
                  </w:pPr>
                  <w:r>
                    <w:rPr>
                      <w:rFonts w:hint="eastAsia"/>
                      <w:color w:val="auto"/>
                      <w:highlight w:val="none"/>
                      <w:lang w:val="en-US" w:eastAsia="zh-CN"/>
                    </w:rPr>
                    <w:t>颗粒物</w:t>
                  </w:r>
                </w:p>
              </w:tc>
              <w:tc>
                <w:tcPr>
                  <w:tcW w:w="248" w:type="pct"/>
                  <w:vMerge w:val="continue"/>
                  <w:tcMar>
                    <w:top w:w="0" w:type="dxa"/>
                    <w:left w:w="57" w:type="dxa"/>
                    <w:bottom w:w="0" w:type="dxa"/>
                    <w:right w:w="57" w:type="dxa"/>
                  </w:tcMar>
                  <w:vAlign w:val="center"/>
                </w:tcPr>
                <w:p w14:paraId="0A8210F3">
                  <w:pPr>
                    <w:pStyle w:val="20"/>
                    <w:bidi w:val="0"/>
                    <w:rPr>
                      <w:rFonts w:hint="eastAsia"/>
                      <w:color w:val="auto"/>
                      <w:highlight w:val="none"/>
                      <w:lang w:val="en-US" w:eastAsia="zh-CN"/>
                    </w:rPr>
                  </w:pPr>
                </w:p>
              </w:tc>
              <w:tc>
                <w:tcPr>
                  <w:tcW w:w="282" w:type="pct"/>
                  <w:tcMar>
                    <w:top w:w="0" w:type="dxa"/>
                    <w:left w:w="57" w:type="dxa"/>
                    <w:bottom w:w="0" w:type="dxa"/>
                    <w:right w:w="57" w:type="dxa"/>
                  </w:tcMar>
                  <w:vAlign w:val="center"/>
                </w:tcPr>
                <w:p w14:paraId="49FF3C92">
                  <w:pPr>
                    <w:pStyle w:val="20"/>
                    <w:bidi w:val="0"/>
                    <w:rPr>
                      <w:rFonts w:hint="default"/>
                      <w:color w:val="auto"/>
                      <w:highlight w:val="none"/>
                      <w:lang w:val="en-US" w:eastAsia="zh-CN"/>
                    </w:rPr>
                  </w:pPr>
                  <w:r>
                    <w:rPr>
                      <w:rFonts w:hint="eastAsia"/>
                      <w:color w:val="auto"/>
                      <w:highlight w:val="none"/>
                      <w:lang w:val="en-US" w:eastAsia="zh-CN"/>
                    </w:rPr>
                    <w:t>少量</w:t>
                  </w:r>
                </w:p>
              </w:tc>
              <w:tc>
                <w:tcPr>
                  <w:tcW w:w="279" w:type="pct"/>
                  <w:tcMar>
                    <w:top w:w="0" w:type="dxa"/>
                    <w:left w:w="57" w:type="dxa"/>
                    <w:bottom w:w="0" w:type="dxa"/>
                    <w:right w:w="57" w:type="dxa"/>
                  </w:tcMar>
                  <w:vAlign w:val="center"/>
                </w:tcPr>
                <w:p w14:paraId="33C45D41">
                  <w:pPr>
                    <w:pStyle w:val="20"/>
                    <w:bidi w:val="0"/>
                    <w:rPr>
                      <w:rFonts w:hint="default"/>
                      <w:color w:val="auto"/>
                      <w:highlight w:val="none"/>
                      <w:lang w:val="en-US" w:eastAsia="zh-CN"/>
                    </w:rPr>
                  </w:pPr>
                  <w:r>
                    <w:rPr>
                      <w:rFonts w:hint="eastAsia"/>
                      <w:color w:val="auto"/>
                      <w:highlight w:val="none"/>
                      <w:lang w:val="en-US" w:eastAsia="zh-CN"/>
                    </w:rPr>
                    <w:t>/</w:t>
                  </w:r>
                </w:p>
              </w:tc>
              <w:tc>
                <w:tcPr>
                  <w:tcW w:w="310" w:type="pct"/>
                  <w:tcMar>
                    <w:top w:w="0" w:type="dxa"/>
                    <w:left w:w="57" w:type="dxa"/>
                    <w:bottom w:w="0" w:type="dxa"/>
                    <w:right w:w="57" w:type="dxa"/>
                  </w:tcMar>
                  <w:vAlign w:val="center"/>
                </w:tcPr>
                <w:p w14:paraId="0E56B6C8">
                  <w:pPr>
                    <w:pStyle w:val="20"/>
                    <w:bidi w:val="0"/>
                    <w:rPr>
                      <w:rFonts w:hint="default"/>
                      <w:color w:val="auto"/>
                      <w:highlight w:val="none"/>
                      <w:lang w:val="en-US" w:eastAsia="zh-CN"/>
                    </w:rPr>
                  </w:pPr>
                  <w:r>
                    <w:rPr>
                      <w:rFonts w:hint="eastAsia"/>
                      <w:color w:val="auto"/>
                      <w:highlight w:val="none"/>
                      <w:lang w:val="en-US" w:eastAsia="zh-CN"/>
                    </w:rPr>
                    <w:t>/</w:t>
                  </w:r>
                </w:p>
              </w:tc>
              <w:tc>
                <w:tcPr>
                  <w:tcW w:w="286" w:type="pct"/>
                  <w:tcMar>
                    <w:top w:w="0" w:type="dxa"/>
                    <w:left w:w="57" w:type="dxa"/>
                    <w:bottom w:w="0" w:type="dxa"/>
                    <w:right w:w="57" w:type="dxa"/>
                  </w:tcMar>
                  <w:vAlign w:val="center"/>
                </w:tcPr>
                <w:p w14:paraId="1CFF9768">
                  <w:pPr>
                    <w:pStyle w:val="20"/>
                    <w:bidi w:val="0"/>
                    <w:rPr>
                      <w:rFonts w:hint="default"/>
                      <w:color w:val="auto"/>
                      <w:highlight w:val="none"/>
                      <w:lang w:val="en-US" w:eastAsia="zh-CN"/>
                    </w:rPr>
                  </w:pPr>
                  <w:r>
                    <w:rPr>
                      <w:rFonts w:hint="eastAsia"/>
                      <w:color w:val="auto"/>
                      <w:highlight w:val="none"/>
                      <w:lang w:val="en-US" w:eastAsia="zh-CN"/>
                    </w:rPr>
                    <w:t>/</w:t>
                  </w:r>
                </w:p>
              </w:tc>
              <w:tc>
                <w:tcPr>
                  <w:tcW w:w="309" w:type="pct"/>
                  <w:tcMar>
                    <w:top w:w="0" w:type="dxa"/>
                    <w:left w:w="57" w:type="dxa"/>
                    <w:bottom w:w="0" w:type="dxa"/>
                    <w:right w:w="57" w:type="dxa"/>
                  </w:tcMar>
                  <w:vAlign w:val="center"/>
                </w:tcPr>
                <w:p w14:paraId="734F60B1">
                  <w:pPr>
                    <w:pStyle w:val="20"/>
                    <w:bidi w:val="0"/>
                    <w:rPr>
                      <w:rFonts w:hint="default"/>
                      <w:color w:val="auto"/>
                      <w:highlight w:val="none"/>
                      <w:lang w:val="en-US" w:eastAsia="zh-CN"/>
                    </w:rPr>
                  </w:pPr>
                  <w:r>
                    <w:rPr>
                      <w:rFonts w:hint="eastAsia"/>
                      <w:color w:val="auto"/>
                      <w:highlight w:val="none"/>
                      <w:lang w:val="en-US" w:eastAsia="zh-CN"/>
                    </w:rPr>
                    <w:t>/</w:t>
                  </w:r>
                </w:p>
              </w:tc>
              <w:tc>
                <w:tcPr>
                  <w:tcW w:w="233" w:type="pct"/>
                  <w:vMerge w:val="continue"/>
                  <w:tcMar>
                    <w:top w:w="0" w:type="dxa"/>
                    <w:left w:w="57" w:type="dxa"/>
                    <w:bottom w:w="0" w:type="dxa"/>
                    <w:right w:w="57" w:type="dxa"/>
                  </w:tcMar>
                  <w:vAlign w:val="center"/>
                </w:tcPr>
                <w:p w14:paraId="165A6E00">
                  <w:pPr>
                    <w:pStyle w:val="20"/>
                    <w:bidi w:val="0"/>
                    <w:rPr>
                      <w:rFonts w:hint="eastAsia"/>
                      <w:color w:val="auto"/>
                      <w:highlight w:val="none"/>
                    </w:rPr>
                  </w:pPr>
                </w:p>
              </w:tc>
              <w:tc>
                <w:tcPr>
                  <w:tcW w:w="300" w:type="pct"/>
                  <w:tcMar>
                    <w:top w:w="0" w:type="dxa"/>
                    <w:left w:w="57" w:type="dxa"/>
                    <w:bottom w:w="0" w:type="dxa"/>
                    <w:right w:w="57" w:type="dxa"/>
                  </w:tcMar>
                  <w:vAlign w:val="center"/>
                </w:tcPr>
                <w:p w14:paraId="1B7D46B1">
                  <w:pPr>
                    <w:pStyle w:val="20"/>
                    <w:bidi w:val="0"/>
                    <w:rPr>
                      <w:rFonts w:hint="eastAsia"/>
                      <w:color w:val="auto"/>
                      <w:highlight w:val="none"/>
                      <w:lang w:val="en-US" w:eastAsia="zh-CN"/>
                    </w:rPr>
                  </w:pPr>
                  <w:r>
                    <w:rPr>
                      <w:rFonts w:hint="eastAsia"/>
                      <w:color w:val="auto"/>
                      <w:highlight w:val="none"/>
                      <w:lang w:val="en-US" w:eastAsia="zh-CN"/>
                    </w:rPr>
                    <w:t>/</w:t>
                  </w:r>
                </w:p>
              </w:tc>
              <w:tc>
                <w:tcPr>
                  <w:tcW w:w="372" w:type="pct"/>
                  <w:vMerge w:val="continue"/>
                  <w:tcMar>
                    <w:top w:w="0" w:type="dxa"/>
                    <w:left w:w="57" w:type="dxa"/>
                    <w:bottom w:w="0" w:type="dxa"/>
                    <w:right w:w="57" w:type="dxa"/>
                  </w:tcMar>
                  <w:vAlign w:val="center"/>
                </w:tcPr>
                <w:p w14:paraId="6375D134">
                  <w:pPr>
                    <w:pStyle w:val="20"/>
                    <w:bidi w:val="0"/>
                    <w:rPr>
                      <w:rFonts w:hint="eastAsia"/>
                      <w:color w:val="auto"/>
                      <w:highlight w:val="none"/>
                    </w:rPr>
                  </w:pPr>
                </w:p>
              </w:tc>
              <w:tc>
                <w:tcPr>
                  <w:tcW w:w="277" w:type="pct"/>
                  <w:tcMar>
                    <w:top w:w="0" w:type="dxa"/>
                    <w:left w:w="57" w:type="dxa"/>
                    <w:bottom w:w="0" w:type="dxa"/>
                    <w:right w:w="57" w:type="dxa"/>
                  </w:tcMar>
                  <w:vAlign w:val="center"/>
                </w:tcPr>
                <w:p w14:paraId="45D67CBE">
                  <w:pPr>
                    <w:pStyle w:val="20"/>
                    <w:bidi w:val="0"/>
                    <w:rPr>
                      <w:rFonts w:hint="default"/>
                      <w:color w:val="auto"/>
                      <w:highlight w:val="none"/>
                      <w:lang w:val="en-US" w:eastAsia="zh-CN"/>
                    </w:rPr>
                  </w:pPr>
                  <w:r>
                    <w:rPr>
                      <w:rFonts w:hint="eastAsia"/>
                      <w:color w:val="auto"/>
                      <w:highlight w:val="none"/>
                      <w:lang w:val="en-US" w:eastAsia="zh-CN"/>
                    </w:rPr>
                    <w:t>/</w:t>
                  </w:r>
                </w:p>
              </w:tc>
              <w:tc>
                <w:tcPr>
                  <w:tcW w:w="253" w:type="pct"/>
                  <w:tcMar>
                    <w:top w:w="0" w:type="dxa"/>
                    <w:left w:w="57" w:type="dxa"/>
                    <w:bottom w:w="0" w:type="dxa"/>
                    <w:right w:w="57" w:type="dxa"/>
                  </w:tcMar>
                  <w:vAlign w:val="center"/>
                </w:tcPr>
                <w:p w14:paraId="2D6017D2">
                  <w:pPr>
                    <w:pStyle w:val="20"/>
                    <w:bidi w:val="0"/>
                    <w:rPr>
                      <w:rFonts w:hint="default"/>
                      <w:color w:val="auto"/>
                      <w:highlight w:val="none"/>
                      <w:lang w:val="en-US" w:eastAsia="zh-CN"/>
                    </w:rPr>
                  </w:pPr>
                  <w:r>
                    <w:rPr>
                      <w:rFonts w:hint="eastAsia"/>
                      <w:color w:val="auto"/>
                      <w:highlight w:val="none"/>
                      <w:lang w:val="en-US" w:eastAsia="zh-CN"/>
                    </w:rPr>
                    <w:t>/</w:t>
                  </w:r>
                </w:p>
              </w:tc>
              <w:tc>
                <w:tcPr>
                  <w:tcW w:w="302" w:type="pct"/>
                  <w:tcMar>
                    <w:top w:w="0" w:type="dxa"/>
                    <w:left w:w="57" w:type="dxa"/>
                    <w:bottom w:w="0" w:type="dxa"/>
                    <w:right w:w="57" w:type="dxa"/>
                  </w:tcMar>
                  <w:vAlign w:val="center"/>
                </w:tcPr>
                <w:p w14:paraId="362A1DAA">
                  <w:pPr>
                    <w:pStyle w:val="20"/>
                    <w:bidi w:val="0"/>
                    <w:rPr>
                      <w:rFonts w:hint="default"/>
                      <w:color w:val="auto"/>
                      <w:highlight w:val="none"/>
                      <w:lang w:val="en-US" w:eastAsia="zh-CN"/>
                    </w:rPr>
                  </w:pPr>
                  <w:r>
                    <w:rPr>
                      <w:rFonts w:hint="eastAsia"/>
                      <w:color w:val="auto"/>
                      <w:highlight w:val="none"/>
                      <w:lang w:val="en-US" w:eastAsia="zh-CN"/>
                    </w:rPr>
                    <w:t>/</w:t>
                  </w:r>
                </w:p>
              </w:tc>
              <w:tc>
                <w:tcPr>
                  <w:tcW w:w="229" w:type="pct"/>
                  <w:vMerge w:val="continue"/>
                  <w:tcMar>
                    <w:top w:w="0" w:type="dxa"/>
                    <w:left w:w="57" w:type="dxa"/>
                    <w:bottom w:w="0" w:type="dxa"/>
                    <w:right w:w="57" w:type="dxa"/>
                  </w:tcMar>
                  <w:vAlign w:val="center"/>
                </w:tcPr>
                <w:p w14:paraId="75E2663D">
                  <w:pPr>
                    <w:pStyle w:val="20"/>
                    <w:bidi w:val="0"/>
                    <w:rPr>
                      <w:rFonts w:hint="eastAsia"/>
                      <w:color w:val="auto"/>
                      <w:highlight w:val="none"/>
                      <w:lang w:val="en-US" w:eastAsia="zh-CN"/>
                    </w:rPr>
                  </w:pPr>
                </w:p>
              </w:tc>
            </w:tr>
            <w:tr w14:paraId="1C8E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54" w:hRule="atLeast"/>
              </w:trPr>
              <w:tc>
                <w:tcPr>
                  <w:tcW w:w="321" w:type="pct"/>
                  <w:tcMar>
                    <w:top w:w="0" w:type="dxa"/>
                    <w:left w:w="57" w:type="dxa"/>
                    <w:bottom w:w="0" w:type="dxa"/>
                    <w:right w:w="57" w:type="dxa"/>
                  </w:tcMar>
                  <w:vAlign w:val="center"/>
                </w:tcPr>
                <w:p w14:paraId="709EB83F">
                  <w:pPr>
                    <w:pStyle w:val="20"/>
                    <w:bidi w:val="0"/>
                    <w:rPr>
                      <w:rFonts w:hint="eastAsia" w:eastAsia="宋体"/>
                      <w:color w:val="auto"/>
                      <w:highlight w:val="none"/>
                      <w:lang w:val="en-US" w:eastAsia="zh-CN"/>
                    </w:rPr>
                  </w:pPr>
                  <w:r>
                    <w:rPr>
                      <w:rFonts w:hint="eastAsia"/>
                      <w:color w:val="auto"/>
                      <w:highlight w:val="none"/>
                      <w:lang w:val="en-US" w:eastAsia="zh-CN"/>
                    </w:rPr>
                    <w:t>/</w:t>
                  </w:r>
                </w:p>
              </w:tc>
              <w:tc>
                <w:tcPr>
                  <w:tcW w:w="396" w:type="pct"/>
                  <w:tcMar>
                    <w:top w:w="0" w:type="dxa"/>
                    <w:left w:w="57" w:type="dxa"/>
                    <w:bottom w:w="0" w:type="dxa"/>
                    <w:right w:w="57" w:type="dxa"/>
                  </w:tcMar>
                  <w:vAlign w:val="center"/>
                </w:tcPr>
                <w:p w14:paraId="35B5D46D">
                  <w:pPr>
                    <w:pStyle w:val="20"/>
                    <w:bidi w:val="0"/>
                    <w:rPr>
                      <w:rFonts w:hint="default"/>
                      <w:color w:val="auto"/>
                      <w:highlight w:val="none"/>
                      <w:lang w:val="en-US" w:eastAsia="zh-CN"/>
                    </w:rPr>
                  </w:pPr>
                  <w:r>
                    <w:rPr>
                      <w:rFonts w:hint="eastAsia"/>
                      <w:color w:val="auto"/>
                      <w:highlight w:val="none"/>
                      <w:lang w:val="en-US" w:eastAsia="zh-CN"/>
                    </w:rPr>
                    <w:t>焊接废气</w:t>
                  </w:r>
                </w:p>
              </w:tc>
              <w:tc>
                <w:tcPr>
                  <w:tcW w:w="598" w:type="pct"/>
                  <w:tcMar>
                    <w:top w:w="0" w:type="dxa"/>
                    <w:left w:w="57" w:type="dxa"/>
                    <w:bottom w:w="0" w:type="dxa"/>
                    <w:right w:w="57" w:type="dxa"/>
                  </w:tcMar>
                  <w:vAlign w:val="center"/>
                </w:tcPr>
                <w:p w14:paraId="196D6BA2">
                  <w:pPr>
                    <w:pStyle w:val="20"/>
                    <w:bidi w:val="0"/>
                    <w:rPr>
                      <w:rFonts w:hint="eastAsia"/>
                      <w:color w:val="auto"/>
                      <w:highlight w:val="none"/>
                      <w:lang w:val="en-US" w:eastAsia="zh-CN"/>
                    </w:rPr>
                  </w:pPr>
                  <w:r>
                    <w:rPr>
                      <w:rFonts w:hint="eastAsia"/>
                      <w:color w:val="auto"/>
                      <w:highlight w:val="none"/>
                      <w:lang w:val="en-US" w:eastAsia="zh-CN"/>
                    </w:rPr>
                    <w:t>非甲烷总烃</w:t>
                  </w:r>
                </w:p>
              </w:tc>
              <w:tc>
                <w:tcPr>
                  <w:tcW w:w="248" w:type="pct"/>
                  <w:tcMar>
                    <w:top w:w="0" w:type="dxa"/>
                    <w:left w:w="57" w:type="dxa"/>
                    <w:bottom w:w="0" w:type="dxa"/>
                    <w:right w:w="57" w:type="dxa"/>
                  </w:tcMar>
                  <w:vAlign w:val="center"/>
                </w:tcPr>
                <w:p w14:paraId="26CE1826">
                  <w:pPr>
                    <w:pStyle w:val="20"/>
                    <w:bidi w:val="0"/>
                    <w:rPr>
                      <w:rFonts w:hint="default"/>
                      <w:color w:val="auto"/>
                      <w:highlight w:val="none"/>
                      <w:lang w:val="en-US" w:eastAsia="zh-CN"/>
                    </w:rPr>
                  </w:pPr>
                  <w:r>
                    <w:rPr>
                      <w:rFonts w:hint="eastAsia"/>
                      <w:color w:val="auto"/>
                      <w:highlight w:val="none"/>
                      <w:lang w:val="en-US" w:eastAsia="zh-CN"/>
                    </w:rPr>
                    <w:t>/</w:t>
                  </w:r>
                </w:p>
              </w:tc>
              <w:tc>
                <w:tcPr>
                  <w:tcW w:w="561" w:type="pct"/>
                  <w:gridSpan w:val="2"/>
                  <w:tcMar>
                    <w:top w:w="0" w:type="dxa"/>
                    <w:left w:w="57" w:type="dxa"/>
                    <w:bottom w:w="0" w:type="dxa"/>
                    <w:right w:w="57" w:type="dxa"/>
                  </w:tcMar>
                  <w:vAlign w:val="center"/>
                </w:tcPr>
                <w:p w14:paraId="77EDD26A">
                  <w:pPr>
                    <w:pStyle w:val="20"/>
                    <w:bidi w:val="0"/>
                    <w:rPr>
                      <w:rFonts w:hint="default"/>
                      <w:color w:val="auto"/>
                      <w:highlight w:val="none"/>
                      <w:lang w:val="en-US" w:eastAsia="zh-CN"/>
                    </w:rPr>
                  </w:pPr>
                  <w:r>
                    <w:rPr>
                      <w:rFonts w:hint="eastAsia"/>
                      <w:color w:val="auto"/>
                      <w:highlight w:val="none"/>
                      <w:lang w:val="en-US" w:eastAsia="zh-CN"/>
                    </w:rPr>
                    <w:t>0.00135t</w:t>
                  </w:r>
                </w:p>
              </w:tc>
              <w:tc>
                <w:tcPr>
                  <w:tcW w:w="310" w:type="pct"/>
                  <w:tcMar>
                    <w:top w:w="0" w:type="dxa"/>
                    <w:left w:w="57" w:type="dxa"/>
                    <w:bottom w:w="0" w:type="dxa"/>
                    <w:right w:w="57" w:type="dxa"/>
                  </w:tcMar>
                  <w:vAlign w:val="center"/>
                </w:tcPr>
                <w:p w14:paraId="16E73240">
                  <w:pPr>
                    <w:pStyle w:val="20"/>
                    <w:bidi w:val="0"/>
                    <w:rPr>
                      <w:rFonts w:hint="default"/>
                      <w:color w:val="auto"/>
                      <w:highlight w:val="none"/>
                      <w:lang w:val="en-US" w:eastAsia="zh-CN"/>
                    </w:rPr>
                  </w:pPr>
                  <w:r>
                    <w:rPr>
                      <w:rFonts w:hint="eastAsia"/>
                      <w:color w:val="auto"/>
                      <w:highlight w:val="none"/>
                      <w:lang w:val="en-US" w:eastAsia="zh-CN"/>
                    </w:rPr>
                    <w:t>/</w:t>
                  </w:r>
                </w:p>
              </w:tc>
              <w:tc>
                <w:tcPr>
                  <w:tcW w:w="286" w:type="pct"/>
                  <w:tcMar>
                    <w:top w:w="0" w:type="dxa"/>
                    <w:left w:w="57" w:type="dxa"/>
                    <w:bottom w:w="0" w:type="dxa"/>
                    <w:right w:w="57" w:type="dxa"/>
                  </w:tcMar>
                  <w:vAlign w:val="center"/>
                </w:tcPr>
                <w:p w14:paraId="72357A62">
                  <w:pPr>
                    <w:pStyle w:val="20"/>
                    <w:bidi w:val="0"/>
                    <w:rPr>
                      <w:rFonts w:hint="default"/>
                      <w:color w:val="auto"/>
                      <w:highlight w:val="none"/>
                      <w:lang w:val="en-US" w:eastAsia="zh-CN"/>
                    </w:rPr>
                  </w:pPr>
                  <w:r>
                    <w:rPr>
                      <w:rFonts w:hint="eastAsia"/>
                      <w:color w:val="auto"/>
                      <w:highlight w:val="none"/>
                      <w:lang w:val="en-US" w:eastAsia="zh-CN"/>
                    </w:rPr>
                    <w:t>/</w:t>
                  </w:r>
                </w:p>
              </w:tc>
              <w:tc>
                <w:tcPr>
                  <w:tcW w:w="309" w:type="pct"/>
                  <w:tcMar>
                    <w:top w:w="0" w:type="dxa"/>
                    <w:left w:w="57" w:type="dxa"/>
                    <w:bottom w:w="0" w:type="dxa"/>
                    <w:right w:w="57" w:type="dxa"/>
                  </w:tcMar>
                  <w:vAlign w:val="center"/>
                </w:tcPr>
                <w:p w14:paraId="5EFF0331">
                  <w:pPr>
                    <w:pStyle w:val="20"/>
                    <w:bidi w:val="0"/>
                    <w:rPr>
                      <w:rFonts w:hint="default"/>
                      <w:color w:val="auto"/>
                      <w:highlight w:val="none"/>
                      <w:lang w:val="en-US" w:eastAsia="zh-CN"/>
                    </w:rPr>
                  </w:pPr>
                  <w:r>
                    <w:rPr>
                      <w:rFonts w:hint="eastAsia"/>
                      <w:color w:val="auto"/>
                      <w:highlight w:val="none"/>
                      <w:lang w:val="en-US" w:eastAsia="zh-CN"/>
                    </w:rPr>
                    <w:t>/</w:t>
                  </w:r>
                </w:p>
              </w:tc>
              <w:tc>
                <w:tcPr>
                  <w:tcW w:w="233" w:type="pct"/>
                  <w:tcMar>
                    <w:top w:w="0" w:type="dxa"/>
                    <w:left w:w="57" w:type="dxa"/>
                    <w:bottom w:w="0" w:type="dxa"/>
                    <w:right w:w="57" w:type="dxa"/>
                  </w:tcMar>
                  <w:vAlign w:val="center"/>
                </w:tcPr>
                <w:p w14:paraId="00691779">
                  <w:pPr>
                    <w:pStyle w:val="20"/>
                    <w:bidi w:val="0"/>
                    <w:rPr>
                      <w:rFonts w:hint="eastAsia"/>
                      <w:color w:val="auto"/>
                      <w:highlight w:val="none"/>
                      <w:lang w:val="en-US" w:eastAsia="zh-CN"/>
                    </w:rPr>
                  </w:pPr>
                  <w:r>
                    <w:rPr>
                      <w:rFonts w:hint="eastAsia"/>
                      <w:color w:val="auto"/>
                      <w:highlight w:val="none"/>
                      <w:lang w:val="en-US" w:eastAsia="zh-CN"/>
                    </w:rPr>
                    <w:t>/</w:t>
                  </w:r>
                </w:p>
              </w:tc>
              <w:tc>
                <w:tcPr>
                  <w:tcW w:w="300" w:type="pct"/>
                  <w:tcMar>
                    <w:top w:w="0" w:type="dxa"/>
                    <w:left w:w="57" w:type="dxa"/>
                    <w:bottom w:w="0" w:type="dxa"/>
                    <w:right w:w="57" w:type="dxa"/>
                  </w:tcMar>
                  <w:vAlign w:val="center"/>
                </w:tcPr>
                <w:p w14:paraId="71507798">
                  <w:pPr>
                    <w:pStyle w:val="20"/>
                    <w:bidi w:val="0"/>
                    <w:rPr>
                      <w:rFonts w:hint="eastAsia"/>
                      <w:color w:val="auto"/>
                      <w:highlight w:val="none"/>
                      <w:lang w:val="en-US" w:eastAsia="zh-CN"/>
                    </w:rPr>
                  </w:pPr>
                  <w:r>
                    <w:rPr>
                      <w:rFonts w:hint="eastAsia"/>
                      <w:color w:val="auto"/>
                      <w:highlight w:val="none"/>
                      <w:lang w:val="en-US" w:eastAsia="zh-CN"/>
                    </w:rPr>
                    <w:t>/</w:t>
                  </w:r>
                </w:p>
              </w:tc>
              <w:tc>
                <w:tcPr>
                  <w:tcW w:w="372" w:type="pct"/>
                  <w:tcMar>
                    <w:top w:w="0" w:type="dxa"/>
                    <w:left w:w="57" w:type="dxa"/>
                    <w:bottom w:w="0" w:type="dxa"/>
                    <w:right w:w="57" w:type="dxa"/>
                  </w:tcMar>
                  <w:vAlign w:val="center"/>
                </w:tcPr>
                <w:p w14:paraId="6E33E5A5">
                  <w:pPr>
                    <w:pStyle w:val="20"/>
                    <w:bidi w:val="0"/>
                    <w:rPr>
                      <w:rFonts w:hint="eastAsia"/>
                      <w:color w:val="auto"/>
                      <w:highlight w:val="none"/>
                      <w:lang w:val="en-US" w:eastAsia="zh-CN"/>
                    </w:rPr>
                  </w:pPr>
                  <w:r>
                    <w:rPr>
                      <w:rFonts w:hint="eastAsia"/>
                      <w:color w:val="auto"/>
                      <w:highlight w:val="none"/>
                      <w:lang w:val="en-US" w:eastAsia="zh-CN"/>
                    </w:rPr>
                    <w:t>/</w:t>
                  </w:r>
                </w:p>
              </w:tc>
              <w:tc>
                <w:tcPr>
                  <w:tcW w:w="277" w:type="pct"/>
                  <w:tcMar>
                    <w:top w:w="0" w:type="dxa"/>
                    <w:left w:w="57" w:type="dxa"/>
                    <w:bottom w:w="0" w:type="dxa"/>
                    <w:right w:w="57" w:type="dxa"/>
                  </w:tcMar>
                  <w:vAlign w:val="center"/>
                </w:tcPr>
                <w:p w14:paraId="78E29FF3">
                  <w:pPr>
                    <w:pStyle w:val="20"/>
                    <w:bidi w:val="0"/>
                    <w:rPr>
                      <w:rFonts w:hint="default"/>
                      <w:color w:val="auto"/>
                      <w:highlight w:val="none"/>
                      <w:lang w:val="en-US" w:eastAsia="zh-CN"/>
                    </w:rPr>
                  </w:pPr>
                  <w:r>
                    <w:rPr>
                      <w:rFonts w:hint="eastAsia"/>
                      <w:color w:val="auto"/>
                      <w:highlight w:val="none"/>
                      <w:lang w:val="en-US" w:eastAsia="zh-CN"/>
                    </w:rPr>
                    <w:t>/</w:t>
                  </w:r>
                </w:p>
              </w:tc>
              <w:tc>
                <w:tcPr>
                  <w:tcW w:w="253" w:type="pct"/>
                  <w:tcMar>
                    <w:top w:w="0" w:type="dxa"/>
                    <w:left w:w="57" w:type="dxa"/>
                    <w:bottom w:w="0" w:type="dxa"/>
                    <w:right w:w="57" w:type="dxa"/>
                  </w:tcMar>
                  <w:vAlign w:val="center"/>
                </w:tcPr>
                <w:p w14:paraId="6132022B">
                  <w:pPr>
                    <w:pStyle w:val="20"/>
                    <w:bidi w:val="0"/>
                    <w:rPr>
                      <w:rFonts w:hint="default"/>
                      <w:color w:val="auto"/>
                      <w:highlight w:val="none"/>
                      <w:lang w:val="en-US" w:eastAsia="zh-CN"/>
                    </w:rPr>
                  </w:pPr>
                  <w:r>
                    <w:rPr>
                      <w:rFonts w:hint="eastAsia"/>
                      <w:color w:val="auto"/>
                      <w:highlight w:val="none"/>
                      <w:lang w:val="en-US" w:eastAsia="zh-CN"/>
                    </w:rPr>
                    <w:t>/</w:t>
                  </w:r>
                </w:p>
              </w:tc>
              <w:tc>
                <w:tcPr>
                  <w:tcW w:w="302" w:type="pct"/>
                  <w:tcMar>
                    <w:top w:w="0" w:type="dxa"/>
                    <w:left w:w="57" w:type="dxa"/>
                    <w:bottom w:w="0" w:type="dxa"/>
                    <w:right w:w="57" w:type="dxa"/>
                  </w:tcMar>
                  <w:vAlign w:val="center"/>
                </w:tcPr>
                <w:p w14:paraId="579C415D">
                  <w:pPr>
                    <w:pStyle w:val="20"/>
                    <w:bidi w:val="0"/>
                    <w:rPr>
                      <w:rFonts w:hint="default"/>
                      <w:color w:val="auto"/>
                      <w:highlight w:val="none"/>
                      <w:lang w:val="en-US" w:eastAsia="zh-CN"/>
                    </w:rPr>
                  </w:pPr>
                  <w:r>
                    <w:rPr>
                      <w:rFonts w:hint="eastAsia"/>
                      <w:color w:val="auto"/>
                      <w:highlight w:val="none"/>
                      <w:lang w:val="en-US" w:eastAsia="zh-CN"/>
                    </w:rPr>
                    <w:t>/</w:t>
                  </w:r>
                </w:p>
              </w:tc>
              <w:tc>
                <w:tcPr>
                  <w:tcW w:w="229" w:type="pct"/>
                  <w:tcMar>
                    <w:top w:w="0" w:type="dxa"/>
                    <w:left w:w="57" w:type="dxa"/>
                    <w:bottom w:w="0" w:type="dxa"/>
                    <w:right w:w="57" w:type="dxa"/>
                  </w:tcMar>
                  <w:vAlign w:val="center"/>
                </w:tcPr>
                <w:p w14:paraId="7B9AA30C">
                  <w:pPr>
                    <w:pStyle w:val="20"/>
                    <w:bidi w:val="0"/>
                    <w:rPr>
                      <w:rFonts w:hint="default"/>
                      <w:color w:val="auto"/>
                      <w:highlight w:val="none"/>
                      <w:lang w:val="en-US" w:eastAsia="zh-CN"/>
                    </w:rPr>
                  </w:pPr>
                  <w:r>
                    <w:rPr>
                      <w:rFonts w:hint="eastAsia"/>
                      <w:color w:val="auto"/>
                      <w:highlight w:val="none"/>
                      <w:lang w:val="en-US" w:eastAsia="zh-CN"/>
                    </w:rPr>
                    <w:t>/</w:t>
                  </w:r>
                </w:p>
              </w:tc>
            </w:tr>
            <w:tr w14:paraId="19E32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54" w:hRule="atLeast"/>
              </w:trPr>
              <w:tc>
                <w:tcPr>
                  <w:tcW w:w="321" w:type="pct"/>
                  <w:tcMar>
                    <w:top w:w="0" w:type="dxa"/>
                    <w:left w:w="57" w:type="dxa"/>
                    <w:bottom w:w="0" w:type="dxa"/>
                    <w:right w:w="57" w:type="dxa"/>
                  </w:tcMar>
                  <w:vAlign w:val="center"/>
                </w:tcPr>
                <w:p w14:paraId="60476AA0">
                  <w:pPr>
                    <w:pStyle w:val="20"/>
                    <w:bidi w:val="0"/>
                    <w:rPr>
                      <w:rFonts w:hint="default"/>
                      <w:color w:val="auto"/>
                      <w:highlight w:val="none"/>
                      <w:lang w:val="en-US" w:eastAsia="zh-CN"/>
                    </w:rPr>
                  </w:pPr>
                  <w:r>
                    <w:rPr>
                      <w:rFonts w:hint="eastAsia"/>
                      <w:color w:val="auto"/>
                      <w:highlight w:val="none"/>
                      <w:lang w:val="en-US" w:eastAsia="zh-CN"/>
                    </w:rPr>
                    <w:t>/</w:t>
                  </w:r>
                </w:p>
              </w:tc>
              <w:tc>
                <w:tcPr>
                  <w:tcW w:w="396" w:type="pct"/>
                  <w:tcMar>
                    <w:top w:w="0" w:type="dxa"/>
                    <w:left w:w="57" w:type="dxa"/>
                    <w:bottom w:w="0" w:type="dxa"/>
                    <w:right w:w="57" w:type="dxa"/>
                  </w:tcMar>
                  <w:vAlign w:val="center"/>
                </w:tcPr>
                <w:p w14:paraId="5748AEDD">
                  <w:pPr>
                    <w:pStyle w:val="20"/>
                    <w:bidi w:val="0"/>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破碎粉尘</w:t>
                  </w:r>
                </w:p>
              </w:tc>
              <w:tc>
                <w:tcPr>
                  <w:tcW w:w="598" w:type="pct"/>
                  <w:tcMar>
                    <w:top w:w="0" w:type="dxa"/>
                    <w:left w:w="57" w:type="dxa"/>
                    <w:bottom w:w="0" w:type="dxa"/>
                    <w:right w:w="57" w:type="dxa"/>
                  </w:tcMar>
                  <w:vAlign w:val="center"/>
                </w:tcPr>
                <w:p w14:paraId="1E327250">
                  <w:pPr>
                    <w:pStyle w:val="20"/>
                    <w:bidi w:val="0"/>
                    <w:rPr>
                      <w:rFonts w:hint="default"/>
                      <w:color w:val="auto"/>
                      <w:highlight w:val="none"/>
                      <w:lang w:val="en-US" w:eastAsia="zh-CN"/>
                    </w:rPr>
                  </w:pPr>
                  <w:r>
                    <w:rPr>
                      <w:rFonts w:hint="eastAsia"/>
                      <w:color w:val="auto"/>
                      <w:highlight w:val="none"/>
                      <w:lang w:val="en-US" w:eastAsia="zh-CN"/>
                    </w:rPr>
                    <w:t>颗粒物</w:t>
                  </w:r>
                </w:p>
              </w:tc>
              <w:tc>
                <w:tcPr>
                  <w:tcW w:w="248" w:type="pct"/>
                  <w:tcMar>
                    <w:top w:w="0" w:type="dxa"/>
                    <w:left w:w="57" w:type="dxa"/>
                    <w:bottom w:w="0" w:type="dxa"/>
                    <w:right w:w="57" w:type="dxa"/>
                  </w:tcMar>
                  <w:vAlign w:val="center"/>
                </w:tcPr>
                <w:p w14:paraId="54098626">
                  <w:pPr>
                    <w:pStyle w:val="20"/>
                    <w:bidi w:val="0"/>
                    <w:rPr>
                      <w:rFonts w:hint="default"/>
                      <w:color w:val="auto"/>
                      <w:highlight w:val="none"/>
                      <w:lang w:val="en-US" w:eastAsia="zh-CN"/>
                    </w:rPr>
                  </w:pPr>
                  <w:r>
                    <w:rPr>
                      <w:rFonts w:hint="eastAsia"/>
                      <w:color w:val="auto"/>
                      <w:highlight w:val="none"/>
                      <w:lang w:val="en-US" w:eastAsia="zh-CN"/>
                    </w:rPr>
                    <w:t>/</w:t>
                  </w:r>
                </w:p>
              </w:tc>
              <w:tc>
                <w:tcPr>
                  <w:tcW w:w="282" w:type="pct"/>
                  <w:tcMar>
                    <w:top w:w="0" w:type="dxa"/>
                    <w:left w:w="57" w:type="dxa"/>
                    <w:bottom w:w="0" w:type="dxa"/>
                    <w:right w:w="57" w:type="dxa"/>
                  </w:tcMar>
                  <w:vAlign w:val="center"/>
                </w:tcPr>
                <w:p w14:paraId="1188A2B9">
                  <w:pPr>
                    <w:pStyle w:val="20"/>
                    <w:bidi w:val="0"/>
                    <w:rPr>
                      <w:rFonts w:hint="default"/>
                      <w:color w:val="auto"/>
                      <w:highlight w:val="none"/>
                      <w:lang w:val="en-US" w:eastAsia="zh-CN"/>
                    </w:rPr>
                  </w:pPr>
                  <w:r>
                    <w:rPr>
                      <w:rFonts w:hint="eastAsia"/>
                      <w:color w:val="auto"/>
                      <w:highlight w:val="none"/>
                      <w:lang w:val="en-US" w:eastAsia="zh-CN"/>
                    </w:rPr>
                    <w:t>0.024</w:t>
                  </w:r>
                </w:p>
              </w:tc>
              <w:tc>
                <w:tcPr>
                  <w:tcW w:w="279" w:type="pct"/>
                  <w:tcMar>
                    <w:top w:w="0" w:type="dxa"/>
                    <w:left w:w="57" w:type="dxa"/>
                    <w:bottom w:w="0" w:type="dxa"/>
                    <w:right w:w="57" w:type="dxa"/>
                  </w:tcMar>
                  <w:vAlign w:val="center"/>
                </w:tcPr>
                <w:p w14:paraId="0B7432AB">
                  <w:pPr>
                    <w:pStyle w:val="20"/>
                    <w:bidi w:val="0"/>
                    <w:rPr>
                      <w:rFonts w:hint="default"/>
                      <w:color w:val="auto"/>
                      <w:highlight w:val="none"/>
                      <w:lang w:val="en-US" w:eastAsia="zh-CN"/>
                    </w:rPr>
                  </w:pPr>
                  <w:r>
                    <w:rPr>
                      <w:rFonts w:hint="eastAsia"/>
                      <w:color w:val="auto"/>
                      <w:highlight w:val="none"/>
                      <w:lang w:val="en-US" w:eastAsia="zh-CN"/>
                    </w:rPr>
                    <w:t>0.024</w:t>
                  </w:r>
                </w:p>
              </w:tc>
              <w:tc>
                <w:tcPr>
                  <w:tcW w:w="310" w:type="pct"/>
                  <w:tcMar>
                    <w:top w:w="0" w:type="dxa"/>
                    <w:left w:w="57" w:type="dxa"/>
                    <w:bottom w:w="0" w:type="dxa"/>
                    <w:right w:w="57" w:type="dxa"/>
                  </w:tcMar>
                  <w:vAlign w:val="center"/>
                </w:tcPr>
                <w:p w14:paraId="1DBB1152">
                  <w:pPr>
                    <w:pStyle w:val="20"/>
                    <w:bidi w:val="0"/>
                    <w:rPr>
                      <w:rFonts w:hint="default"/>
                      <w:color w:val="auto"/>
                      <w:highlight w:val="none"/>
                      <w:lang w:val="en-US" w:eastAsia="zh-CN"/>
                    </w:rPr>
                  </w:pPr>
                  <w:r>
                    <w:rPr>
                      <w:rFonts w:hint="eastAsia"/>
                      <w:color w:val="auto"/>
                      <w:highlight w:val="none"/>
                      <w:lang w:val="en-US" w:eastAsia="zh-CN"/>
                    </w:rPr>
                    <w:t>/</w:t>
                  </w:r>
                </w:p>
              </w:tc>
              <w:tc>
                <w:tcPr>
                  <w:tcW w:w="286" w:type="pct"/>
                  <w:tcMar>
                    <w:top w:w="0" w:type="dxa"/>
                    <w:left w:w="57" w:type="dxa"/>
                    <w:bottom w:w="0" w:type="dxa"/>
                    <w:right w:w="57" w:type="dxa"/>
                  </w:tcMar>
                  <w:vAlign w:val="center"/>
                </w:tcPr>
                <w:p w14:paraId="38AC9C50">
                  <w:pPr>
                    <w:pStyle w:val="20"/>
                    <w:bidi w:val="0"/>
                    <w:rPr>
                      <w:rFonts w:hint="default"/>
                      <w:color w:val="auto"/>
                      <w:highlight w:val="none"/>
                      <w:lang w:val="en-US" w:eastAsia="zh-CN"/>
                    </w:rPr>
                  </w:pPr>
                  <w:r>
                    <w:rPr>
                      <w:rFonts w:hint="eastAsia"/>
                      <w:color w:val="auto"/>
                      <w:highlight w:val="none"/>
                      <w:lang w:val="en-US" w:eastAsia="zh-CN"/>
                    </w:rPr>
                    <w:t>/</w:t>
                  </w:r>
                </w:p>
              </w:tc>
              <w:tc>
                <w:tcPr>
                  <w:tcW w:w="309" w:type="pct"/>
                  <w:tcMar>
                    <w:top w:w="0" w:type="dxa"/>
                    <w:left w:w="57" w:type="dxa"/>
                    <w:bottom w:w="0" w:type="dxa"/>
                    <w:right w:w="57" w:type="dxa"/>
                  </w:tcMar>
                  <w:vAlign w:val="center"/>
                </w:tcPr>
                <w:p w14:paraId="31EE00D7">
                  <w:pPr>
                    <w:pStyle w:val="20"/>
                    <w:bidi w:val="0"/>
                    <w:rPr>
                      <w:rFonts w:hint="default"/>
                      <w:color w:val="auto"/>
                      <w:highlight w:val="none"/>
                      <w:lang w:val="en-US" w:eastAsia="zh-CN"/>
                    </w:rPr>
                  </w:pPr>
                  <w:r>
                    <w:rPr>
                      <w:rFonts w:hint="eastAsia"/>
                      <w:color w:val="auto"/>
                      <w:highlight w:val="none"/>
                      <w:lang w:val="en-US" w:eastAsia="zh-CN"/>
                    </w:rPr>
                    <w:t>/</w:t>
                  </w:r>
                </w:p>
              </w:tc>
              <w:tc>
                <w:tcPr>
                  <w:tcW w:w="233" w:type="pct"/>
                  <w:tcMar>
                    <w:top w:w="0" w:type="dxa"/>
                    <w:left w:w="57" w:type="dxa"/>
                    <w:bottom w:w="0" w:type="dxa"/>
                    <w:right w:w="57" w:type="dxa"/>
                  </w:tcMar>
                  <w:vAlign w:val="center"/>
                </w:tcPr>
                <w:p w14:paraId="74DF0404">
                  <w:pPr>
                    <w:pStyle w:val="20"/>
                    <w:bidi w:val="0"/>
                    <w:rPr>
                      <w:rFonts w:hint="default"/>
                      <w:color w:val="auto"/>
                      <w:highlight w:val="none"/>
                      <w:lang w:val="en-US" w:eastAsia="zh-CN"/>
                    </w:rPr>
                  </w:pPr>
                  <w:r>
                    <w:rPr>
                      <w:rFonts w:hint="eastAsia"/>
                      <w:color w:val="auto"/>
                      <w:highlight w:val="none"/>
                      <w:lang w:val="en-US" w:eastAsia="zh-CN"/>
                    </w:rPr>
                    <w:t>密闭厂房</w:t>
                  </w:r>
                </w:p>
              </w:tc>
              <w:tc>
                <w:tcPr>
                  <w:tcW w:w="300" w:type="pct"/>
                  <w:tcMar>
                    <w:top w:w="0" w:type="dxa"/>
                    <w:left w:w="57" w:type="dxa"/>
                    <w:bottom w:w="0" w:type="dxa"/>
                    <w:right w:w="57" w:type="dxa"/>
                  </w:tcMar>
                  <w:vAlign w:val="center"/>
                </w:tcPr>
                <w:p w14:paraId="0E5D61F7">
                  <w:pPr>
                    <w:pStyle w:val="20"/>
                    <w:bidi w:val="0"/>
                    <w:rPr>
                      <w:rFonts w:hint="default"/>
                      <w:color w:val="auto"/>
                      <w:highlight w:val="none"/>
                      <w:lang w:val="en-US" w:eastAsia="zh-CN"/>
                    </w:rPr>
                  </w:pPr>
                  <w:r>
                    <w:rPr>
                      <w:rFonts w:hint="eastAsia"/>
                      <w:color w:val="auto"/>
                      <w:highlight w:val="none"/>
                      <w:lang w:val="en-US" w:eastAsia="zh-CN"/>
                    </w:rPr>
                    <w:t>/</w:t>
                  </w:r>
                </w:p>
              </w:tc>
              <w:tc>
                <w:tcPr>
                  <w:tcW w:w="372" w:type="pct"/>
                  <w:tcMar>
                    <w:top w:w="0" w:type="dxa"/>
                    <w:left w:w="57" w:type="dxa"/>
                    <w:bottom w:w="0" w:type="dxa"/>
                    <w:right w:w="57" w:type="dxa"/>
                  </w:tcMar>
                  <w:vAlign w:val="center"/>
                </w:tcPr>
                <w:p w14:paraId="6EE53887">
                  <w:pPr>
                    <w:pStyle w:val="20"/>
                    <w:bidi w:val="0"/>
                    <w:rPr>
                      <w:rFonts w:hint="default"/>
                      <w:color w:val="auto"/>
                      <w:highlight w:val="none"/>
                      <w:lang w:val="en-US" w:eastAsia="zh-CN"/>
                    </w:rPr>
                  </w:pPr>
                  <w:r>
                    <w:rPr>
                      <w:rFonts w:hint="eastAsia"/>
                      <w:color w:val="auto"/>
                      <w:highlight w:val="none"/>
                      <w:lang w:val="en-US" w:eastAsia="zh-CN"/>
                    </w:rPr>
                    <w:t>是</w:t>
                  </w:r>
                </w:p>
              </w:tc>
              <w:tc>
                <w:tcPr>
                  <w:tcW w:w="277" w:type="pct"/>
                  <w:tcMar>
                    <w:top w:w="0" w:type="dxa"/>
                    <w:left w:w="57" w:type="dxa"/>
                    <w:bottom w:w="0" w:type="dxa"/>
                    <w:right w:w="57" w:type="dxa"/>
                  </w:tcMar>
                  <w:vAlign w:val="center"/>
                </w:tcPr>
                <w:p w14:paraId="087E8E73">
                  <w:pPr>
                    <w:pStyle w:val="20"/>
                    <w:bidi w:val="0"/>
                    <w:rPr>
                      <w:rFonts w:hint="default"/>
                      <w:color w:val="auto"/>
                      <w:highlight w:val="none"/>
                      <w:lang w:val="en-US" w:eastAsia="zh-CN"/>
                    </w:rPr>
                  </w:pPr>
                  <w:r>
                    <w:rPr>
                      <w:rFonts w:hint="eastAsia"/>
                      <w:color w:val="auto"/>
                      <w:highlight w:val="none"/>
                      <w:lang w:val="en-US" w:eastAsia="zh-CN"/>
                    </w:rPr>
                    <w:t>/</w:t>
                  </w:r>
                </w:p>
              </w:tc>
              <w:tc>
                <w:tcPr>
                  <w:tcW w:w="253" w:type="pct"/>
                  <w:tcMar>
                    <w:top w:w="0" w:type="dxa"/>
                    <w:left w:w="57" w:type="dxa"/>
                    <w:bottom w:w="0" w:type="dxa"/>
                    <w:right w:w="57" w:type="dxa"/>
                  </w:tcMar>
                  <w:vAlign w:val="center"/>
                </w:tcPr>
                <w:p w14:paraId="2D2FD3DC">
                  <w:pPr>
                    <w:pStyle w:val="20"/>
                    <w:bidi w:val="0"/>
                    <w:rPr>
                      <w:rFonts w:hint="default"/>
                      <w:color w:val="auto"/>
                      <w:highlight w:val="none"/>
                      <w:lang w:val="en-US" w:eastAsia="zh-CN"/>
                    </w:rPr>
                  </w:pPr>
                  <w:r>
                    <w:rPr>
                      <w:rFonts w:hint="eastAsia"/>
                      <w:color w:val="auto"/>
                      <w:highlight w:val="none"/>
                      <w:lang w:val="en-US" w:eastAsia="zh-CN"/>
                    </w:rPr>
                    <w:t>/</w:t>
                  </w:r>
                </w:p>
              </w:tc>
              <w:tc>
                <w:tcPr>
                  <w:tcW w:w="302" w:type="pct"/>
                  <w:tcMar>
                    <w:top w:w="0" w:type="dxa"/>
                    <w:left w:w="57" w:type="dxa"/>
                    <w:bottom w:w="0" w:type="dxa"/>
                    <w:right w:w="57" w:type="dxa"/>
                  </w:tcMar>
                  <w:vAlign w:val="center"/>
                </w:tcPr>
                <w:p w14:paraId="2440B579">
                  <w:pPr>
                    <w:pStyle w:val="20"/>
                    <w:bidi w:val="0"/>
                    <w:rPr>
                      <w:rFonts w:hint="default"/>
                      <w:color w:val="auto"/>
                      <w:highlight w:val="none"/>
                      <w:lang w:val="en-US" w:eastAsia="zh-CN"/>
                    </w:rPr>
                  </w:pPr>
                  <w:r>
                    <w:rPr>
                      <w:rFonts w:hint="eastAsia"/>
                      <w:color w:val="auto"/>
                      <w:highlight w:val="none"/>
                      <w:lang w:val="en-US" w:eastAsia="zh-CN"/>
                    </w:rPr>
                    <w:t>/</w:t>
                  </w:r>
                </w:p>
              </w:tc>
              <w:tc>
                <w:tcPr>
                  <w:tcW w:w="229" w:type="pct"/>
                  <w:tcMar>
                    <w:top w:w="0" w:type="dxa"/>
                    <w:left w:w="57" w:type="dxa"/>
                    <w:bottom w:w="0" w:type="dxa"/>
                    <w:right w:w="57" w:type="dxa"/>
                  </w:tcMar>
                  <w:vAlign w:val="center"/>
                </w:tcPr>
                <w:p w14:paraId="0E72CE8B">
                  <w:pPr>
                    <w:pStyle w:val="20"/>
                    <w:bidi w:val="0"/>
                    <w:rPr>
                      <w:rFonts w:hint="default"/>
                      <w:color w:val="auto"/>
                      <w:highlight w:val="none"/>
                      <w:lang w:val="en-US" w:eastAsia="zh-CN"/>
                    </w:rPr>
                  </w:pPr>
                  <w:r>
                    <w:rPr>
                      <w:rFonts w:hint="eastAsia"/>
                      <w:color w:val="auto"/>
                      <w:highlight w:val="none"/>
                      <w:lang w:val="en-US" w:eastAsia="zh-CN"/>
                    </w:rPr>
                    <w:t>100</w:t>
                  </w:r>
                </w:p>
              </w:tc>
            </w:tr>
          </w:tbl>
          <w:p w14:paraId="3B3AF1DD">
            <w:pPr>
              <w:pStyle w:val="18"/>
              <w:bidi w:val="0"/>
              <w:rPr>
                <w:rFonts w:hint="eastAsia"/>
                <w:color w:val="auto"/>
                <w:highlight w:val="none"/>
                <w:lang w:val="en-US" w:eastAsia="zh-CN"/>
              </w:rPr>
            </w:pPr>
          </w:p>
          <w:p w14:paraId="598C553A">
            <w:pPr>
              <w:pStyle w:val="18"/>
              <w:bidi w:val="0"/>
              <w:rPr>
                <w:rFonts w:hint="eastAsia"/>
                <w:color w:val="auto"/>
                <w:highlight w:val="none"/>
                <w:lang w:val="en-US" w:eastAsia="zh-CN"/>
              </w:rPr>
            </w:pPr>
          </w:p>
          <w:p w14:paraId="6430AB01">
            <w:pPr>
              <w:pStyle w:val="18"/>
              <w:bidi w:val="0"/>
              <w:rPr>
                <w:rFonts w:hint="default" w:eastAsia="宋体"/>
                <w:color w:val="auto"/>
                <w:highlight w:val="none"/>
                <w:lang w:val="en-US" w:eastAsia="zh-CN"/>
              </w:rPr>
            </w:pPr>
            <w:r>
              <w:rPr>
                <w:rFonts w:hint="eastAsia"/>
                <w:color w:val="auto"/>
                <w:highlight w:val="none"/>
                <w:lang w:val="en-US" w:eastAsia="zh-CN"/>
              </w:rPr>
              <w:t>根据项目扩建后全厂</w:t>
            </w:r>
            <w:r>
              <w:rPr>
                <w:rFonts w:hint="eastAsia"/>
                <w:color w:val="auto"/>
                <w:highlight w:val="none"/>
              </w:rPr>
              <w:t>废气污染源源强核算结果</w:t>
            </w:r>
            <w:r>
              <w:rPr>
                <w:rFonts w:hint="eastAsia"/>
                <w:color w:val="auto"/>
                <w:highlight w:val="none"/>
                <w:lang w:val="en-US" w:eastAsia="zh-CN"/>
              </w:rPr>
              <w:t>以及现有项目污染物排放情况，核算出扩建部分实际废气污染物排放量如下：</w:t>
            </w:r>
          </w:p>
          <w:p w14:paraId="3CCFA387">
            <w:pPr>
              <w:pStyle w:val="19"/>
              <w:bidi w:val="0"/>
              <w:rPr>
                <w:rFonts w:hint="default"/>
                <w:color w:val="auto"/>
                <w:sz w:val="20"/>
                <w:szCs w:val="22"/>
                <w:highlight w:val="none"/>
                <w:lang w:val="en-US" w:eastAsia="zh-CN"/>
              </w:rPr>
            </w:pPr>
            <w:bookmarkStart w:id="35" w:name="_Ref14724"/>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5</w:t>
            </w:r>
            <w:r>
              <w:rPr>
                <w:color w:val="auto"/>
                <w:highlight w:val="none"/>
              </w:rPr>
              <w:fldChar w:fldCharType="end"/>
            </w:r>
            <w:bookmarkEnd w:id="35"/>
            <w:r>
              <w:rPr>
                <w:rFonts w:hint="eastAsia"/>
                <w:color w:val="auto"/>
                <w:highlight w:val="none"/>
                <w:lang w:val="en-US" w:eastAsia="zh-CN"/>
              </w:rPr>
              <w:t xml:space="preserve"> 项目扩建后废气污染物排放量统计一览表</w:t>
            </w:r>
            <w:r>
              <w:rPr>
                <w:rFonts w:hint="eastAsia"/>
                <w:color w:val="auto"/>
                <w:sz w:val="20"/>
                <w:szCs w:val="22"/>
                <w:highlight w:val="none"/>
                <w:lang w:val="en-US" w:eastAsia="zh-CN"/>
              </w:rPr>
              <w:t>（单位t/a）</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57" w:type="dxa"/>
                <w:bottom w:w="0" w:type="dxa"/>
                <w:right w:w="57" w:type="dxa"/>
              </w:tblCellMar>
            </w:tblPr>
            <w:tblGrid>
              <w:gridCol w:w="1222"/>
              <w:gridCol w:w="1023"/>
              <w:gridCol w:w="1104"/>
              <w:gridCol w:w="887"/>
              <w:gridCol w:w="1118"/>
              <w:gridCol w:w="982"/>
              <w:gridCol w:w="791"/>
              <w:gridCol w:w="886"/>
              <w:gridCol w:w="914"/>
              <w:gridCol w:w="1009"/>
              <w:gridCol w:w="1009"/>
              <w:gridCol w:w="777"/>
              <w:gridCol w:w="777"/>
              <w:gridCol w:w="809"/>
            </w:tblGrid>
            <w:tr w14:paraId="42BAE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567" w:hRule="atLeast"/>
              </w:trPr>
              <w:tc>
                <w:tcPr>
                  <w:tcW w:w="459" w:type="pct"/>
                  <w:vMerge w:val="restart"/>
                  <w:shd w:val="clear" w:color="auto" w:fill="auto"/>
                  <w:vAlign w:val="center"/>
                </w:tcPr>
                <w:p w14:paraId="510DA608">
                  <w:pPr>
                    <w:pStyle w:val="20"/>
                    <w:bidi w:val="0"/>
                    <w:rPr>
                      <w:rFonts w:hint="default"/>
                      <w:b/>
                      <w:bCs/>
                      <w:color w:val="auto"/>
                      <w:highlight w:val="none"/>
                      <w:lang w:val="en-US" w:eastAsia="zh-CN"/>
                    </w:rPr>
                  </w:pPr>
                  <w:r>
                    <w:rPr>
                      <w:rFonts w:hint="eastAsia"/>
                      <w:b/>
                      <w:bCs/>
                      <w:color w:val="auto"/>
                      <w:highlight w:val="none"/>
                      <w:lang w:val="en-US" w:eastAsia="zh-CN"/>
                    </w:rPr>
                    <w:t>污染物</w:t>
                  </w:r>
                </w:p>
              </w:tc>
              <w:tc>
                <w:tcPr>
                  <w:tcW w:w="1132" w:type="pct"/>
                  <w:gridSpan w:val="3"/>
                  <w:tcBorders>
                    <w:right w:val="double" w:color="auto" w:sz="4" w:space="0"/>
                  </w:tcBorders>
                  <w:shd w:val="clear" w:color="auto" w:fill="auto"/>
                  <w:vAlign w:val="center"/>
                </w:tcPr>
                <w:p w14:paraId="5C23EE5A">
                  <w:pPr>
                    <w:pStyle w:val="20"/>
                    <w:bidi w:val="0"/>
                    <w:rPr>
                      <w:rFonts w:hint="eastAsia"/>
                      <w:b/>
                      <w:bCs/>
                      <w:color w:val="auto"/>
                      <w:highlight w:val="none"/>
                      <w:lang w:val="en-US" w:eastAsia="zh-CN"/>
                    </w:rPr>
                  </w:pPr>
                  <w:r>
                    <w:rPr>
                      <w:rFonts w:hint="eastAsia"/>
                      <w:b/>
                      <w:bCs/>
                      <w:color w:val="auto"/>
                      <w:highlight w:val="none"/>
                      <w:lang w:val="en-US" w:eastAsia="zh-CN"/>
                    </w:rPr>
                    <w:t>全厂</w:t>
                  </w:r>
                </w:p>
              </w:tc>
              <w:tc>
                <w:tcPr>
                  <w:tcW w:w="420" w:type="pct"/>
                  <w:tcBorders>
                    <w:left w:val="double" w:color="auto" w:sz="4" w:space="0"/>
                    <w:right w:val="single" w:color="auto" w:sz="4" w:space="0"/>
                  </w:tcBorders>
                  <w:shd w:val="clear" w:color="auto" w:fill="auto"/>
                  <w:vAlign w:val="center"/>
                </w:tcPr>
                <w:p w14:paraId="2DA8BED2">
                  <w:pPr>
                    <w:pStyle w:val="20"/>
                    <w:bidi w:val="0"/>
                    <w:rPr>
                      <w:rFonts w:hint="default"/>
                      <w:b/>
                      <w:bCs/>
                      <w:color w:val="auto"/>
                      <w:highlight w:val="none"/>
                      <w:lang w:val="en-US" w:eastAsia="zh-CN"/>
                    </w:rPr>
                  </w:pPr>
                  <w:r>
                    <w:rPr>
                      <w:rFonts w:hint="eastAsia"/>
                      <w:b/>
                      <w:bCs/>
                      <w:color w:val="auto"/>
                      <w:highlight w:val="none"/>
                      <w:lang w:val="en-US" w:eastAsia="zh-CN"/>
                    </w:rPr>
                    <w:t>现有项目</w:t>
                  </w:r>
                </w:p>
              </w:tc>
              <w:tc>
                <w:tcPr>
                  <w:tcW w:w="1342" w:type="pct"/>
                  <w:gridSpan w:val="4"/>
                  <w:tcBorders>
                    <w:left w:val="single" w:color="auto" w:sz="4" w:space="0"/>
                    <w:right w:val="double" w:color="auto" w:sz="4" w:space="0"/>
                  </w:tcBorders>
                  <w:shd w:val="clear" w:color="auto" w:fill="auto"/>
                  <w:vAlign w:val="center"/>
                </w:tcPr>
                <w:p w14:paraId="15FC83D8">
                  <w:pPr>
                    <w:pStyle w:val="20"/>
                    <w:bidi w:val="0"/>
                    <w:rPr>
                      <w:rFonts w:hint="default"/>
                      <w:b/>
                      <w:bCs/>
                      <w:color w:val="auto"/>
                      <w:highlight w:val="none"/>
                      <w:lang w:val="en-US" w:eastAsia="zh-CN"/>
                    </w:rPr>
                  </w:pPr>
                  <w:r>
                    <w:rPr>
                      <w:rFonts w:hint="eastAsia"/>
                      <w:b/>
                      <w:bCs/>
                      <w:color w:val="auto"/>
                      <w:highlight w:val="none"/>
                      <w:lang w:val="en-US" w:eastAsia="zh-CN"/>
                    </w:rPr>
                    <w:t>现有项目治理后</w:t>
                  </w:r>
                </w:p>
              </w:tc>
              <w:tc>
                <w:tcPr>
                  <w:tcW w:w="1050" w:type="pct"/>
                  <w:gridSpan w:val="3"/>
                  <w:tcBorders>
                    <w:left w:val="double" w:color="auto" w:sz="4" w:space="0"/>
                    <w:right w:val="double" w:color="auto" w:sz="4" w:space="0"/>
                  </w:tcBorders>
                  <w:shd w:val="clear" w:color="auto" w:fill="auto"/>
                  <w:vAlign w:val="center"/>
                </w:tcPr>
                <w:p w14:paraId="2392A463">
                  <w:pPr>
                    <w:pStyle w:val="20"/>
                    <w:bidi w:val="0"/>
                    <w:rPr>
                      <w:rFonts w:hint="default"/>
                      <w:b/>
                      <w:bCs/>
                      <w:color w:val="auto"/>
                      <w:highlight w:val="none"/>
                      <w:lang w:val="en-US" w:eastAsia="zh-CN"/>
                    </w:rPr>
                  </w:pPr>
                  <w:r>
                    <w:rPr>
                      <w:rFonts w:hint="eastAsia"/>
                      <w:b/>
                      <w:bCs/>
                      <w:color w:val="auto"/>
                      <w:highlight w:val="none"/>
                      <w:lang w:val="en-US" w:eastAsia="zh-CN"/>
                    </w:rPr>
                    <w:t>扩建项目</w:t>
                  </w:r>
                </w:p>
              </w:tc>
              <w:tc>
                <w:tcPr>
                  <w:tcW w:w="595" w:type="pct"/>
                  <w:gridSpan w:val="2"/>
                  <w:tcBorders>
                    <w:left w:val="double" w:color="auto" w:sz="4" w:space="0"/>
                  </w:tcBorders>
                  <w:shd w:val="clear" w:color="auto" w:fill="auto"/>
                  <w:vAlign w:val="center"/>
                </w:tcPr>
                <w:p w14:paraId="1494DB91">
                  <w:pPr>
                    <w:pStyle w:val="20"/>
                    <w:bidi w:val="0"/>
                    <w:rPr>
                      <w:rFonts w:hint="default"/>
                      <w:b/>
                      <w:bCs/>
                      <w:color w:val="auto"/>
                      <w:highlight w:val="none"/>
                      <w:lang w:val="en-US" w:eastAsia="zh-CN"/>
                    </w:rPr>
                  </w:pPr>
                  <w:r>
                    <w:rPr>
                      <w:rFonts w:hint="eastAsia"/>
                      <w:b/>
                      <w:bCs/>
                      <w:color w:val="auto"/>
                      <w:highlight w:val="none"/>
                      <w:lang w:val="en-US" w:eastAsia="zh-CN"/>
                    </w:rPr>
                    <w:t>变化情况</w:t>
                  </w:r>
                </w:p>
              </w:tc>
            </w:tr>
            <w:tr w14:paraId="72DE8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567" w:hRule="atLeast"/>
              </w:trPr>
              <w:tc>
                <w:tcPr>
                  <w:tcW w:w="459" w:type="pct"/>
                  <w:vMerge w:val="continue"/>
                  <w:shd w:val="clear" w:color="auto" w:fill="auto"/>
                  <w:vAlign w:val="center"/>
                </w:tcPr>
                <w:p w14:paraId="321F2573">
                  <w:pPr>
                    <w:pStyle w:val="20"/>
                    <w:bidi w:val="0"/>
                    <w:rPr>
                      <w:rFonts w:hint="default"/>
                      <w:b/>
                      <w:bCs/>
                      <w:color w:val="auto"/>
                      <w:highlight w:val="none"/>
                      <w:lang w:val="en-US" w:eastAsia="zh-CN"/>
                    </w:rPr>
                  </w:pPr>
                </w:p>
              </w:tc>
              <w:tc>
                <w:tcPr>
                  <w:tcW w:w="384" w:type="pct"/>
                  <w:shd w:val="clear" w:color="auto" w:fill="auto"/>
                  <w:vAlign w:val="center"/>
                </w:tcPr>
                <w:p w14:paraId="49E4C1A7">
                  <w:pPr>
                    <w:pStyle w:val="20"/>
                    <w:bidi w:val="0"/>
                    <w:rPr>
                      <w:rFonts w:hint="default"/>
                      <w:b/>
                      <w:bCs/>
                      <w:color w:val="auto"/>
                      <w:highlight w:val="none"/>
                      <w:lang w:val="en-US" w:eastAsia="zh-CN"/>
                    </w:rPr>
                  </w:pPr>
                  <w:r>
                    <w:rPr>
                      <w:rFonts w:hint="eastAsia"/>
                      <w:b/>
                      <w:bCs/>
                      <w:color w:val="auto"/>
                      <w:highlight w:val="none"/>
                      <w:lang w:val="en-US" w:eastAsia="zh-CN"/>
                    </w:rPr>
                    <w:t>有组织排放总计</w:t>
                  </w:r>
                </w:p>
              </w:tc>
              <w:tc>
                <w:tcPr>
                  <w:tcW w:w="414" w:type="pct"/>
                  <w:shd w:val="clear" w:color="auto" w:fill="auto"/>
                  <w:vAlign w:val="center"/>
                </w:tcPr>
                <w:p w14:paraId="0DEC3530">
                  <w:pPr>
                    <w:pStyle w:val="20"/>
                    <w:bidi w:val="0"/>
                    <w:rPr>
                      <w:rFonts w:hint="default"/>
                      <w:b/>
                      <w:bCs/>
                      <w:color w:val="auto"/>
                      <w:highlight w:val="none"/>
                      <w:lang w:val="en-US" w:eastAsia="zh-CN"/>
                    </w:rPr>
                  </w:pPr>
                  <w:r>
                    <w:rPr>
                      <w:rFonts w:hint="eastAsia"/>
                      <w:b/>
                      <w:bCs/>
                      <w:color w:val="auto"/>
                      <w:highlight w:val="none"/>
                      <w:lang w:val="en-US" w:eastAsia="zh-CN"/>
                    </w:rPr>
                    <w:t>无组织排放总计</w:t>
                  </w:r>
                </w:p>
              </w:tc>
              <w:tc>
                <w:tcPr>
                  <w:tcW w:w="333" w:type="pct"/>
                  <w:tcBorders>
                    <w:right w:val="double" w:color="auto" w:sz="4" w:space="0"/>
                  </w:tcBorders>
                  <w:shd w:val="clear" w:color="auto" w:fill="auto"/>
                  <w:vAlign w:val="center"/>
                </w:tcPr>
                <w:p w14:paraId="234C9411">
                  <w:pPr>
                    <w:pStyle w:val="20"/>
                    <w:bidi w:val="0"/>
                    <w:rPr>
                      <w:rFonts w:hint="default"/>
                      <w:b/>
                      <w:bCs/>
                      <w:color w:val="auto"/>
                      <w:highlight w:val="none"/>
                      <w:lang w:val="en-US" w:eastAsia="zh-CN"/>
                    </w:rPr>
                  </w:pPr>
                  <w:r>
                    <w:rPr>
                      <w:rFonts w:hint="eastAsia"/>
                      <w:b/>
                      <w:bCs/>
                      <w:color w:val="auto"/>
                      <w:highlight w:val="none"/>
                      <w:lang w:val="en-US" w:eastAsia="zh-CN"/>
                    </w:rPr>
                    <w:t>排放量合计</w:t>
                  </w:r>
                </w:p>
              </w:tc>
              <w:tc>
                <w:tcPr>
                  <w:tcW w:w="420" w:type="pct"/>
                  <w:tcBorders>
                    <w:left w:val="double" w:color="auto" w:sz="4" w:space="0"/>
                  </w:tcBorders>
                  <w:shd w:val="clear" w:color="auto" w:fill="auto"/>
                  <w:vAlign w:val="center"/>
                </w:tcPr>
                <w:p w14:paraId="21CBC013">
                  <w:pPr>
                    <w:pStyle w:val="20"/>
                    <w:bidi w:val="0"/>
                    <w:rPr>
                      <w:rFonts w:hint="eastAsia"/>
                      <w:b/>
                      <w:bCs/>
                      <w:color w:val="auto"/>
                      <w:highlight w:val="none"/>
                      <w:lang w:val="en-US" w:eastAsia="zh-CN"/>
                    </w:rPr>
                  </w:pPr>
                  <w:r>
                    <w:rPr>
                      <w:rFonts w:hint="eastAsia"/>
                      <w:b/>
                      <w:bCs/>
                      <w:color w:val="auto"/>
                      <w:highlight w:val="none"/>
                      <w:lang w:val="en-US" w:eastAsia="zh-CN"/>
                    </w:rPr>
                    <w:t>排放量（无组织）</w:t>
                  </w:r>
                </w:p>
              </w:tc>
              <w:tc>
                <w:tcPr>
                  <w:tcW w:w="368" w:type="pct"/>
                  <w:shd w:val="clear" w:color="auto" w:fill="auto"/>
                  <w:vAlign w:val="center"/>
                </w:tcPr>
                <w:p w14:paraId="6FD8706D">
                  <w:pPr>
                    <w:pStyle w:val="20"/>
                    <w:bidi w:val="0"/>
                    <w:rPr>
                      <w:rFonts w:hint="default"/>
                      <w:b/>
                      <w:bCs/>
                      <w:color w:val="auto"/>
                      <w:highlight w:val="none"/>
                      <w:lang w:val="en-US" w:eastAsia="zh-CN"/>
                    </w:rPr>
                  </w:pPr>
                  <w:r>
                    <w:rPr>
                      <w:rFonts w:hint="eastAsia"/>
                      <w:b/>
                      <w:bCs/>
                      <w:color w:val="auto"/>
                      <w:highlight w:val="none"/>
                      <w:lang w:val="en-US" w:eastAsia="zh-CN"/>
                    </w:rPr>
                    <w:t>以新带老削减量</w:t>
                  </w:r>
                </w:p>
              </w:tc>
              <w:tc>
                <w:tcPr>
                  <w:tcW w:w="297" w:type="pct"/>
                  <w:shd w:val="clear" w:color="auto" w:fill="auto"/>
                  <w:vAlign w:val="center"/>
                </w:tcPr>
                <w:p w14:paraId="3699C9C2">
                  <w:pPr>
                    <w:pStyle w:val="20"/>
                    <w:bidi w:val="0"/>
                    <w:rPr>
                      <w:rFonts w:hint="default"/>
                      <w:b/>
                      <w:bCs/>
                      <w:color w:val="auto"/>
                      <w:highlight w:val="none"/>
                      <w:lang w:val="en-US" w:eastAsia="zh-CN"/>
                    </w:rPr>
                  </w:pPr>
                  <w:r>
                    <w:rPr>
                      <w:rFonts w:hint="eastAsia"/>
                      <w:b/>
                      <w:bCs/>
                      <w:color w:val="auto"/>
                      <w:highlight w:val="none"/>
                      <w:lang w:val="en-US" w:eastAsia="zh-CN"/>
                    </w:rPr>
                    <w:t>无组织</w:t>
                  </w:r>
                </w:p>
              </w:tc>
              <w:tc>
                <w:tcPr>
                  <w:tcW w:w="332" w:type="pct"/>
                  <w:tcBorders>
                    <w:right w:val="single" w:color="auto" w:sz="4" w:space="0"/>
                  </w:tcBorders>
                  <w:shd w:val="clear" w:color="auto" w:fill="auto"/>
                  <w:vAlign w:val="center"/>
                </w:tcPr>
                <w:p w14:paraId="69DA722A">
                  <w:pPr>
                    <w:pStyle w:val="20"/>
                    <w:bidi w:val="0"/>
                    <w:rPr>
                      <w:rFonts w:hint="eastAsia" w:ascii="Times New Roman" w:hAnsi="Times New Roman" w:eastAsia="宋体" w:cs="宋体"/>
                      <w:b/>
                      <w:bCs/>
                      <w:color w:val="auto"/>
                      <w:kern w:val="2"/>
                      <w:sz w:val="21"/>
                      <w:szCs w:val="21"/>
                      <w:highlight w:val="none"/>
                      <w:lang w:val="en-US" w:eastAsia="zh-CN" w:bidi="ar-SA"/>
                    </w:rPr>
                  </w:pPr>
                  <w:r>
                    <w:rPr>
                      <w:rFonts w:hint="eastAsia"/>
                      <w:b/>
                      <w:bCs/>
                      <w:color w:val="auto"/>
                      <w:highlight w:val="none"/>
                      <w:lang w:val="en-US" w:eastAsia="zh-CN"/>
                    </w:rPr>
                    <w:t>有组织</w:t>
                  </w:r>
                </w:p>
              </w:tc>
              <w:tc>
                <w:tcPr>
                  <w:tcW w:w="343" w:type="pct"/>
                  <w:tcBorders>
                    <w:left w:val="single" w:color="auto" w:sz="4" w:space="0"/>
                    <w:right w:val="double" w:color="auto" w:sz="4" w:space="0"/>
                  </w:tcBorders>
                  <w:shd w:val="clear" w:color="auto" w:fill="auto"/>
                  <w:vAlign w:val="center"/>
                </w:tcPr>
                <w:p w14:paraId="013BD6DA">
                  <w:pPr>
                    <w:pStyle w:val="20"/>
                    <w:bidi w:val="0"/>
                    <w:rPr>
                      <w:rFonts w:hint="default"/>
                      <w:b/>
                      <w:bCs/>
                      <w:color w:val="auto"/>
                      <w:highlight w:val="none"/>
                      <w:lang w:val="en-US" w:eastAsia="zh-CN"/>
                    </w:rPr>
                  </w:pPr>
                  <w:r>
                    <w:rPr>
                      <w:rFonts w:hint="eastAsia"/>
                      <w:b/>
                      <w:bCs/>
                      <w:color w:val="auto"/>
                      <w:highlight w:val="none"/>
                      <w:lang w:val="en-US" w:eastAsia="zh-CN"/>
                    </w:rPr>
                    <w:t>排放合计</w:t>
                  </w:r>
                </w:p>
              </w:tc>
              <w:tc>
                <w:tcPr>
                  <w:tcW w:w="379" w:type="pct"/>
                  <w:tcBorders>
                    <w:left w:val="double" w:color="auto" w:sz="4" w:space="0"/>
                  </w:tcBorders>
                  <w:shd w:val="clear" w:color="auto" w:fill="auto"/>
                  <w:vAlign w:val="center"/>
                </w:tcPr>
                <w:p w14:paraId="732D610D">
                  <w:pPr>
                    <w:pStyle w:val="20"/>
                    <w:bidi w:val="0"/>
                    <w:rPr>
                      <w:rFonts w:hint="default"/>
                      <w:b/>
                      <w:bCs/>
                      <w:color w:val="auto"/>
                      <w:highlight w:val="none"/>
                      <w:lang w:val="en-US" w:eastAsia="zh-CN"/>
                    </w:rPr>
                  </w:pPr>
                  <w:r>
                    <w:rPr>
                      <w:rFonts w:hint="eastAsia"/>
                      <w:b/>
                      <w:bCs/>
                      <w:color w:val="auto"/>
                      <w:highlight w:val="none"/>
                      <w:lang w:val="en-US" w:eastAsia="zh-CN"/>
                    </w:rPr>
                    <w:t>实际新增有组织</w:t>
                  </w:r>
                </w:p>
              </w:tc>
              <w:tc>
                <w:tcPr>
                  <w:tcW w:w="379" w:type="pct"/>
                  <w:shd w:val="clear" w:color="auto" w:fill="auto"/>
                  <w:vAlign w:val="center"/>
                </w:tcPr>
                <w:p w14:paraId="75B457E7">
                  <w:pPr>
                    <w:pStyle w:val="20"/>
                    <w:bidi w:val="0"/>
                    <w:rPr>
                      <w:rFonts w:hint="eastAsia"/>
                      <w:b/>
                      <w:bCs/>
                      <w:color w:val="auto"/>
                      <w:highlight w:val="none"/>
                      <w:lang w:val="en-US" w:eastAsia="zh-CN"/>
                    </w:rPr>
                  </w:pPr>
                  <w:r>
                    <w:rPr>
                      <w:rFonts w:hint="eastAsia"/>
                      <w:b/>
                      <w:bCs/>
                      <w:color w:val="auto"/>
                      <w:highlight w:val="none"/>
                      <w:lang w:val="en-US" w:eastAsia="zh-CN"/>
                    </w:rPr>
                    <w:t>实际新增无组织</w:t>
                  </w:r>
                </w:p>
              </w:tc>
              <w:tc>
                <w:tcPr>
                  <w:tcW w:w="291" w:type="pct"/>
                  <w:tcBorders>
                    <w:right w:val="double" w:color="auto" w:sz="4" w:space="0"/>
                  </w:tcBorders>
                  <w:shd w:val="clear" w:color="auto" w:fill="auto"/>
                  <w:vAlign w:val="center"/>
                </w:tcPr>
                <w:p w14:paraId="1D872893">
                  <w:pPr>
                    <w:pStyle w:val="20"/>
                    <w:bidi w:val="0"/>
                    <w:rPr>
                      <w:rFonts w:hint="default"/>
                      <w:b/>
                      <w:bCs/>
                      <w:color w:val="auto"/>
                      <w:highlight w:val="none"/>
                      <w:lang w:val="en-US" w:eastAsia="zh-CN"/>
                    </w:rPr>
                  </w:pPr>
                  <w:r>
                    <w:rPr>
                      <w:rFonts w:hint="eastAsia"/>
                      <w:b/>
                      <w:bCs/>
                      <w:color w:val="auto"/>
                      <w:highlight w:val="none"/>
                      <w:lang w:val="en-US" w:eastAsia="zh-CN"/>
                    </w:rPr>
                    <w:t>排放量合计</w:t>
                  </w:r>
                </w:p>
              </w:tc>
              <w:tc>
                <w:tcPr>
                  <w:tcW w:w="291" w:type="pct"/>
                  <w:tcBorders>
                    <w:left w:val="double" w:color="auto" w:sz="4" w:space="0"/>
                  </w:tcBorders>
                  <w:shd w:val="clear" w:color="auto" w:fill="auto"/>
                  <w:vAlign w:val="center"/>
                </w:tcPr>
                <w:p w14:paraId="2AF17625">
                  <w:pPr>
                    <w:pStyle w:val="20"/>
                    <w:bidi w:val="0"/>
                    <w:rPr>
                      <w:rFonts w:hint="default"/>
                      <w:b/>
                      <w:bCs/>
                      <w:color w:val="auto"/>
                      <w:highlight w:val="none"/>
                      <w:lang w:val="en-US" w:eastAsia="zh-CN"/>
                    </w:rPr>
                  </w:pPr>
                  <w:r>
                    <w:rPr>
                      <w:rFonts w:hint="eastAsia"/>
                      <w:b/>
                      <w:bCs/>
                      <w:color w:val="auto"/>
                      <w:highlight w:val="none"/>
                      <w:lang w:val="en-US" w:eastAsia="zh-CN"/>
                    </w:rPr>
                    <w:t>有组织增加</w:t>
                  </w:r>
                </w:p>
              </w:tc>
              <w:tc>
                <w:tcPr>
                  <w:tcW w:w="303" w:type="pct"/>
                  <w:shd w:val="clear" w:color="auto" w:fill="auto"/>
                  <w:vAlign w:val="center"/>
                </w:tcPr>
                <w:p w14:paraId="0BB15F98">
                  <w:pPr>
                    <w:pStyle w:val="20"/>
                    <w:bidi w:val="0"/>
                    <w:rPr>
                      <w:rFonts w:hint="default"/>
                      <w:b/>
                      <w:bCs/>
                      <w:color w:val="auto"/>
                      <w:highlight w:val="none"/>
                      <w:lang w:val="en-US" w:eastAsia="zh-CN"/>
                    </w:rPr>
                  </w:pPr>
                  <w:r>
                    <w:rPr>
                      <w:rFonts w:hint="eastAsia"/>
                      <w:b/>
                      <w:bCs/>
                      <w:color w:val="auto"/>
                      <w:highlight w:val="none"/>
                      <w:lang w:val="en-US" w:eastAsia="zh-CN"/>
                    </w:rPr>
                    <w:t>总排放量增加</w:t>
                  </w:r>
                </w:p>
              </w:tc>
            </w:tr>
            <w:tr w14:paraId="17B17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59" w:type="pct"/>
                  <w:shd w:val="clear" w:color="auto" w:fill="auto"/>
                  <w:vAlign w:val="center"/>
                </w:tcPr>
                <w:p w14:paraId="2DD36EF0">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非甲烷总烃</w:t>
                  </w:r>
                </w:p>
              </w:tc>
              <w:tc>
                <w:tcPr>
                  <w:tcW w:w="384" w:type="pct"/>
                  <w:shd w:val="clear" w:color="auto" w:fill="auto"/>
                  <w:vAlign w:val="center"/>
                </w:tcPr>
                <w:p w14:paraId="74A978FE">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0.6454</w:t>
                  </w:r>
                </w:p>
              </w:tc>
              <w:tc>
                <w:tcPr>
                  <w:tcW w:w="414" w:type="pct"/>
                  <w:shd w:val="clear" w:color="auto" w:fill="auto"/>
                  <w:vAlign w:val="center"/>
                </w:tcPr>
                <w:p w14:paraId="24689806">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0.4048</w:t>
                  </w:r>
                </w:p>
              </w:tc>
              <w:tc>
                <w:tcPr>
                  <w:tcW w:w="333" w:type="pct"/>
                  <w:tcBorders>
                    <w:right w:val="double" w:color="auto" w:sz="4" w:space="0"/>
                  </w:tcBorders>
                  <w:shd w:val="clear" w:color="auto" w:fill="auto"/>
                  <w:vAlign w:val="center"/>
                </w:tcPr>
                <w:p w14:paraId="263A73B1">
                  <w:pPr>
                    <w:keepNext w:val="0"/>
                    <w:keepLines w:val="0"/>
                    <w:widowControl/>
                    <w:suppressLineNumbers w:val="0"/>
                    <w:jc w:val="center"/>
                    <w:textAlignment w:val="center"/>
                    <w:rPr>
                      <w:rFonts w:hint="default"/>
                      <w:b/>
                      <w:bCs/>
                      <w:color w:val="auto"/>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1.0502</w:t>
                  </w:r>
                </w:p>
              </w:tc>
              <w:tc>
                <w:tcPr>
                  <w:tcW w:w="420" w:type="pct"/>
                  <w:tcBorders>
                    <w:left w:val="double" w:color="auto" w:sz="4" w:space="0"/>
                  </w:tcBorders>
                  <w:shd w:val="clear" w:color="auto" w:fill="auto"/>
                  <w:vAlign w:val="center"/>
                </w:tcPr>
                <w:p w14:paraId="38A0A9B9">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0.1847</w:t>
                  </w:r>
                </w:p>
              </w:tc>
              <w:tc>
                <w:tcPr>
                  <w:tcW w:w="368" w:type="pct"/>
                  <w:shd w:val="clear" w:color="auto" w:fill="auto"/>
                  <w:vAlign w:val="center"/>
                </w:tcPr>
                <w:p w14:paraId="5D96924A">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0.0887</w:t>
                  </w:r>
                </w:p>
              </w:tc>
              <w:tc>
                <w:tcPr>
                  <w:tcW w:w="297" w:type="pct"/>
                  <w:shd w:val="clear" w:color="auto" w:fill="auto"/>
                  <w:vAlign w:val="center"/>
                </w:tcPr>
                <w:p w14:paraId="08967FD8">
                  <w:pPr>
                    <w:pStyle w:val="20"/>
                    <w:bidi w:val="0"/>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0.0369</w:t>
                  </w:r>
                </w:p>
              </w:tc>
              <w:tc>
                <w:tcPr>
                  <w:tcW w:w="332" w:type="pct"/>
                  <w:tcBorders>
                    <w:right w:val="single" w:color="auto" w:sz="4" w:space="0"/>
                  </w:tcBorders>
                  <w:shd w:val="clear" w:color="auto" w:fill="auto"/>
                  <w:vAlign w:val="center"/>
                </w:tcPr>
                <w:p w14:paraId="01937671">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0.0591</w:t>
                  </w:r>
                </w:p>
              </w:tc>
              <w:tc>
                <w:tcPr>
                  <w:tcW w:w="343" w:type="pct"/>
                  <w:tcBorders>
                    <w:left w:val="single" w:color="auto" w:sz="4" w:space="0"/>
                    <w:right w:val="double" w:color="auto" w:sz="4" w:space="0"/>
                  </w:tcBorders>
                  <w:shd w:val="clear" w:color="auto" w:fill="auto"/>
                  <w:vAlign w:val="center"/>
                </w:tcPr>
                <w:p w14:paraId="528445DC">
                  <w:pPr>
                    <w:pStyle w:val="20"/>
                    <w:bidi w:val="0"/>
                    <w:rPr>
                      <w:rFonts w:hint="default"/>
                      <w:b/>
                      <w:bCs/>
                      <w:color w:val="auto"/>
                      <w:highlight w:val="none"/>
                      <w:lang w:val="en-US" w:eastAsia="zh-CN"/>
                    </w:rPr>
                  </w:pPr>
                  <w:r>
                    <w:rPr>
                      <w:rFonts w:hint="eastAsia"/>
                      <w:b/>
                      <w:bCs/>
                      <w:color w:val="auto"/>
                      <w:highlight w:val="none"/>
                      <w:lang w:val="en-US" w:eastAsia="zh-CN"/>
                    </w:rPr>
                    <w:t>0.096</w:t>
                  </w:r>
                </w:p>
              </w:tc>
              <w:tc>
                <w:tcPr>
                  <w:tcW w:w="379" w:type="pct"/>
                  <w:tcBorders>
                    <w:left w:val="double" w:color="auto" w:sz="4" w:space="0"/>
                  </w:tcBorders>
                  <w:shd w:val="clear" w:color="auto" w:fill="auto"/>
                  <w:vAlign w:val="center"/>
                </w:tcPr>
                <w:p w14:paraId="05315189">
                  <w:pPr>
                    <w:pStyle w:val="20"/>
                    <w:bidi w:val="0"/>
                    <w:rPr>
                      <w:rFonts w:hint="default"/>
                      <w:color w:val="auto"/>
                      <w:highlight w:val="none"/>
                      <w:lang w:val="en-US" w:eastAsia="zh-CN"/>
                    </w:rPr>
                  </w:pPr>
                  <w:r>
                    <w:rPr>
                      <w:rFonts w:hint="default"/>
                      <w:color w:val="auto"/>
                      <w:highlight w:val="none"/>
                      <w:lang w:val="en-US" w:eastAsia="zh-CN"/>
                    </w:rPr>
                    <w:t>0.5863</w:t>
                  </w:r>
                </w:p>
              </w:tc>
              <w:tc>
                <w:tcPr>
                  <w:tcW w:w="379" w:type="pct"/>
                  <w:shd w:val="clear" w:color="auto" w:fill="auto"/>
                  <w:vAlign w:val="center"/>
                </w:tcPr>
                <w:p w14:paraId="2C65A3B7">
                  <w:pPr>
                    <w:pStyle w:val="20"/>
                    <w:bidi w:val="0"/>
                    <w:rPr>
                      <w:rFonts w:hint="default"/>
                      <w:color w:val="auto"/>
                      <w:highlight w:val="none"/>
                      <w:lang w:val="en-US" w:eastAsia="zh-CN"/>
                    </w:rPr>
                  </w:pPr>
                  <w:r>
                    <w:rPr>
                      <w:rFonts w:hint="default"/>
                      <w:color w:val="auto"/>
                      <w:highlight w:val="none"/>
                      <w:lang w:val="en-US" w:eastAsia="zh-CN"/>
                    </w:rPr>
                    <w:t>0.3679</w:t>
                  </w:r>
                </w:p>
              </w:tc>
              <w:tc>
                <w:tcPr>
                  <w:tcW w:w="291" w:type="pct"/>
                  <w:tcBorders>
                    <w:right w:val="double" w:color="auto" w:sz="4" w:space="0"/>
                  </w:tcBorders>
                  <w:shd w:val="clear" w:color="auto" w:fill="auto"/>
                  <w:vAlign w:val="center"/>
                </w:tcPr>
                <w:p w14:paraId="107F5304">
                  <w:pPr>
                    <w:pStyle w:val="20"/>
                    <w:bidi w:val="0"/>
                    <w:rPr>
                      <w:rFonts w:hint="default"/>
                      <w:b/>
                      <w:bCs/>
                      <w:color w:val="auto"/>
                      <w:highlight w:val="none"/>
                      <w:lang w:val="en-US" w:eastAsia="zh-CN"/>
                    </w:rPr>
                  </w:pPr>
                  <w:r>
                    <w:rPr>
                      <w:rFonts w:hint="eastAsia"/>
                      <w:b/>
                      <w:bCs/>
                      <w:color w:val="auto"/>
                      <w:highlight w:val="none"/>
                      <w:lang w:val="en-US" w:eastAsia="zh-CN"/>
                    </w:rPr>
                    <w:t>0.9542</w:t>
                  </w:r>
                </w:p>
              </w:tc>
              <w:tc>
                <w:tcPr>
                  <w:tcW w:w="291" w:type="pct"/>
                  <w:tcBorders>
                    <w:left w:val="double" w:color="auto" w:sz="4" w:space="0"/>
                  </w:tcBorders>
                  <w:shd w:val="clear" w:color="auto" w:fill="auto"/>
                  <w:vAlign w:val="center"/>
                </w:tcPr>
                <w:p w14:paraId="4CBB22F8">
                  <w:pPr>
                    <w:pStyle w:val="20"/>
                    <w:bidi w:val="0"/>
                    <w:rPr>
                      <w:rFonts w:hint="default"/>
                      <w:color w:val="auto"/>
                      <w:highlight w:val="none"/>
                      <w:lang w:val="en-US" w:eastAsia="zh-CN"/>
                    </w:rPr>
                  </w:pPr>
                  <w:r>
                    <w:rPr>
                      <w:rFonts w:hint="eastAsia"/>
                      <w:color w:val="auto"/>
                      <w:highlight w:val="none"/>
                      <w:lang w:val="en-US" w:eastAsia="zh-CN"/>
                    </w:rPr>
                    <w:t>0.6454</w:t>
                  </w:r>
                </w:p>
              </w:tc>
              <w:tc>
                <w:tcPr>
                  <w:tcW w:w="303" w:type="pct"/>
                  <w:shd w:val="clear" w:color="auto" w:fill="auto"/>
                  <w:vAlign w:val="center"/>
                </w:tcPr>
                <w:p w14:paraId="0D081F1B">
                  <w:pPr>
                    <w:pStyle w:val="20"/>
                    <w:bidi w:val="0"/>
                    <w:rPr>
                      <w:rFonts w:hint="eastAsia"/>
                      <w:color w:val="auto"/>
                      <w:highlight w:val="none"/>
                      <w:lang w:val="en-US" w:eastAsia="zh-CN"/>
                    </w:rPr>
                  </w:pPr>
                  <w:r>
                    <w:rPr>
                      <w:rFonts w:hint="eastAsia"/>
                      <w:color w:val="auto"/>
                      <w:highlight w:val="none"/>
                      <w:lang w:val="en-US" w:eastAsia="zh-CN"/>
                    </w:rPr>
                    <w:t>0.8655</w:t>
                  </w:r>
                </w:p>
              </w:tc>
            </w:tr>
            <w:tr w14:paraId="7DCCF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trPr>
              <w:tc>
                <w:tcPr>
                  <w:tcW w:w="459" w:type="pct"/>
                  <w:shd w:val="clear" w:color="auto" w:fill="auto"/>
                  <w:vAlign w:val="center"/>
                </w:tcPr>
                <w:p w14:paraId="7AF30656">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丙烯腈</w:t>
                  </w:r>
                </w:p>
              </w:tc>
              <w:tc>
                <w:tcPr>
                  <w:tcW w:w="384" w:type="pct"/>
                  <w:shd w:val="clear" w:color="auto" w:fill="auto"/>
                  <w:vAlign w:val="center"/>
                </w:tcPr>
                <w:p w14:paraId="6EDA2EA2">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0.0067</w:t>
                  </w:r>
                </w:p>
              </w:tc>
              <w:tc>
                <w:tcPr>
                  <w:tcW w:w="414" w:type="pct"/>
                  <w:shd w:val="clear" w:color="auto" w:fill="auto"/>
                  <w:vAlign w:val="center"/>
                </w:tcPr>
                <w:p w14:paraId="7A422829">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0.0042</w:t>
                  </w:r>
                </w:p>
              </w:tc>
              <w:tc>
                <w:tcPr>
                  <w:tcW w:w="333" w:type="pct"/>
                  <w:tcBorders>
                    <w:right w:val="double" w:color="auto" w:sz="4" w:space="0"/>
                  </w:tcBorders>
                  <w:shd w:val="clear" w:color="auto" w:fill="auto"/>
                  <w:vAlign w:val="center"/>
                </w:tcPr>
                <w:p w14:paraId="45E29D9F">
                  <w:pPr>
                    <w:keepNext w:val="0"/>
                    <w:keepLines w:val="0"/>
                    <w:widowControl/>
                    <w:suppressLineNumbers w:val="0"/>
                    <w:jc w:val="center"/>
                    <w:textAlignment w:val="center"/>
                    <w:rPr>
                      <w:rFonts w:hint="eastAsia"/>
                      <w:b/>
                      <w:bCs/>
                      <w:color w:val="auto"/>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0.0109</w:t>
                  </w:r>
                </w:p>
              </w:tc>
              <w:tc>
                <w:tcPr>
                  <w:tcW w:w="420" w:type="pct"/>
                  <w:tcBorders>
                    <w:left w:val="double" w:color="auto" w:sz="4" w:space="0"/>
                  </w:tcBorders>
                  <w:shd w:val="clear" w:color="auto" w:fill="auto"/>
                  <w:vAlign w:val="center"/>
                </w:tcPr>
                <w:p w14:paraId="720A3303">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0.0021</w:t>
                  </w:r>
                </w:p>
              </w:tc>
              <w:tc>
                <w:tcPr>
                  <w:tcW w:w="368" w:type="pct"/>
                  <w:shd w:val="clear" w:color="auto" w:fill="auto"/>
                  <w:vAlign w:val="center"/>
                </w:tcPr>
                <w:p w14:paraId="66A7F33C">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0.0010</w:t>
                  </w:r>
                </w:p>
              </w:tc>
              <w:tc>
                <w:tcPr>
                  <w:tcW w:w="297" w:type="pct"/>
                  <w:shd w:val="clear" w:color="auto" w:fill="auto"/>
                  <w:vAlign w:val="center"/>
                </w:tcPr>
                <w:p w14:paraId="50E42FD7">
                  <w:pPr>
                    <w:pStyle w:val="20"/>
                    <w:bidi w:val="0"/>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0.0004</w:t>
                  </w:r>
                </w:p>
              </w:tc>
              <w:tc>
                <w:tcPr>
                  <w:tcW w:w="332" w:type="pct"/>
                  <w:tcBorders>
                    <w:right w:val="single" w:color="auto" w:sz="4" w:space="0"/>
                  </w:tcBorders>
                  <w:shd w:val="clear" w:color="auto" w:fill="auto"/>
                  <w:vAlign w:val="center"/>
                </w:tcPr>
                <w:p w14:paraId="0A85B178">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0.0007</w:t>
                  </w:r>
                </w:p>
              </w:tc>
              <w:tc>
                <w:tcPr>
                  <w:tcW w:w="343" w:type="pct"/>
                  <w:tcBorders>
                    <w:left w:val="single" w:color="auto" w:sz="4" w:space="0"/>
                    <w:right w:val="double" w:color="auto" w:sz="4" w:space="0"/>
                  </w:tcBorders>
                  <w:shd w:val="clear" w:color="auto" w:fill="auto"/>
                  <w:vAlign w:val="center"/>
                </w:tcPr>
                <w:p w14:paraId="15C63232">
                  <w:pPr>
                    <w:pStyle w:val="20"/>
                    <w:bidi w:val="0"/>
                    <w:rPr>
                      <w:rFonts w:hint="default"/>
                      <w:b/>
                      <w:bCs/>
                      <w:color w:val="auto"/>
                      <w:highlight w:val="none"/>
                      <w:lang w:val="en-US" w:eastAsia="zh-CN"/>
                    </w:rPr>
                  </w:pPr>
                  <w:r>
                    <w:rPr>
                      <w:rFonts w:hint="eastAsia"/>
                      <w:b/>
                      <w:bCs/>
                      <w:color w:val="auto"/>
                      <w:highlight w:val="none"/>
                      <w:lang w:val="en-US" w:eastAsia="zh-CN"/>
                    </w:rPr>
                    <w:t>0.0011</w:t>
                  </w:r>
                </w:p>
              </w:tc>
              <w:tc>
                <w:tcPr>
                  <w:tcW w:w="379" w:type="pct"/>
                  <w:tcBorders>
                    <w:left w:val="double" w:color="auto" w:sz="4" w:space="0"/>
                  </w:tcBorders>
                  <w:shd w:val="clear" w:color="auto" w:fill="auto"/>
                  <w:vAlign w:val="center"/>
                </w:tcPr>
                <w:p w14:paraId="62C03B13">
                  <w:pPr>
                    <w:pStyle w:val="20"/>
                    <w:bidi w:val="0"/>
                    <w:rPr>
                      <w:rFonts w:hint="eastAsia"/>
                      <w:color w:val="auto"/>
                      <w:highlight w:val="none"/>
                      <w:lang w:val="en-US" w:eastAsia="zh-CN"/>
                    </w:rPr>
                  </w:pPr>
                  <w:r>
                    <w:rPr>
                      <w:rFonts w:hint="default"/>
                      <w:color w:val="auto"/>
                      <w:highlight w:val="none"/>
                      <w:lang w:val="en-US" w:eastAsia="zh-CN"/>
                    </w:rPr>
                    <w:t>0.006</w:t>
                  </w:r>
                </w:p>
              </w:tc>
              <w:tc>
                <w:tcPr>
                  <w:tcW w:w="379" w:type="pct"/>
                  <w:shd w:val="clear" w:color="auto" w:fill="auto"/>
                  <w:vAlign w:val="center"/>
                </w:tcPr>
                <w:p w14:paraId="383BDE88">
                  <w:pPr>
                    <w:pStyle w:val="20"/>
                    <w:bidi w:val="0"/>
                    <w:rPr>
                      <w:rFonts w:hint="default"/>
                      <w:color w:val="auto"/>
                      <w:highlight w:val="none"/>
                      <w:lang w:val="en-US" w:eastAsia="zh-CN"/>
                    </w:rPr>
                  </w:pPr>
                  <w:r>
                    <w:rPr>
                      <w:rFonts w:hint="default"/>
                      <w:color w:val="auto"/>
                      <w:highlight w:val="none"/>
                      <w:lang w:val="en-US" w:eastAsia="zh-CN"/>
                    </w:rPr>
                    <w:t>0.0038</w:t>
                  </w:r>
                </w:p>
              </w:tc>
              <w:tc>
                <w:tcPr>
                  <w:tcW w:w="291" w:type="pct"/>
                  <w:tcBorders>
                    <w:right w:val="double" w:color="auto" w:sz="4" w:space="0"/>
                  </w:tcBorders>
                  <w:shd w:val="clear" w:color="auto" w:fill="auto"/>
                  <w:vAlign w:val="center"/>
                </w:tcPr>
                <w:p w14:paraId="1C850BBC">
                  <w:pPr>
                    <w:pStyle w:val="20"/>
                    <w:bidi w:val="0"/>
                    <w:rPr>
                      <w:rFonts w:hint="default"/>
                      <w:b/>
                      <w:bCs/>
                      <w:color w:val="auto"/>
                      <w:highlight w:val="none"/>
                      <w:lang w:val="en-US" w:eastAsia="zh-CN"/>
                    </w:rPr>
                  </w:pPr>
                  <w:r>
                    <w:rPr>
                      <w:rFonts w:hint="eastAsia"/>
                      <w:b/>
                      <w:bCs/>
                      <w:color w:val="auto"/>
                      <w:highlight w:val="none"/>
                      <w:lang w:val="en-US" w:eastAsia="zh-CN"/>
                    </w:rPr>
                    <w:t>0.0098</w:t>
                  </w:r>
                </w:p>
              </w:tc>
              <w:tc>
                <w:tcPr>
                  <w:tcW w:w="291" w:type="pct"/>
                  <w:tcBorders>
                    <w:left w:val="double" w:color="auto" w:sz="4" w:space="0"/>
                  </w:tcBorders>
                  <w:shd w:val="clear" w:color="auto" w:fill="auto"/>
                  <w:vAlign w:val="center"/>
                </w:tcPr>
                <w:p w14:paraId="71F1E68C">
                  <w:pPr>
                    <w:pStyle w:val="20"/>
                    <w:bidi w:val="0"/>
                    <w:rPr>
                      <w:rFonts w:hint="eastAsia"/>
                      <w:color w:val="auto"/>
                      <w:highlight w:val="none"/>
                      <w:lang w:val="en-US" w:eastAsia="zh-CN"/>
                    </w:rPr>
                  </w:pPr>
                  <w:r>
                    <w:rPr>
                      <w:rFonts w:hint="eastAsia"/>
                      <w:color w:val="auto"/>
                      <w:highlight w:val="none"/>
                      <w:lang w:val="en-US" w:eastAsia="zh-CN"/>
                    </w:rPr>
                    <w:t>0.0067</w:t>
                  </w:r>
                </w:p>
              </w:tc>
              <w:tc>
                <w:tcPr>
                  <w:tcW w:w="303" w:type="pct"/>
                  <w:shd w:val="clear" w:color="auto" w:fill="auto"/>
                  <w:vAlign w:val="center"/>
                </w:tcPr>
                <w:p w14:paraId="14A4C0D7">
                  <w:pPr>
                    <w:pStyle w:val="20"/>
                    <w:bidi w:val="0"/>
                    <w:rPr>
                      <w:rFonts w:hint="eastAsia"/>
                      <w:color w:val="auto"/>
                      <w:highlight w:val="none"/>
                      <w:lang w:val="en-US" w:eastAsia="zh-CN"/>
                    </w:rPr>
                  </w:pPr>
                  <w:r>
                    <w:rPr>
                      <w:rFonts w:hint="eastAsia"/>
                      <w:color w:val="auto"/>
                      <w:highlight w:val="none"/>
                      <w:lang w:val="en-US" w:eastAsia="zh-CN"/>
                    </w:rPr>
                    <w:t>0.0088</w:t>
                  </w:r>
                </w:p>
              </w:tc>
            </w:tr>
            <w:tr w14:paraId="3CF6A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trPr>
              <w:tc>
                <w:tcPr>
                  <w:tcW w:w="459" w:type="pct"/>
                  <w:shd w:val="clear" w:color="auto" w:fill="auto"/>
                  <w:vAlign w:val="center"/>
                </w:tcPr>
                <w:p w14:paraId="2C8B6AA8">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1,3-丁二烯</w:t>
                  </w:r>
                </w:p>
              </w:tc>
              <w:tc>
                <w:tcPr>
                  <w:tcW w:w="384" w:type="pct"/>
                  <w:shd w:val="clear" w:color="auto" w:fill="auto"/>
                  <w:vAlign w:val="center"/>
                </w:tcPr>
                <w:p w14:paraId="4174AEA5">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0.0003</w:t>
                  </w:r>
                </w:p>
              </w:tc>
              <w:tc>
                <w:tcPr>
                  <w:tcW w:w="414" w:type="pct"/>
                  <w:shd w:val="clear" w:color="auto" w:fill="auto"/>
                  <w:vAlign w:val="center"/>
                </w:tcPr>
                <w:p w14:paraId="37B0C552">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0.0002</w:t>
                  </w:r>
                </w:p>
              </w:tc>
              <w:tc>
                <w:tcPr>
                  <w:tcW w:w="333" w:type="pct"/>
                  <w:tcBorders>
                    <w:right w:val="double" w:color="auto" w:sz="4" w:space="0"/>
                  </w:tcBorders>
                  <w:shd w:val="clear" w:color="auto" w:fill="auto"/>
                  <w:vAlign w:val="center"/>
                </w:tcPr>
                <w:p w14:paraId="010FC814">
                  <w:pPr>
                    <w:keepNext w:val="0"/>
                    <w:keepLines w:val="0"/>
                    <w:widowControl/>
                    <w:suppressLineNumbers w:val="0"/>
                    <w:jc w:val="center"/>
                    <w:textAlignment w:val="center"/>
                    <w:rPr>
                      <w:rFonts w:hint="eastAsia"/>
                      <w:b/>
                      <w:bCs/>
                      <w:color w:val="auto"/>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0.0005</w:t>
                  </w:r>
                </w:p>
              </w:tc>
              <w:tc>
                <w:tcPr>
                  <w:tcW w:w="420" w:type="pct"/>
                  <w:tcBorders>
                    <w:left w:val="double" w:color="auto" w:sz="4" w:space="0"/>
                  </w:tcBorders>
                  <w:shd w:val="clear" w:color="auto" w:fill="auto"/>
                  <w:vAlign w:val="center"/>
                </w:tcPr>
                <w:p w14:paraId="00B8ACE9">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0.0001</w:t>
                  </w:r>
                </w:p>
              </w:tc>
              <w:tc>
                <w:tcPr>
                  <w:tcW w:w="368" w:type="pct"/>
                  <w:shd w:val="clear" w:color="auto" w:fill="auto"/>
                  <w:vAlign w:val="center"/>
                </w:tcPr>
                <w:p w14:paraId="58029BB6">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0.0000</w:t>
                  </w:r>
                </w:p>
              </w:tc>
              <w:tc>
                <w:tcPr>
                  <w:tcW w:w="297" w:type="pct"/>
                  <w:shd w:val="clear" w:color="auto" w:fill="auto"/>
                  <w:vAlign w:val="center"/>
                </w:tcPr>
                <w:p w14:paraId="4E0FA727">
                  <w:pPr>
                    <w:pStyle w:val="20"/>
                    <w:bidi w:val="0"/>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0.0000</w:t>
                  </w:r>
                </w:p>
              </w:tc>
              <w:tc>
                <w:tcPr>
                  <w:tcW w:w="332" w:type="pct"/>
                  <w:tcBorders>
                    <w:right w:val="single" w:color="auto" w:sz="4" w:space="0"/>
                  </w:tcBorders>
                  <w:shd w:val="clear" w:color="auto" w:fill="auto"/>
                  <w:vAlign w:val="center"/>
                </w:tcPr>
                <w:p w14:paraId="562B8115">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0.0000</w:t>
                  </w:r>
                </w:p>
              </w:tc>
              <w:tc>
                <w:tcPr>
                  <w:tcW w:w="343" w:type="pct"/>
                  <w:tcBorders>
                    <w:left w:val="single" w:color="auto" w:sz="4" w:space="0"/>
                    <w:right w:val="double" w:color="auto" w:sz="4" w:space="0"/>
                  </w:tcBorders>
                  <w:shd w:val="clear" w:color="auto" w:fill="auto"/>
                  <w:vAlign w:val="center"/>
                </w:tcPr>
                <w:p w14:paraId="2BFFD659">
                  <w:pPr>
                    <w:pStyle w:val="20"/>
                    <w:bidi w:val="0"/>
                    <w:rPr>
                      <w:rFonts w:hint="default"/>
                      <w:b/>
                      <w:bCs/>
                      <w:color w:val="auto"/>
                      <w:highlight w:val="none"/>
                      <w:lang w:val="en-US" w:eastAsia="zh-CN"/>
                    </w:rPr>
                  </w:pPr>
                  <w:r>
                    <w:rPr>
                      <w:rFonts w:hint="default"/>
                      <w:b/>
                      <w:bCs/>
                      <w:color w:val="auto"/>
                      <w:highlight w:val="none"/>
                      <w:lang w:val="en-US" w:eastAsia="zh-CN"/>
                    </w:rPr>
                    <w:t>0.0000</w:t>
                  </w:r>
                </w:p>
              </w:tc>
              <w:tc>
                <w:tcPr>
                  <w:tcW w:w="379" w:type="pct"/>
                  <w:tcBorders>
                    <w:left w:val="double" w:color="auto" w:sz="4" w:space="0"/>
                  </w:tcBorders>
                  <w:shd w:val="clear" w:color="auto" w:fill="auto"/>
                  <w:vAlign w:val="center"/>
                </w:tcPr>
                <w:p w14:paraId="4AD42D27">
                  <w:pPr>
                    <w:pStyle w:val="20"/>
                    <w:bidi w:val="0"/>
                    <w:rPr>
                      <w:rFonts w:hint="eastAsia"/>
                      <w:color w:val="auto"/>
                      <w:highlight w:val="none"/>
                      <w:lang w:val="en-US" w:eastAsia="zh-CN"/>
                    </w:rPr>
                  </w:pPr>
                  <w:r>
                    <w:rPr>
                      <w:rFonts w:hint="default"/>
                      <w:color w:val="auto"/>
                      <w:highlight w:val="none"/>
                      <w:lang w:val="en-US" w:eastAsia="zh-CN"/>
                    </w:rPr>
                    <w:t>0.0003</w:t>
                  </w:r>
                </w:p>
              </w:tc>
              <w:tc>
                <w:tcPr>
                  <w:tcW w:w="379" w:type="pct"/>
                  <w:shd w:val="clear" w:color="auto" w:fill="auto"/>
                  <w:vAlign w:val="center"/>
                </w:tcPr>
                <w:p w14:paraId="3D0EF33E">
                  <w:pPr>
                    <w:pStyle w:val="20"/>
                    <w:bidi w:val="0"/>
                    <w:rPr>
                      <w:rFonts w:hint="default"/>
                      <w:color w:val="auto"/>
                      <w:highlight w:val="none"/>
                      <w:lang w:val="en-US" w:eastAsia="zh-CN"/>
                    </w:rPr>
                  </w:pPr>
                  <w:r>
                    <w:rPr>
                      <w:rFonts w:hint="default"/>
                      <w:color w:val="auto"/>
                      <w:highlight w:val="none"/>
                      <w:lang w:val="en-US" w:eastAsia="zh-CN"/>
                    </w:rPr>
                    <w:t>0.0002</w:t>
                  </w:r>
                </w:p>
              </w:tc>
              <w:tc>
                <w:tcPr>
                  <w:tcW w:w="291" w:type="pct"/>
                  <w:tcBorders>
                    <w:right w:val="double" w:color="auto" w:sz="4" w:space="0"/>
                  </w:tcBorders>
                  <w:shd w:val="clear" w:color="auto" w:fill="auto"/>
                  <w:vAlign w:val="center"/>
                </w:tcPr>
                <w:p w14:paraId="024E849A">
                  <w:pPr>
                    <w:pStyle w:val="20"/>
                    <w:bidi w:val="0"/>
                    <w:rPr>
                      <w:rFonts w:hint="default"/>
                      <w:b/>
                      <w:bCs/>
                      <w:color w:val="auto"/>
                      <w:highlight w:val="none"/>
                      <w:lang w:val="en-US" w:eastAsia="zh-CN"/>
                    </w:rPr>
                  </w:pPr>
                  <w:r>
                    <w:rPr>
                      <w:rFonts w:hint="eastAsia"/>
                      <w:b/>
                      <w:bCs/>
                      <w:color w:val="auto"/>
                      <w:highlight w:val="none"/>
                      <w:lang w:val="en-US" w:eastAsia="zh-CN"/>
                    </w:rPr>
                    <w:t>0.0005</w:t>
                  </w:r>
                </w:p>
              </w:tc>
              <w:tc>
                <w:tcPr>
                  <w:tcW w:w="291" w:type="pct"/>
                  <w:tcBorders>
                    <w:left w:val="double" w:color="auto" w:sz="4" w:space="0"/>
                  </w:tcBorders>
                  <w:shd w:val="clear" w:color="auto" w:fill="auto"/>
                  <w:vAlign w:val="center"/>
                </w:tcPr>
                <w:p w14:paraId="09D1D1B9">
                  <w:pPr>
                    <w:pStyle w:val="20"/>
                    <w:bidi w:val="0"/>
                    <w:rPr>
                      <w:rFonts w:hint="eastAsia"/>
                      <w:color w:val="auto"/>
                      <w:highlight w:val="none"/>
                      <w:lang w:val="en-US" w:eastAsia="zh-CN"/>
                    </w:rPr>
                  </w:pPr>
                  <w:r>
                    <w:rPr>
                      <w:rFonts w:hint="eastAsia"/>
                      <w:color w:val="auto"/>
                      <w:highlight w:val="none"/>
                      <w:lang w:val="en-US" w:eastAsia="zh-CN"/>
                    </w:rPr>
                    <w:t>0.0003</w:t>
                  </w:r>
                </w:p>
              </w:tc>
              <w:tc>
                <w:tcPr>
                  <w:tcW w:w="303" w:type="pct"/>
                  <w:shd w:val="clear" w:color="auto" w:fill="auto"/>
                  <w:vAlign w:val="center"/>
                </w:tcPr>
                <w:p w14:paraId="172C29F3">
                  <w:pPr>
                    <w:pStyle w:val="20"/>
                    <w:bidi w:val="0"/>
                    <w:rPr>
                      <w:rFonts w:hint="eastAsia"/>
                      <w:color w:val="auto"/>
                      <w:highlight w:val="none"/>
                      <w:lang w:val="en-US" w:eastAsia="zh-CN"/>
                    </w:rPr>
                  </w:pPr>
                  <w:r>
                    <w:rPr>
                      <w:rFonts w:hint="eastAsia"/>
                      <w:color w:val="auto"/>
                      <w:highlight w:val="none"/>
                      <w:lang w:val="en-US" w:eastAsia="zh-CN"/>
                    </w:rPr>
                    <w:t>0.0004</w:t>
                  </w:r>
                </w:p>
              </w:tc>
            </w:tr>
            <w:tr w14:paraId="0280B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trPr>
              <w:tc>
                <w:tcPr>
                  <w:tcW w:w="459" w:type="pct"/>
                  <w:shd w:val="clear" w:color="auto" w:fill="auto"/>
                  <w:vAlign w:val="center"/>
                </w:tcPr>
                <w:p w14:paraId="52B433DD">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苯乙烯</w:t>
                  </w:r>
                </w:p>
              </w:tc>
              <w:tc>
                <w:tcPr>
                  <w:tcW w:w="384" w:type="pct"/>
                  <w:shd w:val="clear" w:color="auto" w:fill="auto"/>
                  <w:vAlign w:val="center"/>
                </w:tcPr>
                <w:p w14:paraId="0793FA1F">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0.1494</w:t>
                  </w:r>
                </w:p>
              </w:tc>
              <w:tc>
                <w:tcPr>
                  <w:tcW w:w="414" w:type="pct"/>
                  <w:shd w:val="clear" w:color="auto" w:fill="auto"/>
                  <w:vAlign w:val="center"/>
                </w:tcPr>
                <w:p w14:paraId="4E93EDD9">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0.0934</w:t>
                  </w:r>
                </w:p>
              </w:tc>
              <w:tc>
                <w:tcPr>
                  <w:tcW w:w="333" w:type="pct"/>
                  <w:tcBorders>
                    <w:right w:val="double" w:color="auto" w:sz="4" w:space="0"/>
                  </w:tcBorders>
                  <w:shd w:val="clear" w:color="auto" w:fill="auto"/>
                  <w:vAlign w:val="center"/>
                </w:tcPr>
                <w:p w14:paraId="17D29C9A">
                  <w:pPr>
                    <w:keepNext w:val="0"/>
                    <w:keepLines w:val="0"/>
                    <w:widowControl/>
                    <w:suppressLineNumbers w:val="0"/>
                    <w:jc w:val="center"/>
                    <w:textAlignment w:val="center"/>
                    <w:rPr>
                      <w:rFonts w:hint="eastAsia"/>
                      <w:b/>
                      <w:bCs/>
                      <w:color w:val="auto"/>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0.2428</w:t>
                  </w:r>
                </w:p>
              </w:tc>
              <w:tc>
                <w:tcPr>
                  <w:tcW w:w="420" w:type="pct"/>
                  <w:tcBorders>
                    <w:left w:val="double" w:color="auto" w:sz="4" w:space="0"/>
                  </w:tcBorders>
                  <w:shd w:val="clear" w:color="auto" w:fill="auto"/>
                  <w:vAlign w:val="center"/>
                </w:tcPr>
                <w:p w14:paraId="357C414D">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0.0463</w:t>
                  </w:r>
                </w:p>
              </w:tc>
              <w:tc>
                <w:tcPr>
                  <w:tcW w:w="368" w:type="pct"/>
                  <w:shd w:val="clear" w:color="auto" w:fill="auto"/>
                  <w:vAlign w:val="center"/>
                </w:tcPr>
                <w:p w14:paraId="24B3007C">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0.0222</w:t>
                  </w:r>
                </w:p>
              </w:tc>
              <w:tc>
                <w:tcPr>
                  <w:tcW w:w="297" w:type="pct"/>
                  <w:shd w:val="clear" w:color="auto" w:fill="auto"/>
                  <w:vAlign w:val="center"/>
                </w:tcPr>
                <w:p w14:paraId="2ED12149">
                  <w:pPr>
                    <w:pStyle w:val="20"/>
                    <w:bidi w:val="0"/>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0.0093</w:t>
                  </w:r>
                </w:p>
              </w:tc>
              <w:tc>
                <w:tcPr>
                  <w:tcW w:w="332" w:type="pct"/>
                  <w:tcBorders>
                    <w:right w:val="single" w:color="auto" w:sz="4" w:space="0"/>
                  </w:tcBorders>
                  <w:shd w:val="clear" w:color="auto" w:fill="auto"/>
                  <w:vAlign w:val="center"/>
                </w:tcPr>
                <w:p w14:paraId="7559B2B7">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0.0148</w:t>
                  </w:r>
                </w:p>
              </w:tc>
              <w:tc>
                <w:tcPr>
                  <w:tcW w:w="343" w:type="pct"/>
                  <w:tcBorders>
                    <w:left w:val="single" w:color="auto" w:sz="4" w:space="0"/>
                    <w:right w:val="double" w:color="auto" w:sz="4" w:space="0"/>
                  </w:tcBorders>
                  <w:shd w:val="clear" w:color="auto" w:fill="auto"/>
                  <w:vAlign w:val="center"/>
                </w:tcPr>
                <w:p w14:paraId="05EFED0A">
                  <w:pPr>
                    <w:pStyle w:val="20"/>
                    <w:bidi w:val="0"/>
                    <w:rPr>
                      <w:rFonts w:hint="default"/>
                      <w:b/>
                      <w:bCs/>
                      <w:color w:val="auto"/>
                      <w:highlight w:val="none"/>
                      <w:lang w:val="en-US" w:eastAsia="zh-CN"/>
                    </w:rPr>
                  </w:pPr>
                  <w:r>
                    <w:rPr>
                      <w:rFonts w:hint="eastAsia"/>
                      <w:b/>
                      <w:bCs/>
                      <w:color w:val="auto"/>
                      <w:highlight w:val="none"/>
                      <w:lang w:val="en-US" w:eastAsia="zh-CN"/>
                    </w:rPr>
                    <w:t>0.0241</w:t>
                  </w:r>
                </w:p>
              </w:tc>
              <w:tc>
                <w:tcPr>
                  <w:tcW w:w="379" w:type="pct"/>
                  <w:tcBorders>
                    <w:left w:val="double" w:color="auto" w:sz="4" w:space="0"/>
                  </w:tcBorders>
                  <w:shd w:val="clear" w:color="auto" w:fill="auto"/>
                  <w:vAlign w:val="center"/>
                </w:tcPr>
                <w:p w14:paraId="6CEE1FDF">
                  <w:pPr>
                    <w:pStyle w:val="20"/>
                    <w:bidi w:val="0"/>
                    <w:rPr>
                      <w:rFonts w:hint="eastAsia"/>
                      <w:color w:val="auto"/>
                      <w:highlight w:val="none"/>
                      <w:lang w:val="en-US" w:eastAsia="zh-CN"/>
                    </w:rPr>
                  </w:pPr>
                  <w:r>
                    <w:rPr>
                      <w:rFonts w:hint="default"/>
                      <w:color w:val="auto"/>
                      <w:highlight w:val="none"/>
                      <w:lang w:val="en-US" w:eastAsia="zh-CN"/>
                    </w:rPr>
                    <w:t>0.1346</w:t>
                  </w:r>
                </w:p>
              </w:tc>
              <w:tc>
                <w:tcPr>
                  <w:tcW w:w="379" w:type="pct"/>
                  <w:shd w:val="clear" w:color="auto" w:fill="auto"/>
                  <w:vAlign w:val="center"/>
                </w:tcPr>
                <w:p w14:paraId="20A8D807">
                  <w:pPr>
                    <w:pStyle w:val="20"/>
                    <w:bidi w:val="0"/>
                    <w:rPr>
                      <w:rFonts w:hint="default"/>
                      <w:color w:val="auto"/>
                      <w:highlight w:val="none"/>
                      <w:lang w:val="en-US" w:eastAsia="zh-CN"/>
                    </w:rPr>
                  </w:pPr>
                  <w:r>
                    <w:rPr>
                      <w:rFonts w:hint="default"/>
                      <w:color w:val="auto"/>
                      <w:highlight w:val="none"/>
                      <w:lang w:val="en-US" w:eastAsia="zh-CN"/>
                    </w:rPr>
                    <w:t>0.0841</w:t>
                  </w:r>
                </w:p>
              </w:tc>
              <w:tc>
                <w:tcPr>
                  <w:tcW w:w="291" w:type="pct"/>
                  <w:tcBorders>
                    <w:right w:val="double" w:color="auto" w:sz="4" w:space="0"/>
                  </w:tcBorders>
                  <w:shd w:val="clear" w:color="auto" w:fill="auto"/>
                  <w:vAlign w:val="center"/>
                </w:tcPr>
                <w:p w14:paraId="608F9128">
                  <w:pPr>
                    <w:pStyle w:val="20"/>
                    <w:bidi w:val="0"/>
                    <w:rPr>
                      <w:rFonts w:hint="default"/>
                      <w:b/>
                      <w:bCs/>
                      <w:color w:val="auto"/>
                      <w:highlight w:val="none"/>
                      <w:lang w:val="en-US" w:eastAsia="zh-CN"/>
                    </w:rPr>
                  </w:pPr>
                  <w:r>
                    <w:rPr>
                      <w:rFonts w:hint="eastAsia"/>
                      <w:b/>
                      <w:bCs/>
                      <w:color w:val="auto"/>
                      <w:highlight w:val="none"/>
                      <w:lang w:val="en-US" w:eastAsia="zh-CN"/>
                    </w:rPr>
                    <w:t>0.2187</w:t>
                  </w:r>
                </w:p>
              </w:tc>
              <w:tc>
                <w:tcPr>
                  <w:tcW w:w="291" w:type="pct"/>
                  <w:tcBorders>
                    <w:left w:val="double" w:color="auto" w:sz="4" w:space="0"/>
                  </w:tcBorders>
                  <w:shd w:val="clear" w:color="auto" w:fill="auto"/>
                  <w:vAlign w:val="center"/>
                </w:tcPr>
                <w:p w14:paraId="00AEEE61">
                  <w:pPr>
                    <w:pStyle w:val="20"/>
                    <w:bidi w:val="0"/>
                    <w:rPr>
                      <w:rFonts w:hint="eastAsia"/>
                      <w:color w:val="auto"/>
                      <w:highlight w:val="none"/>
                      <w:lang w:val="en-US" w:eastAsia="zh-CN"/>
                    </w:rPr>
                  </w:pPr>
                  <w:r>
                    <w:rPr>
                      <w:rFonts w:hint="eastAsia"/>
                      <w:color w:val="auto"/>
                      <w:highlight w:val="none"/>
                      <w:lang w:val="en-US" w:eastAsia="zh-CN"/>
                    </w:rPr>
                    <w:t>0.1494</w:t>
                  </w:r>
                </w:p>
              </w:tc>
              <w:tc>
                <w:tcPr>
                  <w:tcW w:w="303" w:type="pct"/>
                  <w:shd w:val="clear" w:color="auto" w:fill="auto"/>
                  <w:vAlign w:val="center"/>
                </w:tcPr>
                <w:p w14:paraId="125310CE">
                  <w:pPr>
                    <w:pStyle w:val="20"/>
                    <w:bidi w:val="0"/>
                    <w:rPr>
                      <w:rFonts w:hint="eastAsia"/>
                      <w:color w:val="auto"/>
                      <w:highlight w:val="none"/>
                      <w:lang w:val="en-US" w:eastAsia="zh-CN"/>
                    </w:rPr>
                  </w:pPr>
                  <w:r>
                    <w:rPr>
                      <w:rFonts w:hint="eastAsia"/>
                      <w:color w:val="auto"/>
                      <w:highlight w:val="none"/>
                      <w:lang w:val="en-US" w:eastAsia="zh-CN"/>
                    </w:rPr>
                    <w:t>0.1965</w:t>
                  </w:r>
                </w:p>
              </w:tc>
            </w:tr>
            <w:tr w14:paraId="2ED6A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trPr>
              <w:tc>
                <w:tcPr>
                  <w:tcW w:w="459" w:type="pct"/>
                  <w:shd w:val="clear" w:color="auto" w:fill="auto"/>
                  <w:vAlign w:val="center"/>
                </w:tcPr>
                <w:p w14:paraId="755742BF">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甲苯</w:t>
                  </w:r>
                </w:p>
              </w:tc>
              <w:tc>
                <w:tcPr>
                  <w:tcW w:w="384" w:type="pct"/>
                  <w:shd w:val="clear" w:color="auto" w:fill="auto"/>
                  <w:vAlign w:val="center"/>
                </w:tcPr>
                <w:p w14:paraId="092E1419">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0.0042</w:t>
                  </w:r>
                </w:p>
              </w:tc>
              <w:tc>
                <w:tcPr>
                  <w:tcW w:w="414" w:type="pct"/>
                  <w:shd w:val="clear" w:color="auto" w:fill="auto"/>
                  <w:vAlign w:val="center"/>
                </w:tcPr>
                <w:p w14:paraId="2079C618">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0.0026</w:t>
                  </w:r>
                </w:p>
              </w:tc>
              <w:tc>
                <w:tcPr>
                  <w:tcW w:w="333" w:type="pct"/>
                  <w:tcBorders>
                    <w:right w:val="double" w:color="auto" w:sz="4" w:space="0"/>
                  </w:tcBorders>
                  <w:shd w:val="clear" w:color="auto" w:fill="auto"/>
                  <w:vAlign w:val="center"/>
                </w:tcPr>
                <w:p w14:paraId="0BE7D934">
                  <w:pPr>
                    <w:keepNext w:val="0"/>
                    <w:keepLines w:val="0"/>
                    <w:widowControl/>
                    <w:suppressLineNumbers w:val="0"/>
                    <w:jc w:val="center"/>
                    <w:textAlignment w:val="center"/>
                    <w:rPr>
                      <w:rFonts w:hint="eastAsia"/>
                      <w:b/>
                      <w:bCs/>
                      <w:color w:val="auto"/>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0.0068</w:t>
                  </w:r>
                </w:p>
              </w:tc>
              <w:tc>
                <w:tcPr>
                  <w:tcW w:w="420" w:type="pct"/>
                  <w:tcBorders>
                    <w:left w:val="double" w:color="auto" w:sz="4" w:space="0"/>
                  </w:tcBorders>
                  <w:shd w:val="clear" w:color="auto" w:fill="auto"/>
                  <w:vAlign w:val="center"/>
                </w:tcPr>
                <w:p w14:paraId="51A56AE0">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0.0013</w:t>
                  </w:r>
                </w:p>
              </w:tc>
              <w:tc>
                <w:tcPr>
                  <w:tcW w:w="368" w:type="pct"/>
                  <w:shd w:val="clear" w:color="auto" w:fill="auto"/>
                  <w:vAlign w:val="center"/>
                </w:tcPr>
                <w:p w14:paraId="14AEDB60">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0.0006</w:t>
                  </w:r>
                </w:p>
              </w:tc>
              <w:tc>
                <w:tcPr>
                  <w:tcW w:w="297" w:type="pct"/>
                  <w:shd w:val="clear" w:color="auto" w:fill="auto"/>
                  <w:vAlign w:val="center"/>
                </w:tcPr>
                <w:p w14:paraId="675C516F">
                  <w:pPr>
                    <w:pStyle w:val="20"/>
                    <w:bidi w:val="0"/>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0.0003</w:t>
                  </w:r>
                </w:p>
              </w:tc>
              <w:tc>
                <w:tcPr>
                  <w:tcW w:w="332" w:type="pct"/>
                  <w:tcBorders>
                    <w:right w:val="single" w:color="auto" w:sz="4" w:space="0"/>
                  </w:tcBorders>
                  <w:shd w:val="clear" w:color="auto" w:fill="auto"/>
                  <w:vAlign w:val="center"/>
                </w:tcPr>
                <w:p w14:paraId="45034F86">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0.0004</w:t>
                  </w:r>
                </w:p>
              </w:tc>
              <w:tc>
                <w:tcPr>
                  <w:tcW w:w="343" w:type="pct"/>
                  <w:tcBorders>
                    <w:left w:val="single" w:color="auto" w:sz="4" w:space="0"/>
                    <w:right w:val="double" w:color="auto" w:sz="4" w:space="0"/>
                  </w:tcBorders>
                  <w:shd w:val="clear" w:color="auto" w:fill="auto"/>
                  <w:vAlign w:val="center"/>
                </w:tcPr>
                <w:p w14:paraId="379B09A8">
                  <w:pPr>
                    <w:pStyle w:val="20"/>
                    <w:bidi w:val="0"/>
                    <w:rPr>
                      <w:rFonts w:hint="default"/>
                      <w:b/>
                      <w:bCs/>
                      <w:color w:val="auto"/>
                      <w:highlight w:val="none"/>
                      <w:lang w:val="en-US" w:eastAsia="zh-CN"/>
                    </w:rPr>
                  </w:pPr>
                  <w:r>
                    <w:rPr>
                      <w:rFonts w:hint="eastAsia"/>
                      <w:b/>
                      <w:bCs/>
                      <w:color w:val="auto"/>
                      <w:highlight w:val="none"/>
                      <w:lang w:val="en-US" w:eastAsia="zh-CN"/>
                    </w:rPr>
                    <w:t>0.0007</w:t>
                  </w:r>
                </w:p>
              </w:tc>
              <w:tc>
                <w:tcPr>
                  <w:tcW w:w="379" w:type="pct"/>
                  <w:tcBorders>
                    <w:left w:val="double" w:color="auto" w:sz="4" w:space="0"/>
                  </w:tcBorders>
                  <w:shd w:val="clear" w:color="auto" w:fill="auto"/>
                  <w:vAlign w:val="center"/>
                </w:tcPr>
                <w:p w14:paraId="427E1EB1">
                  <w:pPr>
                    <w:pStyle w:val="20"/>
                    <w:bidi w:val="0"/>
                    <w:rPr>
                      <w:rFonts w:hint="eastAsia"/>
                      <w:color w:val="auto"/>
                      <w:highlight w:val="none"/>
                      <w:lang w:val="en-US" w:eastAsia="zh-CN"/>
                    </w:rPr>
                  </w:pPr>
                  <w:r>
                    <w:rPr>
                      <w:rFonts w:hint="default"/>
                      <w:color w:val="auto"/>
                      <w:highlight w:val="none"/>
                      <w:lang w:val="en-US" w:eastAsia="zh-CN"/>
                    </w:rPr>
                    <w:t>0.0038</w:t>
                  </w:r>
                </w:p>
              </w:tc>
              <w:tc>
                <w:tcPr>
                  <w:tcW w:w="379" w:type="pct"/>
                  <w:shd w:val="clear" w:color="auto" w:fill="auto"/>
                  <w:vAlign w:val="center"/>
                </w:tcPr>
                <w:p w14:paraId="1ACA51D2">
                  <w:pPr>
                    <w:pStyle w:val="20"/>
                    <w:bidi w:val="0"/>
                    <w:rPr>
                      <w:rFonts w:hint="default"/>
                      <w:color w:val="auto"/>
                      <w:highlight w:val="none"/>
                      <w:lang w:val="en-US" w:eastAsia="zh-CN"/>
                    </w:rPr>
                  </w:pPr>
                  <w:r>
                    <w:rPr>
                      <w:rFonts w:hint="default"/>
                      <w:color w:val="auto"/>
                      <w:highlight w:val="none"/>
                      <w:lang w:val="en-US" w:eastAsia="zh-CN"/>
                    </w:rPr>
                    <w:t>0.0023</w:t>
                  </w:r>
                </w:p>
              </w:tc>
              <w:tc>
                <w:tcPr>
                  <w:tcW w:w="291" w:type="pct"/>
                  <w:tcBorders>
                    <w:right w:val="double" w:color="auto" w:sz="4" w:space="0"/>
                  </w:tcBorders>
                  <w:shd w:val="clear" w:color="auto" w:fill="auto"/>
                  <w:vAlign w:val="center"/>
                </w:tcPr>
                <w:p w14:paraId="600D6B50">
                  <w:pPr>
                    <w:pStyle w:val="20"/>
                    <w:bidi w:val="0"/>
                    <w:rPr>
                      <w:rFonts w:hint="default"/>
                      <w:b/>
                      <w:bCs/>
                      <w:color w:val="auto"/>
                      <w:highlight w:val="none"/>
                      <w:lang w:val="en-US" w:eastAsia="zh-CN"/>
                    </w:rPr>
                  </w:pPr>
                  <w:r>
                    <w:rPr>
                      <w:rFonts w:hint="eastAsia"/>
                      <w:b/>
                      <w:bCs/>
                      <w:color w:val="auto"/>
                      <w:highlight w:val="none"/>
                      <w:lang w:val="en-US" w:eastAsia="zh-CN"/>
                    </w:rPr>
                    <w:t>0.0061</w:t>
                  </w:r>
                </w:p>
              </w:tc>
              <w:tc>
                <w:tcPr>
                  <w:tcW w:w="291" w:type="pct"/>
                  <w:tcBorders>
                    <w:left w:val="double" w:color="auto" w:sz="4" w:space="0"/>
                  </w:tcBorders>
                  <w:shd w:val="clear" w:color="auto" w:fill="auto"/>
                  <w:vAlign w:val="center"/>
                </w:tcPr>
                <w:p w14:paraId="17E26F7C">
                  <w:pPr>
                    <w:pStyle w:val="20"/>
                    <w:bidi w:val="0"/>
                    <w:rPr>
                      <w:rFonts w:hint="eastAsia"/>
                      <w:color w:val="auto"/>
                      <w:highlight w:val="none"/>
                      <w:lang w:val="en-US" w:eastAsia="zh-CN"/>
                    </w:rPr>
                  </w:pPr>
                  <w:r>
                    <w:rPr>
                      <w:rFonts w:hint="eastAsia"/>
                      <w:color w:val="auto"/>
                      <w:highlight w:val="none"/>
                      <w:lang w:val="en-US" w:eastAsia="zh-CN"/>
                    </w:rPr>
                    <w:t>0.0042</w:t>
                  </w:r>
                </w:p>
              </w:tc>
              <w:tc>
                <w:tcPr>
                  <w:tcW w:w="303" w:type="pct"/>
                  <w:shd w:val="clear" w:color="auto" w:fill="auto"/>
                  <w:vAlign w:val="center"/>
                </w:tcPr>
                <w:p w14:paraId="184F0BED">
                  <w:pPr>
                    <w:pStyle w:val="20"/>
                    <w:bidi w:val="0"/>
                    <w:rPr>
                      <w:rFonts w:hint="eastAsia"/>
                      <w:color w:val="auto"/>
                      <w:highlight w:val="none"/>
                      <w:lang w:val="en-US" w:eastAsia="zh-CN"/>
                    </w:rPr>
                  </w:pPr>
                  <w:r>
                    <w:rPr>
                      <w:rFonts w:hint="eastAsia"/>
                      <w:color w:val="auto"/>
                      <w:highlight w:val="none"/>
                      <w:lang w:val="en-US" w:eastAsia="zh-CN"/>
                    </w:rPr>
                    <w:t>0.0055</w:t>
                  </w:r>
                </w:p>
              </w:tc>
            </w:tr>
            <w:tr w14:paraId="133E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trPr>
              <w:tc>
                <w:tcPr>
                  <w:tcW w:w="459" w:type="pct"/>
                  <w:shd w:val="clear" w:color="auto" w:fill="auto"/>
                  <w:vAlign w:val="center"/>
                </w:tcPr>
                <w:p w14:paraId="5EDCA0C1">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乙苯</w:t>
                  </w:r>
                </w:p>
              </w:tc>
              <w:tc>
                <w:tcPr>
                  <w:tcW w:w="384" w:type="pct"/>
                  <w:shd w:val="clear" w:color="auto" w:fill="auto"/>
                  <w:vAlign w:val="center"/>
                </w:tcPr>
                <w:p w14:paraId="2562573E">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0.0176</w:t>
                  </w:r>
                </w:p>
              </w:tc>
              <w:tc>
                <w:tcPr>
                  <w:tcW w:w="414" w:type="pct"/>
                  <w:shd w:val="clear" w:color="auto" w:fill="auto"/>
                  <w:vAlign w:val="center"/>
                </w:tcPr>
                <w:p w14:paraId="2C616256">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0.0110</w:t>
                  </w:r>
                </w:p>
              </w:tc>
              <w:tc>
                <w:tcPr>
                  <w:tcW w:w="333" w:type="pct"/>
                  <w:tcBorders>
                    <w:right w:val="double" w:color="auto" w:sz="4" w:space="0"/>
                  </w:tcBorders>
                  <w:shd w:val="clear" w:color="auto" w:fill="auto"/>
                  <w:vAlign w:val="center"/>
                </w:tcPr>
                <w:p w14:paraId="79EA589D">
                  <w:pPr>
                    <w:keepNext w:val="0"/>
                    <w:keepLines w:val="0"/>
                    <w:widowControl/>
                    <w:suppressLineNumbers w:val="0"/>
                    <w:jc w:val="center"/>
                    <w:textAlignment w:val="center"/>
                    <w:rPr>
                      <w:rFonts w:hint="eastAsia"/>
                      <w:b/>
                      <w:bCs/>
                      <w:color w:val="auto"/>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0.0286</w:t>
                  </w:r>
                </w:p>
              </w:tc>
              <w:tc>
                <w:tcPr>
                  <w:tcW w:w="420" w:type="pct"/>
                  <w:tcBorders>
                    <w:left w:val="double" w:color="auto" w:sz="4" w:space="0"/>
                  </w:tcBorders>
                  <w:shd w:val="clear" w:color="auto" w:fill="auto"/>
                  <w:vAlign w:val="center"/>
                </w:tcPr>
                <w:p w14:paraId="6E61A3E9">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0.0055</w:t>
                  </w:r>
                </w:p>
              </w:tc>
              <w:tc>
                <w:tcPr>
                  <w:tcW w:w="368" w:type="pct"/>
                  <w:shd w:val="clear" w:color="auto" w:fill="auto"/>
                  <w:vAlign w:val="center"/>
                </w:tcPr>
                <w:p w14:paraId="6B3B7223">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0.0026</w:t>
                  </w:r>
                </w:p>
              </w:tc>
              <w:tc>
                <w:tcPr>
                  <w:tcW w:w="297" w:type="pct"/>
                  <w:shd w:val="clear" w:color="auto" w:fill="auto"/>
                  <w:vAlign w:val="center"/>
                </w:tcPr>
                <w:p w14:paraId="6CD00ADE">
                  <w:pPr>
                    <w:pStyle w:val="20"/>
                    <w:bidi w:val="0"/>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0.0011</w:t>
                  </w:r>
                </w:p>
              </w:tc>
              <w:tc>
                <w:tcPr>
                  <w:tcW w:w="332" w:type="pct"/>
                  <w:tcBorders>
                    <w:right w:val="single" w:color="auto" w:sz="4" w:space="0"/>
                  </w:tcBorders>
                  <w:shd w:val="clear" w:color="auto" w:fill="auto"/>
                  <w:vAlign w:val="center"/>
                </w:tcPr>
                <w:p w14:paraId="1CE9923F">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0.0018</w:t>
                  </w:r>
                </w:p>
              </w:tc>
              <w:tc>
                <w:tcPr>
                  <w:tcW w:w="343" w:type="pct"/>
                  <w:tcBorders>
                    <w:left w:val="single" w:color="auto" w:sz="4" w:space="0"/>
                    <w:right w:val="double" w:color="auto" w:sz="4" w:space="0"/>
                  </w:tcBorders>
                  <w:shd w:val="clear" w:color="auto" w:fill="auto"/>
                  <w:vAlign w:val="center"/>
                </w:tcPr>
                <w:p w14:paraId="6B3D8580">
                  <w:pPr>
                    <w:pStyle w:val="20"/>
                    <w:bidi w:val="0"/>
                    <w:rPr>
                      <w:rFonts w:hint="default"/>
                      <w:b/>
                      <w:bCs/>
                      <w:color w:val="auto"/>
                      <w:highlight w:val="none"/>
                      <w:lang w:val="en-US" w:eastAsia="zh-CN"/>
                    </w:rPr>
                  </w:pPr>
                  <w:r>
                    <w:rPr>
                      <w:rFonts w:hint="eastAsia"/>
                      <w:b/>
                      <w:bCs/>
                      <w:color w:val="auto"/>
                      <w:highlight w:val="none"/>
                      <w:lang w:val="en-US" w:eastAsia="zh-CN"/>
                    </w:rPr>
                    <w:t>0.0029</w:t>
                  </w:r>
                </w:p>
              </w:tc>
              <w:tc>
                <w:tcPr>
                  <w:tcW w:w="379" w:type="pct"/>
                  <w:tcBorders>
                    <w:left w:val="double" w:color="auto" w:sz="4" w:space="0"/>
                  </w:tcBorders>
                  <w:shd w:val="clear" w:color="auto" w:fill="auto"/>
                  <w:vAlign w:val="center"/>
                </w:tcPr>
                <w:p w14:paraId="475B2A2B">
                  <w:pPr>
                    <w:pStyle w:val="20"/>
                    <w:bidi w:val="0"/>
                    <w:rPr>
                      <w:rFonts w:hint="eastAsia"/>
                      <w:color w:val="auto"/>
                      <w:highlight w:val="none"/>
                      <w:lang w:val="en-US" w:eastAsia="zh-CN"/>
                    </w:rPr>
                  </w:pPr>
                  <w:r>
                    <w:rPr>
                      <w:rFonts w:hint="default"/>
                      <w:color w:val="auto"/>
                      <w:highlight w:val="none"/>
                      <w:lang w:val="en-US" w:eastAsia="zh-CN"/>
                    </w:rPr>
                    <w:t>0.0158</w:t>
                  </w:r>
                </w:p>
              </w:tc>
              <w:tc>
                <w:tcPr>
                  <w:tcW w:w="379" w:type="pct"/>
                  <w:shd w:val="clear" w:color="auto" w:fill="auto"/>
                  <w:vAlign w:val="center"/>
                </w:tcPr>
                <w:p w14:paraId="1266FD35">
                  <w:pPr>
                    <w:pStyle w:val="20"/>
                    <w:bidi w:val="0"/>
                    <w:rPr>
                      <w:rFonts w:hint="default"/>
                      <w:color w:val="auto"/>
                      <w:highlight w:val="none"/>
                      <w:lang w:val="en-US" w:eastAsia="zh-CN"/>
                    </w:rPr>
                  </w:pPr>
                  <w:r>
                    <w:rPr>
                      <w:rFonts w:hint="default"/>
                      <w:color w:val="auto"/>
                      <w:highlight w:val="none"/>
                      <w:lang w:val="en-US" w:eastAsia="zh-CN"/>
                    </w:rPr>
                    <w:t>0.0099</w:t>
                  </w:r>
                </w:p>
              </w:tc>
              <w:tc>
                <w:tcPr>
                  <w:tcW w:w="291" w:type="pct"/>
                  <w:tcBorders>
                    <w:right w:val="double" w:color="auto" w:sz="4" w:space="0"/>
                  </w:tcBorders>
                  <w:shd w:val="clear" w:color="auto" w:fill="auto"/>
                  <w:vAlign w:val="center"/>
                </w:tcPr>
                <w:p w14:paraId="7A2E01C7">
                  <w:pPr>
                    <w:pStyle w:val="20"/>
                    <w:bidi w:val="0"/>
                    <w:rPr>
                      <w:rFonts w:hint="default"/>
                      <w:b/>
                      <w:bCs/>
                      <w:color w:val="auto"/>
                      <w:highlight w:val="none"/>
                      <w:lang w:val="en-US" w:eastAsia="zh-CN"/>
                    </w:rPr>
                  </w:pPr>
                  <w:r>
                    <w:rPr>
                      <w:rFonts w:hint="eastAsia"/>
                      <w:b/>
                      <w:bCs/>
                      <w:color w:val="auto"/>
                      <w:highlight w:val="none"/>
                      <w:lang w:val="en-US" w:eastAsia="zh-CN"/>
                    </w:rPr>
                    <w:t>0.0257</w:t>
                  </w:r>
                </w:p>
              </w:tc>
              <w:tc>
                <w:tcPr>
                  <w:tcW w:w="291" w:type="pct"/>
                  <w:tcBorders>
                    <w:left w:val="double" w:color="auto" w:sz="4" w:space="0"/>
                  </w:tcBorders>
                  <w:shd w:val="clear" w:color="auto" w:fill="auto"/>
                  <w:vAlign w:val="center"/>
                </w:tcPr>
                <w:p w14:paraId="49ED9280">
                  <w:pPr>
                    <w:pStyle w:val="20"/>
                    <w:bidi w:val="0"/>
                    <w:rPr>
                      <w:rFonts w:hint="eastAsia"/>
                      <w:color w:val="auto"/>
                      <w:highlight w:val="none"/>
                      <w:lang w:val="en-US" w:eastAsia="zh-CN"/>
                    </w:rPr>
                  </w:pPr>
                  <w:r>
                    <w:rPr>
                      <w:rFonts w:hint="eastAsia"/>
                      <w:color w:val="auto"/>
                      <w:highlight w:val="none"/>
                      <w:lang w:val="en-US" w:eastAsia="zh-CN"/>
                    </w:rPr>
                    <w:t>0.0176</w:t>
                  </w:r>
                </w:p>
              </w:tc>
              <w:tc>
                <w:tcPr>
                  <w:tcW w:w="303" w:type="pct"/>
                  <w:shd w:val="clear" w:color="auto" w:fill="auto"/>
                  <w:vAlign w:val="center"/>
                </w:tcPr>
                <w:p w14:paraId="1B9A7B54">
                  <w:pPr>
                    <w:pStyle w:val="20"/>
                    <w:bidi w:val="0"/>
                    <w:rPr>
                      <w:rFonts w:hint="eastAsia"/>
                      <w:color w:val="auto"/>
                      <w:highlight w:val="none"/>
                      <w:lang w:val="en-US" w:eastAsia="zh-CN"/>
                    </w:rPr>
                  </w:pPr>
                  <w:r>
                    <w:rPr>
                      <w:rFonts w:hint="eastAsia"/>
                      <w:color w:val="auto"/>
                      <w:highlight w:val="none"/>
                      <w:lang w:val="en-US" w:eastAsia="zh-CN"/>
                    </w:rPr>
                    <w:t>0.0231</w:t>
                  </w:r>
                </w:p>
              </w:tc>
            </w:tr>
            <w:tr w14:paraId="3882F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trPr>
              <w:tc>
                <w:tcPr>
                  <w:tcW w:w="459" w:type="pct"/>
                  <w:shd w:val="clear" w:color="auto" w:fill="auto"/>
                  <w:vAlign w:val="center"/>
                </w:tcPr>
                <w:p w14:paraId="61888035">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甲基丙烯酸甲酯</w:t>
                  </w:r>
                </w:p>
              </w:tc>
              <w:tc>
                <w:tcPr>
                  <w:tcW w:w="384" w:type="pct"/>
                  <w:shd w:val="clear" w:color="auto" w:fill="auto"/>
                  <w:vAlign w:val="center"/>
                </w:tcPr>
                <w:p w14:paraId="46F20622">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0.0723</w:t>
                  </w:r>
                </w:p>
              </w:tc>
              <w:tc>
                <w:tcPr>
                  <w:tcW w:w="414" w:type="pct"/>
                  <w:shd w:val="clear" w:color="auto" w:fill="auto"/>
                  <w:vAlign w:val="center"/>
                </w:tcPr>
                <w:p w14:paraId="5360A64A">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0.0452</w:t>
                  </w:r>
                </w:p>
              </w:tc>
              <w:tc>
                <w:tcPr>
                  <w:tcW w:w="333" w:type="pct"/>
                  <w:tcBorders>
                    <w:right w:val="double" w:color="auto" w:sz="4" w:space="0"/>
                  </w:tcBorders>
                  <w:shd w:val="clear" w:color="auto" w:fill="auto"/>
                  <w:vAlign w:val="center"/>
                </w:tcPr>
                <w:p w14:paraId="75362012">
                  <w:pPr>
                    <w:keepNext w:val="0"/>
                    <w:keepLines w:val="0"/>
                    <w:widowControl/>
                    <w:suppressLineNumbers w:val="0"/>
                    <w:jc w:val="center"/>
                    <w:textAlignment w:val="center"/>
                    <w:rPr>
                      <w:rFonts w:hint="eastAsia"/>
                      <w:b/>
                      <w:bCs/>
                      <w:color w:val="auto"/>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0.1175</w:t>
                  </w:r>
                </w:p>
              </w:tc>
              <w:tc>
                <w:tcPr>
                  <w:tcW w:w="420" w:type="pct"/>
                  <w:tcBorders>
                    <w:left w:val="double" w:color="auto" w:sz="4" w:space="0"/>
                  </w:tcBorders>
                  <w:shd w:val="clear" w:color="auto" w:fill="auto"/>
                  <w:vAlign w:val="center"/>
                </w:tcPr>
                <w:p w14:paraId="320F9F98">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0.0226</w:t>
                  </w:r>
                </w:p>
              </w:tc>
              <w:tc>
                <w:tcPr>
                  <w:tcW w:w="368" w:type="pct"/>
                  <w:shd w:val="clear" w:color="auto" w:fill="auto"/>
                  <w:vAlign w:val="center"/>
                </w:tcPr>
                <w:p w14:paraId="071DE28B">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0.0108</w:t>
                  </w:r>
                </w:p>
              </w:tc>
              <w:tc>
                <w:tcPr>
                  <w:tcW w:w="297" w:type="pct"/>
                  <w:shd w:val="clear" w:color="auto" w:fill="auto"/>
                  <w:vAlign w:val="center"/>
                </w:tcPr>
                <w:p w14:paraId="3A1B798A">
                  <w:pPr>
                    <w:pStyle w:val="20"/>
                    <w:bidi w:val="0"/>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0.0045</w:t>
                  </w:r>
                </w:p>
              </w:tc>
              <w:tc>
                <w:tcPr>
                  <w:tcW w:w="332" w:type="pct"/>
                  <w:tcBorders>
                    <w:right w:val="single" w:color="auto" w:sz="4" w:space="0"/>
                  </w:tcBorders>
                  <w:shd w:val="clear" w:color="auto" w:fill="auto"/>
                  <w:vAlign w:val="center"/>
                </w:tcPr>
                <w:p w14:paraId="753D927F">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0.0072</w:t>
                  </w:r>
                </w:p>
              </w:tc>
              <w:tc>
                <w:tcPr>
                  <w:tcW w:w="343" w:type="pct"/>
                  <w:tcBorders>
                    <w:left w:val="single" w:color="auto" w:sz="4" w:space="0"/>
                    <w:right w:val="double" w:color="auto" w:sz="4" w:space="0"/>
                  </w:tcBorders>
                  <w:shd w:val="clear" w:color="auto" w:fill="auto"/>
                  <w:vAlign w:val="center"/>
                </w:tcPr>
                <w:p w14:paraId="6B900692">
                  <w:pPr>
                    <w:pStyle w:val="20"/>
                    <w:bidi w:val="0"/>
                    <w:rPr>
                      <w:rFonts w:hint="default"/>
                      <w:b/>
                      <w:bCs/>
                      <w:color w:val="auto"/>
                      <w:highlight w:val="none"/>
                      <w:lang w:val="en-US" w:eastAsia="zh-CN"/>
                    </w:rPr>
                  </w:pPr>
                  <w:r>
                    <w:rPr>
                      <w:rFonts w:hint="eastAsia"/>
                      <w:b/>
                      <w:bCs/>
                      <w:color w:val="auto"/>
                      <w:highlight w:val="none"/>
                      <w:lang w:val="en-US" w:eastAsia="zh-CN"/>
                    </w:rPr>
                    <w:t>0.0117</w:t>
                  </w:r>
                </w:p>
              </w:tc>
              <w:tc>
                <w:tcPr>
                  <w:tcW w:w="379" w:type="pct"/>
                  <w:tcBorders>
                    <w:left w:val="double" w:color="auto" w:sz="4" w:space="0"/>
                  </w:tcBorders>
                  <w:shd w:val="clear" w:color="auto" w:fill="auto"/>
                  <w:vAlign w:val="center"/>
                </w:tcPr>
                <w:p w14:paraId="4C4F0FAA">
                  <w:pPr>
                    <w:pStyle w:val="20"/>
                    <w:bidi w:val="0"/>
                    <w:rPr>
                      <w:rFonts w:hint="eastAsia"/>
                      <w:color w:val="auto"/>
                      <w:highlight w:val="none"/>
                      <w:lang w:val="en-US" w:eastAsia="zh-CN"/>
                    </w:rPr>
                  </w:pPr>
                  <w:r>
                    <w:rPr>
                      <w:rFonts w:hint="default"/>
                      <w:color w:val="auto"/>
                      <w:highlight w:val="none"/>
                      <w:lang w:val="en-US" w:eastAsia="zh-CN"/>
                    </w:rPr>
                    <w:t>0.0651</w:t>
                  </w:r>
                </w:p>
              </w:tc>
              <w:tc>
                <w:tcPr>
                  <w:tcW w:w="379" w:type="pct"/>
                  <w:shd w:val="clear" w:color="auto" w:fill="auto"/>
                  <w:vAlign w:val="center"/>
                </w:tcPr>
                <w:p w14:paraId="035B4333">
                  <w:pPr>
                    <w:pStyle w:val="20"/>
                    <w:bidi w:val="0"/>
                    <w:rPr>
                      <w:rFonts w:hint="default"/>
                      <w:color w:val="auto"/>
                      <w:highlight w:val="none"/>
                      <w:lang w:val="en-US" w:eastAsia="zh-CN"/>
                    </w:rPr>
                  </w:pPr>
                  <w:r>
                    <w:rPr>
                      <w:rFonts w:hint="default"/>
                      <w:color w:val="auto"/>
                      <w:highlight w:val="none"/>
                      <w:lang w:val="en-US" w:eastAsia="zh-CN"/>
                    </w:rPr>
                    <w:t>0.0407</w:t>
                  </w:r>
                </w:p>
              </w:tc>
              <w:tc>
                <w:tcPr>
                  <w:tcW w:w="291" w:type="pct"/>
                  <w:tcBorders>
                    <w:right w:val="double" w:color="auto" w:sz="4" w:space="0"/>
                  </w:tcBorders>
                  <w:shd w:val="clear" w:color="auto" w:fill="auto"/>
                  <w:vAlign w:val="center"/>
                </w:tcPr>
                <w:p w14:paraId="2EC2D2D6">
                  <w:pPr>
                    <w:pStyle w:val="20"/>
                    <w:bidi w:val="0"/>
                    <w:rPr>
                      <w:rFonts w:hint="default"/>
                      <w:b/>
                      <w:bCs/>
                      <w:color w:val="auto"/>
                      <w:highlight w:val="none"/>
                      <w:lang w:val="en-US" w:eastAsia="zh-CN"/>
                    </w:rPr>
                  </w:pPr>
                  <w:r>
                    <w:rPr>
                      <w:rFonts w:hint="eastAsia"/>
                      <w:b/>
                      <w:bCs/>
                      <w:color w:val="auto"/>
                      <w:highlight w:val="none"/>
                      <w:lang w:val="en-US" w:eastAsia="zh-CN"/>
                    </w:rPr>
                    <w:t>0.1058</w:t>
                  </w:r>
                </w:p>
              </w:tc>
              <w:tc>
                <w:tcPr>
                  <w:tcW w:w="291" w:type="pct"/>
                  <w:tcBorders>
                    <w:left w:val="double" w:color="auto" w:sz="4" w:space="0"/>
                  </w:tcBorders>
                  <w:shd w:val="clear" w:color="auto" w:fill="auto"/>
                  <w:vAlign w:val="center"/>
                </w:tcPr>
                <w:p w14:paraId="4207E298">
                  <w:pPr>
                    <w:pStyle w:val="20"/>
                    <w:bidi w:val="0"/>
                    <w:rPr>
                      <w:rFonts w:hint="eastAsia"/>
                      <w:color w:val="auto"/>
                      <w:highlight w:val="none"/>
                      <w:lang w:val="en-US" w:eastAsia="zh-CN"/>
                    </w:rPr>
                  </w:pPr>
                  <w:r>
                    <w:rPr>
                      <w:rFonts w:hint="eastAsia"/>
                      <w:color w:val="auto"/>
                      <w:highlight w:val="none"/>
                      <w:lang w:val="en-US" w:eastAsia="zh-CN"/>
                    </w:rPr>
                    <w:t>0.0723</w:t>
                  </w:r>
                </w:p>
              </w:tc>
              <w:tc>
                <w:tcPr>
                  <w:tcW w:w="303" w:type="pct"/>
                  <w:shd w:val="clear" w:color="auto" w:fill="auto"/>
                  <w:vAlign w:val="center"/>
                </w:tcPr>
                <w:p w14:paraId="67C0D4AF">
                  <w:pPr>
                    <w:pStyle w:val="20"/>
                    <w:bidi w:val="0"/>
                    <w:rPr>
                      <w:rFonts w:hint="eastAsia"/>
                      <w:color w:val="auto"/>
                      <w:highlight w:val="none"/>
                      <w:lang w:val="en-US" w:eastAsia="zh-CN"/>
                    </w:rPr>
                  </w:pPr>
                  <w:r>
                    <w:rPr>
                      <w:rFonts w:hint="eastAsia"/>
                      <w:color w:val="auto"/>
                      <w:highlight w:val="none"/>
                      <w:lang w:val="en-US" w:eastAsia="zh-CN"/>
                    </w:rPr>
                    <w:t>0.0949</w:t>
                  </w:r>
                </w:p>
              </w:tc>
            </w:tr>
            <w:tr w14:paraId="629A3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trPr>
              <w:tc>
                <w:tcPr>
                  <w:tcW w:w="459" w:type="pct"/>
                  <w:shd w:val="clear" w:color="auto" w:fill="auto"/>
                  <w:vAlign w:val="center"/>
                </w:tcPr>
                <w:p w14:paraId="7B4B4ED1">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丙烯酸甲酯</w:t>
                  </w:r>
                </w:p>
              </w:tc>
              <w:tc>
                <w:tcPr>
                  <w:tcW w:w="384" w:type="pct"/>
                  <w:shd w:val="clear" w:color="auto" w:fill="auto"/>
                  <w:vAlign w:val="center"/>
                </w:tcPr>
                <w:p w14:paraId="45E72D02">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0.0019</w:t>
                  </w:r>
                </w:p>
              </w:tc>
              <w:tc>
                <w:tcPr>
                  <w:tcW w:w="414" w:type="pct"/>
                  <w:shd w:val="clear" w:color="auto" w:fill="auto"/>
                  <w:vAlign w:val="center"/>
                </w:tcPr>
                <w:p w14:paraId="7C65E9D2">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0.0012</w:t>
                  </w:r>
                </w:p>
              </w:tc>
              <w:tc>
                <w:tcPr>
                  <w:tcW w:w="333" w:type="pct"/>
                  <w:tcBorders>
                    <w:right w:val="double" w:color="auto" w:sz="4" w:space="0"/>
                  </w:tcBorders>
                  <w:shd w:val="clear" w:color="auto" w:fill="auto"/>
                  <w:vAlign w:val="center"/>
                </w:tcPr>
                <w:p w14:paraId="688C2AB1">
                  <w:pPr>
                    <w:keepNext w:val="0"/>
                    <w:keepLines w:val="0"/>
                    <w:widowControl/>
                    <w:suppressLineNumbers w:val="0"/>
                    <w:jc w:val="center"/>
                    <w:textAlignment w:val="center"/>
                    <w:rPr>
                      <w:rFonts w:hint="eastAsia"/>
                      <w:b/>
                      <w:bCs/>
                      <w:color w:val="auto"/>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0.0031</w:t>
                  </w:r>
                </w:p>
              </w:tc>
              <w:tc>
                <w:tcPr>
                  <w:tcW w:w="420" w:type="pct"/>
                  <w:tcBorders>
                    <w:left w:val="double" w:color="auto" w:sz="4" w:space="0"/>
                  </w:tcBorders>
                  <w:shd w:val="clear" w:color="auto" w:fill="auto"/>
                  <w:vAlign w:val="center"/>
                </w:tcPr>
                <w:p w14:paraId="6C1B67E9">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0.0006</w:t>
                  </w:r>
                </w:p>
              </w:tc>
              <w:tc>
                <w:tcPr>
                  <w:tcW w:w="368" w:type="pct"/>
                  <w:shd w:val="clear" w:color="auto" w:fill="auto"/>
                  <w:vAlign w:val="center"/>
                </w:tcPr>
                <w:p w14:paraId="6BFE02A4">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0.0003</w:t>
                  </w:r>
                </w:p>
              </w:tc>
              <w:tc>
                <w:tcPr>
                  <w:tcW w:w="297" w:type="pct"/>
                  <w:shd w:val="clear" w:color="auto" w:fill="auto"/>
                  <w:vAlign w:val="center"/>
                </w:tcPr>
                <w:p w14:paraId="7C6D3A45">
                  <w:pPr>
                    <w:pStyle w:val="20"/>
                    <w:bidi w:val="0"/>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0.0001</w:t>
                  </w:r>
                </w:p>
              </w:tc>
              <w:tc>
                <w:tcPr>
                  <w:tcW w:w="332" w:type="pct"/>
                  <w:tcBorders>
                    <w:right w:val="single" w:color="auto" w:sz="4" w:space="0"/>
                  </w:tcBorders>
                  <w:shd w:val="clear" w:color="auto" w:fill="auto"/>
                  <w:vAlign w:val="center"/>
                </w:tcPr>
                <w:p w14:paraId="48257E38">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0.0002</w:t>
                  </w:r>
                </w:p>
              </w:tc>
              <w:tc>
                <w:tcPr>
                  <w:tcW w:w="343" w:type="pct"/>
                  <w:tcBorders>
                    <w:left w:val="single" w:color="auto" w:sz="4" w:space="0"/>
                    <w:right w:val="double" w:color="auto" w:sz="4" w:space="0"/>
                  </w:tcBorders>
                  <w:shd w:val="clear" w:color="auto" w:fill="auto"/>
                  <w:vAlign w:val="center"/>
                </w:tcPr>
                <w:p w14:paraId="7061C6A4">
                  <w:pPr>
                    <w:pStyle w:val="20"/>
                    <w:bidi w:val="0"/>
                    <w:rPr>
                      <w:rFonts w:hint="default"/>
                      <w:b/>
                      <w:bCs/>
                      <w:color w:val="auto"/>
                      <w:highlight w:val="none"/>
                      <w:lang w:val="en-US" w:eastAsia="zh-CN"/>
                    </w:rPr>
                  </w:pPr>
                  <w:r>
                    <w:rPr>
                      <w:rFonts w:hint="eastAsia"/>
                      <w:b/>
                      <w:bCs/>
                      <w:color w:val="auto"/>
                      <w:highlight w:val="none"/>
                      <w:lang w:val="en-US" w:eastAsia="zh-CN"/>
                    </w:rPr>
                    <w:t>0.0003</w:t>
                  </w:r>
                </w:p>
              </w:tc>
              <w:tc>
                <w:tcPr>
                  <w:tcW w:w="379" w:type="pct"/>
                  <w:tcBorders>
                    <w:left w:val="double" w:color="auto" w:sz="4" w:space="0"/>
                  </w:tcBorders>
                  <w:shd w:val="clear" w:color="auto" w:fill="auto"/>
                  <w:vAlign w:val="center"/>
                </w:tcPr>
                <w:p w14:paraId="563576E0">
                  <w:pPr>
                    <w:pStyle w:val="20"/>
                    <w:bidi w:val="0"/>
                    <w:rPr>
                      <w:rFonts w:hint="eastAsia"/>
                      <w:color w:val="auto"/>
                      <w:highlight w:val="none"/>
                      <w:lang w:val="en-US" w:eastAsia="zh-CN"/>
                    </w:rPr>
                  </w:pPr>
                  <w:r>
                    <w:rPr>
                      <w:rFonts w:hint="default"/>
                      <w:color w:val="auto"/>
                      <w:highlight w:val="none"/>
                      <w:lang w:val="en-US" w:eastAsia="zh-CN"/>
                    </w:rPr>
                    <w:t>0.0017</w:t>
                  </w:r>
                </w:p>
              </w:tc>
              <w:tc>
                <w:tcPr>
                  <w:tcW w:w="379" w:type="pct"/>
                  <w:shd w:val="clear" w:color="auto" w:fill="auto"/>
                  <w:vAlign w:val="center"/>
                </w:tcPr>
                <w:p w14:paraId="6D2953A0">
                  <w:pPr>
                    <w:pStyle w:val="20"/>
                    <w:bidi w:val="0"/>
                    <w:rPr>
                      <w:rFonts w:hint="default"/>
                      <w:color w:val="auto"/>
                      <w:highlight w:val="none"/>
                      <w:lang w:val="en-US" w:eastAsia="zh-CN"/>
                    </w:rPr>
                  </w:pPr>
                  <w:r>
                    <w:rPr>
                      <w:rFonts w:hint="default"/>
                      <w:color w:val="auto"/>
                      <w:highlight w:val="none"/>
                      <w:lang w:val="en-US" w:eastAsia="zh-CN"/>
                    </w:rPr>
                    <w:t>0.0011</w:t>
                  </w:r>
                </w:p>
              </w:tc>
              <w:tc>
                <w:tcPr>
                  <w:tcW w:w="291" w:type="pct"/>
                  <w:tcBorders>
                    <w:right w:val="double" w:color="auto" w:sz="4" w:space="0"/>
                  </w:tcBorders>
                  <w:shd w:val="clear" w:color="auto" w:fill="auto"/>
                  <w:vAlign w:val="center"/>
                </w:tcPr>
                <w:p w14:paraId="0E847908">
                  <w:pPr>
                    <w:pStyle w:val="20"/>
                    <w:bidi w:val="0"/>
                    <w:rPr>
                      <w:rFonts w:hint="default"/>
                      <w:b/>
                      <w:bCs/>
                      <w:color w:val="auto"/>
                      <w:highlight w:val="none"/>
                      <w:lang w:val="en-US" w:eastAsia="zh-CN"/>
                    </w:rPr>
                  </w:pPr>
                  <w:r>
                    <w:rPr>
                      <w:rFonts w:hint="eastAsia"/>
                      <w:b/>
                      <w:bCs/>
                      <w:color w:val="auto"/>
                      <w:highlight w:val="none"/>
                      <w:lang w:val="en-US" w:eastAsia="zh-CN"/>
                    </w:rPr>
                    <w:t>0.0028</w:t>
                  </w:r>
                </w:p>
              </w:tc>
              <w:tc>
                <w:tcPr>
                  <w:tcW w:w="291" w:type="pct"/>
                  <w:tcBorders>
                    <w:left w:val="double" w:color="auto" w:sz="4" w:space="0"/>
                  </w:tcBorders>
                  <w:shd w:val="clear" w:color="auto" w:fill="auto"/>
                  <w:vAlign w:val="center"/>
                </w:tcPr>
                <w:p w14:paraId="16CD1F5B">
                  <w:pPr>
                    <w:pStyle w:val="20"/>
                    <w:bidi w:val="0"/>
                    <w:rPr>
                      <w:rFonts w:hint="eastAsia"/>
                      <w:color w:val="auto"/>
                      <w:highlight w:val="none"/>
                      <w:lang w:val="en-US" w:eastAsia="zh-CN"/>
                    </w:rPr>
                  </w:pPr>
                  <w:r>
                    <w:rPr>
                      <w:rFonts w:hint="eastAsia"/>
                      <w:color w:val="auto"/>
                      <w:highlight w:val="none"/>
                      <w:lang w:val="en-US" w:eastAsia="zh-CN"/>
                    </w:rPr>
                    <w:t>0.0019</w:t>
                  </w:r>
                </w:p>
              </w:tc>
              <w:tc>
                <w:tcPr>
                  <w:tcW w:w="303" w:type="pct"/>
                  <w:shd w:val="clear" w:color="auto" w:fill="auto"/>
                  <w:vAlign w:val="center"/>
                </w:tcPr>
                <w:p w14:paraId="3697796D">
                  <w:pPr>
                    <w:pStyle w:val="20"/>
                    <w:bidi w:val="0"/>
                    <w:rPr>
                      <w:rFonts w:hint="eastAsia"/>
                      <w:color w:val="auto"/>
                      <w:highlight w:val="none"/>
                      <w:lang w:val="en-US" w:eastAsia="zh-CN"/>
                    </w:rPr>
                  </w:pPr>
                  <w:r>
                    <w:rPr>
                      <w:rFonts w:hint="eastAsia"/>
                      <w:color w:val="auto"/>
                      <w:highlight w:val="none"/>
                      <w:lang w:val="en-US" w:eastAsia="zh-CN"/>
                    </w:rPr>
                    <w:t>0.0025</w:t>
                  </w:r>
                </w:p>
              </w:tc>
            </w:tr>
            <w:tr w14:paraId="19F94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trPr>
              <w:tc>
                <w:tcPr>
                  <w:tcW w:w="459" w:type="pct"/>
                  <w:shd w:val="clear" w:color="auto" w:fill="auto"/>
                  <w:vAlign w:val="center"/>
                </w:tcPr>
                <w:p w14:paraId="3CBDF315">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丙烯酸</w:t>
                  </w:r>
                </w:p>
              </w:tc>
              <w:tc>
                <w:tcPr>
                  <w:tcW w:w="384" w:type="pct"/>
                  <w:shd w:val="clear" w:color="auto" w:fill="auto"/>
                  <w:vAlign w:val="center"/>
                </w:tcPr>
                <w:p w14:paraId="1592DE2F">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0.0266</w:t>
                  </w:r>
                </w:p>
              </w:tc>
              <w:tc>
                <w:tcPr>
                  <w:tcW w:w="414" w:type="pct"/>
                  <w:shd w:val="clear" w:color="auto" w:fill="auto"/>
                  <w:vAlign w:val="center"/>
                </w:tcPr>
                <w:p w14:paraId="13A18014">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0.0166</w:t>
                  </w:r>
                </w:p>
              </w:tc>
              <w:tc>
                <w:tcPr>
                  <w:tcW w:w="333" w:type="pct"/>
                  <w:tcBorders>
                    <w:right w:val="double" w:color="auto" w:sz="4" w:space="0"/>
                  </w:tcBorders>
                  <w:shd w:val="clear" w:color="auto" w:fill="auto"/>
                  <w:vAlign w:val="center"/>
                </w:tcPr>
                <w:p w14:paraId="55D98900">
                  <w:pPr>
                    <w:keepNext w:val="0"/>
                    <w:keepLines w:val="0"/>
                    <w:widowControl/>
                    <w:suppressLineNumbers w:val="0"/>
                    <w:jc w:val="center"/>
                    <w:textAlignment w:val="center"/>
                    <w:rPr>
                      <w:rFonts w:hint="eastAsia"/>
                      <w:b/>
                      <w:bCs/>
                      <w:color w:val="auto"/>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0.0432</w:t>
                  </w:r>
                </w:p>
              </w:tc>
              <w:tc>
                <w:tcPr>
                  <w:tcW w:w="420" w:type="pct"/>
                  <w:tcBorders>
                    <w:left w:val="double" w:color="auto" w:sz="4" w:space="0"/>
                  </w:tcBorders>
                  <w:shd w:val="clear" w:color="auto" w:fill="auto"/>
                  <w:vAlign w:val="center"/>
                </w:tcPr>
                <w:p w14:paraId="39E6B2AA">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0.0083</w:t>
                  </w:r>
                </w:p>
              </w:tc>
              <w:tc>
                <w:tcPr>
                  <w:tcW w:w="368" w:type="pct"/>
                  <w:shd w:val="clear" w:color="auto" w:fill="auto"/>
                  <w:vAlign w:val="center"/>
                </w:tcPr>
                <w:p w14:paraId="0F44890F">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0.0040</w:t>
                  </w:r>
                </w:p>
              </w:tc>
              <w:tc>
                <w:tcPr>
                  <w:tcW w:w="297" w:type="pct"/>
                  <w:shd w:val="clear" w:color="auto" w:fill="auto"/>
                  <w:vAlign w:val="center"/>
                </w:tcPr>
                <w:p w14:paraId="389740F1">
                  <w:pPr>
                    <w:pStyle w:val="20"/>
                    <w:bidi w:val="0"/>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0.0017</w:t>
                  </w:r>
                </w:p>
              </w:tc>
              <w:tc>
                <w:tcPr>
                  <w:tcW w:w="332" w:type="pct"/>
                  <w:tcBorders>
                    <w:right w:val="single" w:color="auto" w:sz="4" w:space="0"/>
                  </w:tcBorders>
                  <w:shd w:val="clear" w:color="auto" w:fill="auto"/>
                  <w:vAlign w:val="center"/>
                </w:tcPr>
                <w:p w14:paraId="4D1FCB18">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0.0027</w:t>
                  </w:r>
                </w:p>
              </w:tc>
              <w:tc>
                <w:tcPr>
                  <w:tcW w:w="343" w:type="pct"/>
                  <w:tcBorders>
                    <w:left w:val="single" w:color="auto" w:sz="4" w:space="0"/>
                    <w:right w:val="double" w:color="auto" w:sz="4" w:space="0"/>
                  </w:tcBorders>
                  <w:shd w:val="clear" w:color="auto" w:fill="auto"/>
                  <w:vAlign w:val="center"/>
                </w:tcPr>
                <w:p w14:paraId="146664D1">
                  <w:pPr>
                    <w:pStyle w:val="20"/>
                    <w:bidi w:val="0"/>
                    <w:rPr>
                      <w:rFonts w:hint="default"/>
                      <w:b/>
                      <w:bCs/>
                      <w:color w:val="auto"/>
                      <w:highlight w:val="none"/>
                      <w:lang w:val="en-US" w:eastAsia="zh-CN"/>
                    </w:rPr>
                  </w:pPr>
                  <w:r>
                    <w:rPr>
                      <w:rFonts w:hint="eastAsia"/>
                      <w:b/>
                      <w:bCs/>
                      <w:color w:val="auto"/>
                      <w:highlight w:val="none"/>
                      <w:lang w:val="en-US" w:eastAsia="zh-CN"/>
                    </w:rPr>
                    <w:t>0.0044</w:t>
                  </w:r>
                </w:p>
              </w:tc>
              <w:tc>
                <w:tcPr>
                  <w:tcW w:w="379" w:type="pct"/>
                  <w:tcBorders>
                    <w:left w:val="double" w:color="auto" w:sz="4" w:space="0"/>
                  </w:tcBorders>
                  <w:shd w:val="clear" w:color="auto" w:fill="auto"/>
                  <w:vAlign w:val="center"/>
                </w:tcPr>
                <w:p w14:paraId="393E9944">
                  <w:pPr>
                    <w:pStyle w:val="20"/>
                    <w:bidi w:val="0"/>
                    <w:rPr>
                      <w:rFonts w:hint="eastAsia"/>
                      <w:color w:val="auto"/>
                      <w:highlight w:val="none"/>
                      <w:lang w:val="en-US" w:eastAsia="zh-CN"/>
                    </w:rPr>
                  </w:pPr>
                  <w:r>
                    <w:rPr>
                      <w:rFonts w:hint="default"/>
                      <w:color w:val="auto"/>
                      <w:highlight w:val="none"/>
                      <w:lang w:val="en-US" w:eastAsia="zh-CN"/>
                    </w:rPr>
                    <w:t>0.0239</w:t>
                  </w:r>
                </w:p>
              </w:tc>
              <w:tc>
                <w:tcPr>
                  <w:tcW w:w="379" w:type="pct"/>
                  <w:shd w:val="clear" w:color="auto" w:fill="auto"/>
                  <w:vAlign w:val="center"/>
                </w:tcPr>
                <w:p w14:paraId="3FE33E28">
                  <w:pPr>
                    <w:pStyle w:val="20"/>
                    <w:bidi w:val="0"/>
                    <w:rPr>
                      <w:rFonts w:hint="default"/>
                      <w:color w:val="auto"/>
                      <w:highlight w:val="none"/>
                      <w:lang w:val="en-US" w:eastAsia="zh-CN"/>
                    </w:rPr>
                  </w:pPr>
                  <w:r>
                    <w:rPr>
                      <w:rFonts w:hint="default"/>
                      <w:color w:val="auto"/>
                      <w:highlight w:val="none"/>
                      <w:lang w:val="en-US" w:eastAsia="zh-CN"/>
                    </w:rPr>
                    <w:t>0.0149</w:t>
                  </w:r>
                </w:p>
              </w:tc>
              <w:tc>
                <w:tcPr>
                  <w:tcW w:w="291" w:type="pct"/>
                  <w:tcBorders>
                    <w:right w:val="double" w:color="auto" w:sz="4" w:space="0"/>
                  </w:tcBorders>
                  <w:shd w:val="clear" w:color="auto" w:fill="auto"/>
                  <w:vAlign w:val="center"/>
                </w:tcPr>
                <w:p w14:paraId="41F19DBD">
                  <w:pPr>
                    <w:pStyle w:val="20"/>
                    <w:bidi w:val="0"/>
                    <w:rPr>
                      <w:rFonts w:hint="default"/>
                      <w:b/>
                      <w:bCs/>
                      <w:color w:val="auto"/>
                      <w:highlight w:val="none"/>
                      <w:lang w:val="en-US" w:eastAsia="zh-CN"/>
                    </w:rPr>
                  </w:pPr>
                  <w:r>
                    <w:rPr>
                      <w:rFonts w:hint="eastAsia"/>
                      <w:b/>
                      <w:bCs/>
                      <w:color w:val="auto"/>
                      <w:highlight w:val="none"/>
                      <w:lang w:val="en-US" w:eastAsia="zh-CN"/>
                    </w:rPr>
                    <w:t>0.0388</w:t>
                  </w:r>
                </w:p>
              </w:tc>
              <w:tc>
                <w:tcPr>
                  <w:tcW w:w="291" w:type="pct"/>
                  <w:tcBorders>
                    <w:left w:val="double" w:color="auto" w:sz="4" w:space="0"/>
                  </w:tcBorders>
                  <w:shd w:val="clear" w:color="auto" w:fill="auto"/>
                  <w:vAlign w:val="center"/>
                </w:tcPr>
                <w:p w14:paraId="48F3C020">
                  <w:pPr>
                    <w:pStyle w:val="20"/>
                    <w:bidi w:val="0"/>
                    <w:rPr>
                      <w:rFonts w:hint="eastAsia"/>
                      <w:color w:val="auto"/>
                      <w:highlight w:val="none"/>
                      <w:lang w:val="en-US" w:eastAsia="zh-CN"/>
                    </w:rPr>
                  </w:pPr>
                  <w:r>
                    <w:rPr>
                      <w:rFonts w:hint="eastAsia"/>
                      <w:color w:val="auto"/>
                      <w:highlight w:val="none"/>
                      <w:lang w:val="en-US" w:eastAsia="zh-CN"/>
                    </w:rPr>
                    <w:t>0.0266</w:t>
                  </w:r>
                </w:p>
              </w:tc>
              <w:tc>
                <w:tcPr>
                  <w:tcW w:w="303" w:type="pct"/>
                  <w:shd w:val="clear" w:color="auto" w:fill="auto"/>
                  <w:vAlign w:val="center"/>
                </w:tcPr>
                <w:p w14:paraId="0B8E2680">
                  <w:pPr>
                    <w:pStyle w:val="20"/>
                    <w:bidi w:val="0"/>
                    <w:rPr>
                      <w:rFonts w:hint="eastAsia"/>
                      <w:color w:val="auto"/>
                      <w:highlight w:val="none"/>
                      <w:lang w:val="en-US" w:eastAsia="zh-CN"/>
                    </w:rPr>
                  </w:pPr>
                  <w:r>
                    <w:rPr>
                      <w:rFonts w:hint="eastAsia"/>
                      <w:color w:val="auto"/>
                      <w:highlight w:val="none"/>
                      <w:lang w:val="en-US" w:eastAsia="zh-CN"/>
                    </w:rPr>
                    <w:t>0.0349</w:t>
                  </w:r>
                </w:p>
              </w:tc>
            </w:tr>
            <w:tr w14:paraId="11CD9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trPr>
              <w:tc>
                <w:tcPr>
                  <w:tcW w:w="459" w:type="pct"/>
                  <w:shd w:val="clear" w:color="auto" w:fill="auto"/>
                  <w:vAlign w:val="center"/>
                </w:tcPr>
                <w:p w14:paraId="25237B2D">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丙烯酸丁酯</w:t>
                  </w:r>
                </w:p>
              </w:tc>
              <w:tc>
                <w:tcPr>
                  <w:tcW w:w="384" w:type="pct"/>
                  <w:shd w:val="clear" w:color="auto" w:fill="auto"/>
                  <w:vAlign w:val="center"/>
                </w:tcPr>
                <w:p w14:paraId="7B88F1A1">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0.1328</w:t>
                  </w:r>
                </w:p>
              </w:tc>
              <w:tc>
                <w:tcPr>
                  <w:tcW w:w="414" w:type="pct"/>
                  <w:shd w:val="clear" w:color="auto" w:fill="auto"/>
                  <w:vAlign w:val="center"/>
                </w:tcPr>
                <w:p w14:paraId="30016904">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0.0830</w:t>
                  </w:r>
                </w:p>
              </w:tc>
              <w:tc>
                <w:tcPr>
                  <w:tcW w:w="333" w:type="pct"/>
                  <w:tcBorders>
                    <w:right w:val="double" w:color="auto" w:sz="4" w:space="0"/>
                  </w:tcBorders>
                  <w:shd w:val="clear" w:color="auto" w:fill="auto"/>
                  <w:vAlign w:val="center"/>
                </w:tcPr>
                <w:p w14:paraId="47715159">
                  <w:pPr>
                    <w:keepNext w:val="0"/>
                    <w:keepLines w:val="0"/>
                    <w:widowControl/>
                    <w:suppressLineNumbers w:val="0"/>
                    <w:jc w:val="center"/>
                    <w:textAlignment w:val="center"/>
                    <w:rPr>
                      <w:rFonts w:hint="eastAsia"/>
                      <w:b/>
                      <w:bCs/>
                      <w:color w:val="auto"/>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0.2158</w:t>
                  </w:r>
                </w:p>
              </w:tc>
              <w:tc>
                <w:tcPr>
                  <w:tcW w:w="420" w:type="pct"/>
                  <w:tcBorders>
                    <w:left w:val="double" w:color="auto" w:sz="4" w:space="0"/>
                  </w:tcBorders>
                  <w:shd w:val="clear" w:color="auto" w:fill="auto"/>
                  <w:vAlign w:val="center"/>
                </w:tcPr>
                <w:p w14:paraId="0703608B">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0.0416</w:t>
                  </w:r>
                </w:p>
              </w:tc>
              <w:tc>
                <w:tcPr>
                  <w:tcW w:w="368" w:type="pct"/>
                  <w:shd w:val="clear" w:color="auto" w:fill="auto"/>
                  <w:vAlign w:val="center"/>
                </w:tcPr>
                <w:p w14:paraId="2697E030">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0.0200</w:t>
                  </w:r>
                </w:p>
              </w:tc>
              <w:tc>
                <w:tcPr>
                  <w:tcW w:w="297" w:type="pct"/>
                  <w:shd w:val="clear" w:color="auto" w:fill="auto"/>
                  <w:vAlign w:val="center"/>
                </w:tcPr>
                <w:p w14:paraId="602B1EBF">
                  <w:pPr>
                    <w:pStyle w:val="20"/>
                    <w:bidi w:val="0"/>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0.0083</w:t>
                  </w:r>
                </w:p>
              </w:tc>
              <w:tc>
                <w:tcPr>
                  <w:tcW w:w="332" w:type="pct"/>
                  <w:tcBorders>
                    <w:right w:val="single" w:color="auto" w:sz="4" w:space="0"/>
                  </w:tcBorders>
                  <w:shd w:val="clear" w:color="auto" w:fill="auto"/>
                  <w:vAlign w:val="center"/>
                </w:tcPr>
                <w:p w14:paraId="5581CC51">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0.0133</w:t>
                  </w:r>
                </w:p>
              </w:tc>
              <w:tc>
                <w:tcPr>
                  <w:tcW w:w="343" w:type="pct"/>
                  <w:tcBorders>
                    <w:left w:val="single" w:color="auto" w:sz="4" w:space="0"/>
                    <w:right w:val="double" w:color="auto" w:sz="4" w:space="0"/>
                  </w:tcBorders>
                  <w:shd w:val="clear" w:color="auto" w:fill="auto"/>
                  <w:vAlign w:val="center"/>
                </w:tcPr>
                <w:p w14:paraId="281561EF">
                  <w:pPr>
                    <w:pStyle w:val="20"/>
                    <w:bidi w:val="0"/>
                    <w:rPr>
                      <w:rFonts w:hint="default"/>
                      <w:b/>
                      <w:bCs/>
                      <w:color w:val="auto"/>
                      <w:highlight w:val="none"/>
                      <w:lang w:val="en-US" w:eastAsia="zh-CN"/>
                    </w:rPr>
                  </w:pPr>
                  <w:r>
                    <w:rPr>
                      <w:rFonts w:hint="eastAsia"/>
                      <w:b/>
                      <w:bCs/>
                      <w:color w:val="auto"/>
                      <w:highlight w:val="none"/>
                      <w:lang w:val="en-US" w:eastAsia="zh-CN"/>
                    </w:rPr>
                    <w:t>0.0216</w:t>
                  </w:r>
                </w:p>
              </w:tc>
              <w:tc>
                <w:tcPr>
                  <w:tcW w:w="379" w:type="pct"/>
                  <w:tcBorders>
                    <w:left w:val="double" w:color="auto" w:sz="4" w:space="0"/>
                  </w:tcBorders>
                  <w:shd w:val="clear" w:color="auto" w:fill="auto"/>
                  <w:vAlign w:val="center"/>
                </w:tcPr>
                <w:p w14:paraId="09BF30AE">
                  <w:pPr>
                    <w:pStyle w:val="20"/>
                    <w:bidi w:val="0"/>
                    <w:rPr>
                      <w:rFonts w:hint="eastAsia"/>
                      <w:color w:val="auto"/>
                      <w:highlight w:val="none"/>
                      <w:lang w:val="en-US" w:eastAsia="zh-CN"/>
                    </w:rPr>
                  </w:pPr>
                  <w:r>
                    <w:rPr>
                      <w:rFonts w:hint="default"/>
                      <w:color w:val="auto"/>
                      <w:highlight w:val="none"/>
                      <w:lang w:val="en-US" w:eastAsia="zh-CN"/>
                    </w:rPr>
                    <w:t>0.1195</w:t>
                  </w:r>
                </w:p>
              </w:tc>
              <w:tc>
                <w:tcPr>
                  <w:tcW w:w="379" w:type="pct"/>
                  <w:shd w:val="clear" w:color="auto" w:fill="auto"/>
                  <w:vAlign w:val="center"/>
                </w:tcPr>
                <w:p w14:paraId="699B8E54">
                  <w:pPr>
                    <w:pStyle w:val="20"/>
                    <w:bidi w:val="0"/>
                    <w:rPr>
                      <w:rFonts w:hint="default"/>
                      <w:color w:val="auto"/>
                      <w:highlight w:val="none"/>
                      <w:lang w:val="en-US" w:eastAsia="zh-CN"/>
                    </w:rPr>
                  </w:pPr>
                  <w:r>
                    <w:rPr>
                      <w:rFonts w:hint="default"/>
                      <w:color w:val="auto"/>
                      <w:highlight w:val="none"/>
                      <w:lang w:val="en-US" w:eastAsia="zh-CN"/>
                    </w:rPr>
                    <w:t>0.0747</w:t>
                  </w:r>
                </w:p>
              </w:tc>
              <w:tc>
                <w:tcPr>
                  <w:tcW w:w="291" w:type="pct"/>
                  <w:tcBorders>
                    <w:right w:val="double" w:color="auto" w:sz="4" w:space="0"/>
                  </w:tcBorders>
                  <w:shd w:val="clear" w:color="auto" w:fill="auto"/>
                  <w:vAlign w:val="center"/>
                </w:tcPr>
                <w:p w14:paraId="794EAC2B">
                  <w:pPr>
                    <w:pStyle w:val="20"/>
                    <w:bidi w:val="0"/>
                    <w:rPr>
                      <w:rFonts w:hint="default"/>
                      <w:b/>
                      <w:bCs/>
                      <w:color w:val="auto"/>
                      <w:highlight w:val="none"/>
                      <w:lang w:val="en-US" w:eastAsia="zh-CN"/>
                    </w:rPr>
                  </w:pPr>
                  <w:r>
                    <w:rPr>
                      <w:rFonts w:hint="eastAsia"/>
                      <w:b/>
                      <w:bCs/>
                      <w:color w:val="auto"/>
                      <w:highlight w:val="none"/>
                      <w:lang w:val="en-US" w:eastAsia="zh-CN"/>
                    </w:rPr>
                    <w:t>0.1942</w:t>
                  </w:r>
                </w:p>
              </w:tc>
              <w:tc>
                <w:tcPr>
                  <w:tcW w:w="291" w:type="pct"/>
                  <w:tcBorders>
                    <w:left w:val="double" w:color="auto" w:sz="4" w:space="0"/>
                  </w:tcBorders>
                  <w:shd w:val="clear" w:color="auto" w:fill="auto"/>
                  <w:vAlign w:val="center"/>
                </w:tcPr>
                <w:p w14:paraId="6F765BFA">
                  <w:pPr>
                    <w:pStyle w:val="20"/>
                    <w:bidi w:val="0"/>
                    <w:rPr>
                      <w:rFonts w:hint="eastAsia"/>
                      <w:color w:val="auto"/>
                      <w:highlight w:val="none"/>
                      <w:lang w:val="en-US" w:eastAsia="zh-CN"/>
                    </w:rPr>
                  </w:pPr>
                  <w:r>
                    <w:rPr>
                      <w:rFonts w:hint="eastAsia"/>
                      <w:color w:val="auto"/>
                      <w:highlight w:val="none"/>
                      <w:lang w:val="en-US" w:eastAsia="zh-CN"/>
                    </w:rPr>
                    <w:t>0.1328</w:t>
                  </w:r>
                </w:p>
              </w:tc>
              <w:tc>
                <w:tcPr>
                  <w:tcW w:w="303" w:type="pct"/>
                  <w:shd w:val="clear" w:color="auto" w:fill="auto"/>
                  <w:vAlign w:val="center"/>
                </w:tcPr>
                <w:p w14:paraId="0B9CC0E1">
                  <w:pPr>
                    <w:pStyle w:val="20"/>
                    <w:bidi w:val="0"/>
                    <w:rPr>
                      <w:rFonts w:hint="eastAsia"/>
                      <w:color w:val="auto"/>
                      <w:highlight w:val="none"/>
                      <w:lang w:val="en-US" w:eastAsia="zh-CN"/>
                    </w:rPr>
                  </w:pPr>
                  <w:r>
                    <w:rPr>
                      <w:rFonts w:hint="eastAsia"/>
                      <w:color w:val="auto"/>
                      <w:highlight w:val="none"/>
                      <w:lang w:val="en-US" w:eastAsia="zh-CN"/>
                    </w:rPr>
                    <w:t>0.1742</w:t>
                  </w:r>
                </w:p>
              </w:tc>
            </w:tr>
            <w:tr w14:paraId="578D8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trPr>
              <w:tc>
                <w:tcPr>
                  <w:tcW w:w="459" w:type="pct"/>
                  <w:shd w:val="clear" w:color="auto" w:fill="auto"/>
                  <w:vAlign w:val="center"/>
                </w:tcPr>
                <w:p w14:paraId="03EA2E83">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颗粒物</w:t>
                  </w:r>
                </w:p>
              </w:tc>
              <w:tc>
                <w:tcPr>
                  <w:tcW w:w="384" w:type="pct"/>
                  <w:shd w:val="clear" w:color="auto" w:fill="auto"/>
                  <w:vAlign w:val="center"/>
                </w:tcPr>
                <w:p w14:paraId="2097C9A8">
                  <w:pPr>
                    <w:pStyle w:val="20"/>
                    <w:bidi w:val="0"/>
                    <w:rPr>
                      <w:rFonts w:hint="default"/>
                      <w:color w:val="auto"/>
                      <w:highlight w:val="none"/>
                      <w:lang w:val="en-US" w:eastAsia="zh-CN"/>
                    </w:rPr>
                  </w:pPr>
                  <w:r>
                    <w:rPr>
                      <w:rFonts w:hint="eastAsia"/>
                      <w:color w:val="auto"/>
                      <w:highlight w:val="none"/>
                      <w:lang w:val="en-US" w:eastAsia="zh-CN"/>
                    </w:rPr>
                    <w:t>/</w:t>
                  </w:r>
                </w:p>
              </w:tc>
              <w:tc>
                <w:tcPr>
                  <w:tcW w:w="414" w:type="pct"/>
                  <w:shd w:val="clear" w:color="auto" w:fill="auto"/>
                  <w:vAlign w:val="center"/>
                </w:tcPr>
                <w:p w14:paraId="29948C74">
                  <w:pPr>
                    <w:pStyle w:val="20"/>
                    <w:bidi w:val="0"/>
                    <w:rPr>
                      <w:rFonts w:hint="default"/>
                      <w:color w:val="auto"/>
                      <w:highlight w:val="none"/>
                      <w:lang w:val="en-US" w:eastAsia="zh-CN"/>
                    </w:rPr>
                  </w:pPr>
                  <w:r>
                    <w:rPr>
                      <w:rFonts w:hint="eastAsia"/>
                      <w:color w:val="auto"/>
                      <w:highlight w:val="none"/>
                      <w:lang w:val="en-US" w:eastAsia="zh-CN"/>
                    </w:rPr>
                    <w:t>0.0240</w:t>
                  </w:r>
                </w:p>
              </w:tc>
              <w:tc>
                <w:tcPr>
                  <w:tcW w:w="333" w:type="pct"/>
                  <w:tcBorders>
                    <w:right w:val="double" w:color="auto" w:sz="4" w:space="0"/>
                  </w:tcBorders>
                  <w:shd w:val="clear" w:color="auto" w:fill="auto"/>
                  <w:vAlign w:val="center"/>
                </w:tcPr>
                <w:p w14:paraId="29C2AAEC">
                  <w:pPr>
                    <w:keepNext w:val="0"/>
                    <w:keepLines w:val="0"/>
                    <w:widowControl/>
                    <w:suppressLineNumbers w:val="0"/>
                    <w:jc w:val="center"/>
                    <w:textAlignment w:val="center"/>
                    <w:rPr>
                      <w:rFonts w:hint="eastAsia"/>
                      <w:b/>
                      <w:bCs/>
                      <w:color w:val="auto"/>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0.024</w:t>
                  </w:r>
                </w:p>
              </w:tc>
              <w:tc>
                <w:tcPr>
                  <w:tcW w:w="420" w:type="pct"/>
                  <w:tcBorders>
                    <w:left w:val="double" w:color="auto" w:sz="4" w:space="0"/>
                  </w:tcBorders>
                  <w:shd w:val="clear" w:color="auto" w:fill="auto"/>
                  <w:vAlign w:val="center"/>
                </w:tcPr>
                <w:p w14:paraId="39E11D64">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0.0026</w:t>
                  </w:r>
                </w:p>
              </w:tc>
              <w:tc>
                <w:tcPr>
                  <w:tcW w:w="368" w:type="pct"/>
                  <w:shd w:val="clear" w:color="auto" w:fill="auto"/>
                  <w:vAlign w:val="center"/>
                </w:tcPr>
                <w:p w14:paraId="7673D564">
                  <w:pPr>
                    <w:pStyle w:val="20"/>
                    <w:bidi w:val="0"/>
                    <w:rPr>
                      <w:rFonts w:hint="default"/>
                      <w:b w:val="0"/>
                      <w:bCs w:val="0"/>
                      <w:color w:val="auto"/>
                      <w:highlight w:val="none"/>
                      <w:lang w:val="en-US" w:eastAsia="zh-CN"/>
                    </w:rPr>
                  </w:pPr>
                  <w:r>
                    <w:rPr>
                      <w:rFonts w:hint="eastAsia"/>
                      <w:b w:val="0"/>
                      <w:bCs w:val="0"/>
                      <w:color w:val="auto"/>
                      <w:highlight w:val="none"/>
                      <w:lang w:val="en-US" w:eastAsia="zh-CN"/>
                    </w:rPr>
                    <w:t>/</w:t>
                  </w:r>
                </w:p>
              </w:tc>
              <w:tc>
                <w:tcPr>
                  <w:tcW w:w="297" w:type="pct"/>
                  <w:shd w:val="clear" w:color="auto" w:fill="auto"/>
                  <w:vAlign w:val="center"/>
                </w:tcPr>
                <w:p w14:paraId="1FFBF65B">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0.0026</w:t>
                  </w:r>
                </w:p>
              </w:tc>
              <w:tc>
                <w:tcPr>
                  <w:tcW w:w="332" w:type="pct"/>
                  <w:tcBorders>
                    <w:right w:val="single" w:color="auto" w:sz="4" w:space="0"/>
                  </w:tcBorders>
                  <w:shd w:val="clear" w:color="auto" w:fill="auto"/>
                  <w:vAlign w:val="center"/>
                </w:tcPr>
                <w:p w14:paraId="125364D5">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w:t>
                  </w:r>
                </w:p>
              </w:tc>
              <w:tc>
                <w:tcPr>
                  <w:tcW w:w="343" w:type="pct"/>
                  <w:tcBorders>
                    <w:left w:val="single" w:color="auto" w:sz="4" w:space="0"/>
                    <w:right w:val="double" w:color="auto" w:sz="4" w:space="0"/>
                  </w:tcBorders>
                  <w:shd w:val="clear" w:color="auto" w:fill="auto"/>
                  <w:vAlign w:val="center"/>
                </w:tcPr>
                <w:p w14:paraId="260A9AC9">
                  <w:pPr>
                    <w:pStyle w:val="20"/>
                    <w:bidi w:val="0"/>
                    <w:rPr>
                      <w:rFonts w:hint="eastAsia"/>
                      <w:b/>
                      <w:bCs/>
                      <w:color w:val="auto"/>
                      <w:highlight w:val="none"/>
                      <w:lang w:val="en-US" w:eastAsia="zh-CN"/>
                    </w:rPr>
                  </w:pPr>
                  <w:r>
                    <w:rPr>
                      <w:rFonts w:hint="eastAsia"/>
                      <w:b/>
                      <w:bCs/>
                      <w:color w:val="auto"/>
                      <w:highlight w:val="none"/>
                      <w:lang w:val="en-US" w:eastAsia="zh-CN"/>
                    </w:rPr>
                    <w:t>0.0617</w:t>
                  </w:r>
                </w:p>
              </w:tc>
              <w:tc>
                <w:tcPr>
                  <w:tcW w:w="379" w:type="pct"/>
                  <w:tcBorders>
                    <w:left w:val="double" w:color="auto" w:sz="4" w:space="0"/>
                  </w:tcBorders>
                  <w:shd w:val="clear" w:color="auto" w:fill="auto"/>
                  <w:vAlign w:val="center"/>
                </w:tcPr>
                <w:p w14:paraId="1754A6A6">
                  <w:pPr>
                    <w:pStyle w:val="20"/>
                    <w:bidi w:val="0"/>
                    <w:rPr>
                      <w:rFonts w:hint="default"/>
                      <w:color w:val="auto"/>
                      <w:highlight w:val="none"/>
                      <w:lang w:val="en-US" w:eastAsia="zh-CN"/>
                    </w:rPr>
                  </w:pPr>
                  <w:r>
                    <w:rPr>
                      <w:rFonts w:hint="eastAsia"/>
                      <w:color w:val="auto"/>
                      <w:highlight w:val="none"/>
                      <w:lang w:val="en-US" w:eastAsia="zh-CN"/>
                    </w:rPr>
                    <w:t>/</w:t>
                  </w:r>
                </w:p>
              </w:tc>
              <w:tc>
                <w:tcPr>
                  <w:tcW w:w="379" w:type="pct"/>
                  <w:shd w:val="clear" w:color="auto" w:fill="auto"/>
                  <w:vAlign w:val="center"/>
                </w:tcPr>
                <w:p w14:paraId="723AFD50">
                  <w:pPr>
                    <w:pStyle w:val="20"/>
                    <w:bidi w:val="0"/>
                    <w:rPr>
                      <w:rFonts w:hint="default"/>
                      <w:color w:val="auto"/>
                      <w:highlight w:val="none"/>
                      <w:lang w:val="en-US" w:eastAsia="zh-CN"/>
                    </w:rPr>
                  </w:pPr>
                  <w:r>
                    <w:rPr>
                      <w:rFonts w:hint="default"/>
                      <w:color w:val="auto"/>
                      <w:highlight w:val="none"/>
                      <w:lang w:val="en-US" w:eastAsia="zh-CN"/>
                    </w:rPr>
                    <w:t>0.0214</w:t>
                  </w:r>
                </w:p>
              </w:tc>
              <w:tc>
                <w:tcPr>
                  <w:tcW w:w="291" w:type="pct"/>
                  <w:tcBorders>
                    <w:right w:val="double" w:color="auto" w:sz="4" w:space="0"/>
                  </w:tcBorders>
                  <w:shd w:val="clear" w:color="auto" w:fill="auto"/>
                  <w:vAlign w:val="center"/>
                </w:tcPr>
                <w:p w14:paraId="4CC94C22">
                  <w:pPr>
                    <w:pStyle w:val="20"/>
                    <w:bidi w:val="0"/>
                    <w:rPr>
                      <w:rFonts w:hint="default"/>
                      <w:b/>
                      <w:bCs/>
                      <w:color w:val="auto"/>
                      <w:highlight w:val="none"/>
                      <w:lang w:val="en-US" w:eastAsia="zh-CN"/>
                    </w:rPr>
                  </w:pPr>
                  <w:r>
                    <w:rPr>
                      <w:rFonts w:hint="eastAsia"/>
                      <w:b/>
                      <w:bCs/>
                      <w:color w:val="auto"/>
                      <w:highlight w:val="none"/>
                      <w:lang w:val="en-US" w:eastAsia="zh-CN"/>
                    </w:rPr>
                    <w:t>0.0214</w:t>
                  </w:r>
                </w:p>
              </w:tc>
              <w:tc>
                <w:tcPr>
                  <w:tcW w:w="291" w:type="pct"/>
                  <w:tcBorders>
                    <w:left w:val="double" w:color="auto" w:sz="4" w:space="0"/>
                  </w:tcBorders>
                  <w:shd w:val="clear" w:color="auto" w:fill="auto"/>
                  <w:vAlign w:val="center"/>
                </w:tcPr>
                <w:p w14:paraId="73721E2F">
                  <w:pPr>
                    <w:pStyle w:val="20"/>
                    <w:bidi w:val="0"/>
                    <w:rPr>
                      <w:rFonts w:hint="default"/>
                      <w:color w:val="auto"/>
                      <w:highlight w:val="none"/>
                      <w:lang w:val="en-US" w:eastAsia="zh-CN"/>
                    </w:rPr>
                  </w:pPr>
                  <w:r>
                    <w:rPr>
                      <w:rFonts w:hint="eastAsia"/>
                      <w:color w:val="auto"/>
                      <w:highlight w:val="none"/>
                      <w:lang w:val="en-US" w:eastAsia="zh-CN"/>
                    </w:rPr>
                    <w:t>/</w:t>
                  </w:r>
                </w:p>
              </w:tc>
              <w:tc>
                <w:tcPr>
                  <w:tcW w:w="303" w:type="pct"/>
                  <w:shd w:val="clear" w:color="auto" w:fill="auto"/>
                  <w:vAlign w:val="center"/>
                </w:tcPr>
                <w:p w14:paraId="1D0BE93A">
                  <w:pPr>
                    <w:pStyle w:val="20"/>
                    <w:bidi w:val="0"/>
                    <w:rPr>
                      <w:rFonts w:hint="eastAsia"/>
                      <w:color w:val="auto"/>
                      <w:highlight w:val="none"/>
                      <w:lang w:val="en-US" w:eastAsia="zh-CN"/>
                    </w:rPr>
                  </w:pPr>
                  <w:r>
                    <w:rPr>
                      <w:rFonts w:hint="eastAsia"/>
                      <w:color w:val="auto"/>
                      <w:highlight w:val="none"/>
                      <w:lang w:val="en-US" w:eastAsia="zh-CN"/>
                    </w:rPr>
                    <w:t>0.0214</w:t>
                  </w:r>
                </w:p>
              </w:tc>
            </w:tr>
          </w:tbl>
          <w:p w14:paraId="5D6A7770">
            <w:pPr>
              <w:rPr>
                <w:color w:val="auto"/>
                <w:highlight w:val="none"/>
              </w:rPr>
            </w:pPr>
            <w:bookmarkStart w:id="36" w:name="_Ref20382"/>
          </w:p>
          <w:p w14:paraId="4567100D">
            <w:pPr>
              <w:rPr>
                <w:color w:val="auto"/>
                <w:highlight w:val="none"/>
              </w:rPr>
            </w:pPr>
          </w:p>
          <w:p w14:paraId="07DC9E2D">
            <w:pPr>
              <w:pStyle w:val="18"/>
              <w:rPr>
                <w:color w:val="auto"/>
                <w:highlight w:val="none"/>
              </w:rPr>
            </w:pPr>
            <w:r>
              <w:rPr>
                <w:rFonts w:hint="eastAsia"/>
                <w:color w:val="auto"/>
                <w:highlight w:val="none"/>
              </w:rPr>
              <w:t>废气排放口基本情况见</w:t>
            </w:r>
            <w:r>
              <w:rPr>
                <w:rFonts w:hint="eastAsia"/>
                <w:color w:val="auto"/>
                <w:highlight w:val="none"/>
              </w:rPr>
              <w:fldChar w:fldCharType="begin"/>
            </w:r>
            <w:r>
              <w:rPr>
                <w:rFonts w:hint="eastAsia"/>
                <w:color w:val="auto"/>
                <w:highlight w:val="none"/>
              </w:rPr>
              <w:instrText xml:space="preserve"> REF _Ref32042 \h </w:instrText>
            </w:r>
            <w:r>
              <w:rPr>
                <w:rFonts w:hint="eastAsia"/>
                <w:color w:val="auto"/>
                <w:highlight w:val="none"/>
              </w:rPr>
              <w:fldChar w:fldCharType="separate"/>
            </w:r>
            <w:r>
              <w:rPr>
                <w:color w:val="auto"/>
                <w:highlight w:val="none"/>
              </w:rPr>
              <w:t>表4-6</w:t>
            </w:r>
            <w:r>
              <w:rPr>
                <w:rFonts w:hint="eastAsia"/>
                <w:color w:val="auto"/>
                <w:highlight w:val="none"/>
              </w:rPr>
              <w:fldChar w:fldCharType="end"/>
            </w:r>
            <w:r>
              <w:rPr>
                <w:rFonts w:hint="eastAsia"/>
                <w:color w:val="auto"/>
                <w:highlight w:val="none"/>
              </w:rPr>
              <w:t>。</w:t>
            </w:r>
          </w:p>
          <w:p w14:paraId="658D62ED">
            <w:pPr>
              <w:pStyle w:val="19"/>
              <w:spacing w:before="156"/>
              <w:rPr>
                <w:color w:val="auto"/>
                <w:highlight w:val="none"/>
              </w:rPr>
            </w:pPr>
            <w:bookmarkStart w:id="37" w:name="_Ref32042"/>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6</w:t>
            </w:r>
            <w:r>
              <w:rPr>
                <w:color w:val="auto"/>
                <w:highlight w:val="none"/>
              </w:rPr>
              <w:fldChar w:fldCharType="end"/>
            </w:r>
            <w:bookmarkEnd w:id="36"/>
            <w:bookmarkEnd w:id="37"/>
            <w:r>
              <w:rPr>
                <w:rFonts w:hint="eastAsia"/>
                <w:color w:val="auto"/>
                <w:highlight w:val="none"/>
              </w:rPr>
              <w:t>项目排放口基本情况一览表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37"/>
              <w:gridCol w:w="945"/>
              <w:gridCol w:w="3255"/>
              <w:gridCol w:w="1112"/>
              <w:gridCol w:w="1008"/>
              <w:gridCol w:w="620"/>
              <w:gridCol w:w="679"/>
              <w:gridCol w:w="872"/>
              <w:gridCol w:w="574"/>
              <w:gridCol w:w="3506"/>
            </w:tblGrid>
            <w:tr w14:paraId="3B767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37" w:type="dxa"/>
                  <w:vMerge w:val="restart"/>
                  <w:tcMar>
                    <w:top w:w="0" w:type="dxa"/>
                    <w:left w:w="57" w:type="dxa"/>
                    <w:bottom w:w="0" w:type="dxa"/>
                    <w:right w:w="57" w:type="dxa"/>
                  </w:tcMar>
                  <w:vAlign w:val="center"/>
                </w:tcPr>
                <w:p w14:paraId="1272DA51">
                  <w:pPr>
                    <w:pStyle w:val="20"/>
                    <w:spacing w:before="31"/>
                    <w:rPr>
                      <w:b/>
                      <w:bCs/>
                      <w:color w:val="auto"/>
                      <w:highlight w:val="none"/>
                    </w:rPr>
                  </w:pPr>
                  <w:r>
                    <w:rPr>
                      <w:rFonts w:hint="eastAsia"/>
                      <w:b/>
                      <w:bCs/>
                      <w:color w:val="auto"/>
                      <w:highlight w:val="none"/>
                      <w:lang w:val="en-US" w:eastAsia="zh-CN"/>
                    </w:rPr>
                    <w:t>排气筒</w:t>
                  </w:r>
                </w:p>
              </w:tc>
              <w:tc>
                <w:tcPr>
                  <w:tcW w:w="945" w:type="dxa"/>
                  <w:vMerge w:val="restart"/>
                  <w:tcMar>
                    <w:top w:w="0" w:type="dxa"/>
                    <w:left w:w="57" w:type="dxa"/>
                    <w:bottom w:w="0" w:type="dxa"/>
                    <w:right w:w="57" w:type="dxa"/>
                  </w:tcMar>
                  <w:vAlign w:val="center"/>
                </w:tcPr>
                <w:p w14:paraId="6BFA096A">
                  <w:pPr>
                    <w:pStyle w:val="20"/>
                    <w:spacing w:before="31"/>
                    <w:rPr>
                      <w:b/>
                      <w:bCs/>
                      <w:color w:val="auto"/>
                      <w:highlight w:val="none"/>
                    </w:rPr>
                  </w:pPr>
                  <w:r>
                    <w:rPr>
                      <w:rFonts w:hint="eastAsia"/>
                      <w:b/>
                      <w:bCs/>
                      <w:color w:val="auto"/>
                      <w:highlight w:val="none"/>
                    </w:rPr>
                    <w:t>污染源</w:t>
                  </w:r>
                </w:p>
              </w:tc>
              <w:tc>
                <w:tcPr>
                  <w:tcW w:w="3255" w:type="dxa"/>
                  <w:vMerge w:val="restart"/>
                  <w:tcMar>
                    <w:top w:w="0" w:type="dxa"/>
                    <w:left w:w="57" w:type="dxa"/>
                    <w:bottom w:w="0" w:type="dxa"/>
                    <w:right w:w="57" w:type="dxa"/>
                  </w:tcMar>
                  <w:vAlign w:val="center"/>
                </w:tcPr>
                <w:p w14:paraId="63E4D4B2">
                  <w:pPr>
                    <w:pStyle w:val="20"/>
                    <w:spacing w:before="31"/>
                    <w:rPr>
                      <w:b/>
                      <w:bCs/>
                      <w:color w:val="auto"/>
                      <w:highlight w:val="none"/>
                    </w:rPr>
                  </w:pPr>
                  <w:r>
                    <w:rPr>
                      <w:b/>
                      <w:bCs/>
                      <w:color w:val="auto"/>
                      <w:highlight w:val="none"/>
                    </w:rPr>
                    <w:t>污染物</w:t>
                  </w:r>
                </w:p>
              </w:tc>
              <w:tc>
                <w:tcPr>
                  <w:tcW w:w="2120" w:type="dxa"/>
                  <w:gridSpan w:val="2"/>
                  <w:tcMar>
                    <w:top w:w="0" w:type="dxa"/>
                    <w:left w:w="57" w:type="dxa"/>
                    <w:bottom w:w="0" w:type="dxa"/>
                    <w:right w:w="57" w:type="dxa"/>
                  </w:tcMar>
                  <w:vAlign w:val="center"/>
                </w:tcPr>
                <w:p w14:paraId="4FD00D36">
                  <w:pPr>
                    <w:pStyle w:val="20"/>
                    <w:spacing w:before="31"/>
                    <w:rPr>
                      <w:b/>
                      <w:bCs/>
                      <w:color w:val="auto"/>
                      <w:highlight w:val="none"/>
                    </w:rPr>
                  </w:pPr>
                  <w:r>
                    <w:rPr>
                      <w:rFonts w:hint="eastAsia"/>
                      <w:b/>
                      <w:bCs/>
                      <w:color w:val="auto"/>
                      <w:highlight w:val="none"/>
                    </w:rPr>
                    <w:t>地理坐标</w:t>
                  </w:r>
                </w:p>
              </w:tc>
              <w:tc>
                <w:tcPr>
                  <w:tcW w:w="620" w:type="dxa"/>
                  <w:vMerge w:val="restart"/>
                  <w:tcMar>
                    <w:top w:w="0" w:type="dxa"/>
                    <w:left w:w="57" w:type="dxa"/>
                    <w:bottom w:w="0" w:type="dxa"/>
                    <w:right w:w="57" w:type="dxa"/>
                  </w:tcMar>
                  <w:vAlign w:val="center"/>
                </w:tcPr>
                <w:p w14:paraId="67B98AD9">
                  <w:pPr>
                    <w:pStyle w:val="20"/>
                    <w:spacing w:before="31"/>
                    <w:rPr>
                      <w:b/>
                      <w:bCs/>
                      <w:color w:val="auto"/>
                      <w:highlight w:val="none"/>
                    </w:rPr>
                  </w:pPr>
                  <w:r>
                    <w:rPr>
                      <w:rFonts w:hint="eastAsia"/>
                      <w:b/>
                      <w:bCs/>
                      <w:color w:val="auto"/>
                      <w:highlight w:val="none"/>
                    </w:rPr>
                    <w:t>排气筒高度m</w:t>
                  </w:r>
                </w:p>
              </w:tc>
              <w:tc>
                <w:tcPr>
                  <w:tcW w:w="679" w:type="dxa"/>
                  <w:vMerge w:val="restart"/>
                  <w:tcMar>
                    <w:top w:w="0" w:type="dxa"/>
                    <w:left w:w="57" w:type="dxa"/>
                    <w:bottom w:w="0" w:type="dxa"/>
                    <w:right w:w="57" w:type="dxa"/>
                  </w:tcMar>
                  <w:vAlign w:val="center"/>
                </w:tcPr>
                <w:p w14:paraId="767AEFDF">
                  <w:pPr>
                    <w:pStyle w:val="20"/>
                    <w:spacing w:before="31"/>
                    <w:rPr>
                      <w:b/>
                      <w:bCs/>
                      <w:color w:val="auto"/>
                      <w:highlight w:val="none"/>
                    </w:rPr>
                  </w:pPr>
                  <w:r>
                    <w:rPr>
                      <w:rFonts w:hint="eastAsia"/>
                      <w:b/>
                      <w:bCs/>
                      <w:color w:val="auto"/>
                      <w:highlight w:val="none"/>
                    </w:rPr>
                    <w:t>排气筒内径m</w:t>
                  </w:r>
                </w:p>
              </w:tc>
              <w:tc>
                <w:tcPr>
                  <w:tcW w:w="872" w:type="dxa"/>
                  <w:vMerge w:val="restart"/>
                  <w:tcMar>
                    <w:top w:w="0" w:type="dxa"/>
                    <w:left w:w="57" w:type="dxa"/>
                    <w:bottom w:w="0" w:type="dxa"/>
                    <w:right w:w="57" w:type="dxa"/>
                  </w:tcMar>
                  <w:vAlign w:val="center"/>
                </w:tcPr>
                <w:p w14:paraId="028CC0BA">
                  <w:pPr>
                    <w:pStyle w:val="20"/>
                    <w:spacing w:before="31"/>
                    <w:rPr>
                      <w:b/>
                      <w:bCs/>
                      <w:color w:val="auto"/>
                      <w:highlight w:val="none"/>
                    </w:rPr>
                  </w:pPr>
                  <w:r>
                    <w:rPr>
                      <w:rFonts w:hint="eastAsia"/>
                      <w:b/>
                      <w:bCs/>
                      <w:color w:val="auto"/>
                      <w:highlight w:val="none"/>
                    </w:rPr>
                    <w:t>温度（℃）</w:t>
                  </w:r>
                </w:p>
              </w:tc>
              <w:tc>
                <w:tcPr>
                  <w:tcW w:w="574" w:type="dxa"/>
                  <w:vMerge w:val="restart"/>
                  <w:tcMar>
                    <w:top w:w="0" w:type="dxa"/>
                    <w:left w:w="57" w:type="dxa"/>
                    <w:bottom w:w="0" w:type="dxa"/>
                    <w:right w:w="57" w:type="dxa"/>
                  </w:tcMar>
                  <w:vAlign w:val="center"/>
                </w:tcPr>
                <w:p w14:paraId="13988A38">
                  <w:pPr>
                    <w:pStyle w:val="20"/>
                    <w:spacing w:before="31"/>
                    <w:rPr>
                      <w:b/>
                      <w:bCs/>
                      <w:color w:val="auto"/>
                      <w:highlight w:val="none"/>
                    </w:rPr>
                  </w:pPr>
                  <w:r>
                    <w:rPr>
                      <w:rFonts w:hint="eastAsia"/>
                      <w:b/>
                      <w:bCs/>
                      <w:color w:val="auto"/>
                      <w:highlight w:val="none"/>
                    </w:rPr>
                    <w:t>类型</w:t>
                  </w:r>
                </w:p>
              </w:tc>
              <w:tc>
                <w:tcPr>
                  <w:tcW w:w="3506" w:type="dxa"/>
                  <w:vMerge w:val="restart"/>
                  <w:tcMar>
                    <w:top w:w="0" w:type="dxa"/>
                    <w:left w:w="57" w:type="dxa"/>
                    <w:bottom w:w="0" w:type="dxa"/>
                    <w:right w:w="57" w:type="dxa"/>
                  </w:tcMar>
                  <w:vAlign w:val="center"/>
                </w:tcPr>
                <w:p w14:paraId="6EFEF5F8">
                  <w:pPr>
                    <w:pStyle w:val="20"/>
                    <w:spacing w:before="31"/>
                    <w:rPr>
                      <w:b/>
                      <w:bCs/>
                      <w:color w:val="auto"/>
                      <w:highlight w:val="none"/>
                    </w:rPr>
                  </w:pPr>
                  <w:r>
                    <w:rPr>
                      <w:rFonts w:hint="eastAsia"/>
                      <w:b/>
                      <w:bCs/>
                      <w:color w:val="auto"/>
                      <w:highlight w:val="none"/>
                    </w:rPr>
                    <w:t>排放标准</w:t>
                  </w:r>
                </w:p>
              </w:tc>
            </w:tr>
            <w:tr w14:paraId="03503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37" w:type="dxa"/>
                  <w:vMerge w:val="continue"/>
                  <w:tcMar>
                    <w:top w:w="0" w:type="dxa"/>
                    <w:left w:w="57" w:type="dxa"/>
                    <w:bottom w:w="0" w:type="dxa"/>
                    <w:right w:w="57" w:type="dxa"/>
                  </w:tcMar>
                </w:tcPr>
                <w:p w14:paraId="0452EFA7">
                  <w:pPr>
                    <w:pStyle w:val="20"/>
                    <w:spacing w:before="31"/>
                    <w:rPr>
                      <w:color w:val="auto"/>
                      <w:highlight w:val="none"/>
                    </w:rPr>
                  </w:pPr>
                </w:p>
              </w:tc>
              <w:tc>
                <w:tcPr>
                  <w:tcW w:w="945" w:type="dxa"/>
                  <w:vMerge w:val="continue"/>
                  <w:tcMar>
                    <w:top w:w="0" w:type="dxa"/>
                    <w:left w:w="57" w:type="dxa"/>
                    <w:bottom w:w="0" w:type="dxa"/>
                    <w:right w:w="57" w:type="dxa"/>
                  </w:tcMar>
                </w:tcPr>
                <w:p w14:paraId="4FE9E259">
                  <w:pPr>
                    <w:pStyle w:val="20"/>
                    <w:spacing w:before="31"/>
                    <w:rPr>
                      <w:color w:val="auto"/>
                      <w:highlight w:val="none"/>
                    </w:rPr>
                  </w:pPr>
                </w:p>
              </w:tc>
              <w:tc>
                <w:tcPr>
                  <w:tcW w:w="3255" w:type="dxa"/>
                  <w:vMerge w:val="continue"/>
                  <w:tcMar>
                    <w:top w:w="0" w:type="dxa"/>
                    <w:left w:w="57" w:type="dxa"/>
                    <w:bottom w:w="0" w:type="dxa"/>
                    <w:right w:w="57" w:type="dxa"/>
                  </w:tcMar>
                </w:tcPr>
                <w:p w14:paraId="67A03E49">
                  <w:pPr>
                    <w:pStyle w:val="20"/>
                    <w:spacing w:before="31"/>
                    <w:rPr>
                      <w:color w:val="auto"/>
                      <w:highlight w:val="none"/>
                    </w:rPr>
                  </w:pPr>
                </w:p>
              </w:tc>
              <w:tc>
                <w:tcPr>
                  <w:tcW w:w="1112" w:type="dxa"/>
                  <w:tcMar>
                    <w:top w:w="0" w:type="dxa"/>
                    <w:left w:w="57" w:type="dxa"/>
                    <w:bottom w:w="0" w:type="dxa"/>
                    <w:right w:w="57" w:type="dxa"/>
                  </w:tcMar>
                  <w:vAlign w:val="center"/>
                </w:tcPr>
                <w:p w14:paraId="2D027F3E">
                  <w:pPr>
                    <w:pStyle w:val="20"/>
                    <w:spacing w:before="31"/>
                    <w:rPr>
                      <w:b/>
                      <w:bCs/>
                      <w:color w:val="auto"/>
                      <w:highlight w:val="none"/>
                    </w:rPr>
                  </w:pPr>
                  <w:r>
                    <w:rPr>
                      <w:rFonts w:hint="eastAsia"/>
                      <w:b/>
                      <w:bCs/>
                      <w:color w:val="auto"/>
                      <w:highlight w:val="none"/>
                    </w:rPr>
                    <w:t>经度</w:t>
                  </w:r>
                </w:p>
              </w:tc>
              <w:tc>
                <w:tcPr>
                  <w:tcW w:w="1008" w:type="dxa"/>
                  <w:tcMar>
                    <w:top w:w="0" w:type="dxa"/>
                    <w:left w:w="57" w:type="dxa"/>
                    <w:bottom w:w="0" w:type="dxa"/>
                    <w:right w:w="57" w:type="dxa"/>
                  </w:tcMar>
                  <w:vAlign w:val="center"/>
                </w:tcPr>
                <w:p w14:paraId="5840721F">
                  <w:pPr>
                    <w:pStyle w:val="20"/>
                    <w:spacing w:before="31"/>
                    <w:rPr>
                      <w:b/>
                      <w:bCs/>
                      <w:color w:val="auto"/>
                      <w:highlight w:val="none"/>
                    </w:rPr>
                  </w:pPr>
                  <w:r>
                    <w:rPr>
                      <w:rFonts w:hint="eastAsia"/>
                      <w:b/>
                      <w:bCs/>
                      <w:color w:val="auto"/>
                      <w:highlight w:val="none"/>
                    </w:rPr>
                    <w:t>纬度</w:t>
                  </w:r>
                </w:p>
              </w:tc>
              <w:tc>
                <w:tcPr>
                  <w:tcW w:w="620" w:type="dxa"/>
                  <w:vMerge w:val="continue"/>
                  <w:tcMar>
                    <w:top w:w="0" w:type="dxa"/>
                    <w:left w:w="57" w:type="dxa"/>
                    <w:bottom w:w="0" w:type="dxa"/>
                    <w:right w:w="57" w:type="dxa"/>
                  </w:tcMar>
                </w:tcPr>
                <w:p w14:paraId="592293F0">
                  <w:pPr>
                    <w:pStyle w:val="20"/>
                    <w:spacing w:before="31"/>
                    <w:rPr>
                      <w:color w:val="auto"/>
                      <w:highlight w:val="none"/>
                    </w:rPr>
                  </w:pPr>
                </w:p>
              </w:tc>
              <w:tc>
                <w:tcPr>
                  <w:tcW w:w="679" w:type="dxa"/>
                  <w:vMerge w:val="continue"/>
                  <w:tcMar>
                    <w:top w:w="0" w:type="dxa"/>
                    <w:left w:w="57" w:type="dxa"/>
                    <w:bottom w:w="0" w:type="dxa"/>
                    <w:right w:w="57" w:type="dxa"/>
                  </w:tcMar>
                </w:tcPr>
                <w:p w14:paraId="3DFCF7BD">
                  <w:pPr>
                    <w:pStyle w:val="20"/>
                    <w:spacing w:before="31"/>
                    <w:rPr>
                      <w:color w:val="auto"/>
                      <w:highlight w:val="none"/>
                    </w:rPr>
                  </w:pPr>
                </w:p>
              </w:tc>
              <w:tc>
                <w:tcPr>
                  <w:tcW w:w="872" w:type="dxa"/>
                  <w:vMerge w:val="continue"/>
                  <w:tcMar>
                    <w:top w:w="0" w:type="dxa"/>
                    <w:left w:w="57" w:type="dxa"/>
                    <w:bottom w:w="0" w:type="dxa"/>
                    <w:right w:w="57" w:type="dxa"/>
                  </w:tcMar>
                </w:tcPr>
                <w:p w14:paraId="4A0E09A1">
                  <w:pPr>
                    <w:pStyle w:val="20"/>
                    <w:spacing w:before="31"/>
                    <w:rPr>
                      <w:color w:val="auto"/>
                      <w:highlight w:val="none"/>
                    </w:rPr>
                  </w:pPr>
                </w:p>
              </w:tc>
              <w:tc>
                <w:tcPr>
                  <w:tcW w:w="574" w:type="dxa"/>
                  <w:vMerge w:val="continue"/>
                  <w:tcMar>
                    <w:top w:w="0" w:type="dxa"/>
                    <w:left w:w="57" w:type="dxa"/>
                    <w:bottom w:w="0" w:type="dxa"/>
                    <w:right w:w="57" w:type="dxa"/>
                  </w:tcMar>
                </w:tcPr>
                <w:p w14:paraId="7F326001">
                  <w:pPr>
                    <w:pStyle w:val="20"/>
                    <w:spacing w:before="31"/>
                    <w:rPr>
                      <w:color w:val="auto"/>
                      <w:highlight w:val="none"/>
                    </w:rPr>
                  </w:pPr>
                </w:p>
              </w:tc>
              <w:tc>
                <w:tcPr>
                  <w:tcW w:w="3506" w:type="dxa"/>
                  <w:vMerge w:val="continue"/>
                  <w:tcMar>
                    <w:top w:w="0" w:type="dxa"/>
                    <w:left w:w="57" w:type="dxa"/>
                    <w:bottom w:w="0" w:type="dxa"/>
                    <w:right w:w="57" w:type="dxa"/>
                  </w:tcMar>
                </w:tcPr>
                <w:p w14:paraId="7CA36DC3">
                  <w:pPr>
                    <w:pStyle w:val="20"/>
                    <w:spacing w:before="31"/>
                    <w:rPr>
                      <w:color w:val="auto"/>
                      <w:highlight w:val="none"/>
                    </w:rPr>
                  </w:pPr>
                </w:p>
              </w:tc>
            </w:tr>
            <w:tr w14:paraId="24DAB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737" w:type="dxa"/>
                  <w:tcMar>
                    <w:top w:w="0" w:type="dxa"/>
                    <w:left w:w="57" w:type="dxa"/>
                    <w:bottom w:w="0" w:type="dxa"/>
                    <w:right w:w="57" w:type="dxa"/>
                  </w:tcMar>
                  <w:vAlign w:val="center"/>
                </w:tcPr>
                <w:p w14:paraId="2D6C04C2">
                  <w:pPr>
                    <w:pStyle w:val="20"/>
                    <w:bidi w:val="0"/>
                    <w:jc w:val="center"/>
                    <w:rPr>
                      <w:color w:val="auto"/>
                      <w:highlight w:val="none"/>
                    </w:rPr>
                  </w:pPr>
                  <w:r>
                    <w:rPr>
                      <w:rFonts w:hint="eastAsia"/>
                      <w:color w:val="auto"/>
                      <w:highlight w:val="none"/>
                    </w:rPr>
                    <w:t>DA001</w:t>
                  </w:r>
                </w:p>
              </w:tc>
              <w:tc>
                <w:tcPr>
                  <w:tcW w:w="945" w:type="dxa"/>
                  <w:tcMar>
                    <w:top w:w="0" w:type="dxa"/>
                    <w:left w:w="57" w:type="dxa"/>
                    <w:bottom w:w="0" w:type="dxa"/>
                    <w:right w:w="57" w:type="dxa"/>
                  </w:tcMar>
                  <w:vAlign w:val="center"/>
                </w:tcPr>
                <w:p w14:paraId="0DDF0F66">
                  <w:pPr>
                    <w:pStyle w:val="20"/>
                    <w:bidi w:val="0"/>
                    <w:jc w:val="center"/>
                    <w:rPr>
                      <w:color w:val="auto"/>
                      <w:highlight w:val="none"/>
                    </w:rPr>
                  </w:pPr>
                  <w:r>
                    <w:rPr>
                      <w:rFonts w:hint="eastAsia"/>
                      <w:color w:val="auto"/>
                      <w:highlight w:val="none"/>
                      <w:lang w:val="en-US" w:eastAsia="zh-CN"/>
                    </w:rPr>
                    <w:t>注塑废气+脱模清洗剂废气</w:t>
                  </w:r>
                </w:p>
              </w:tc>
              <w:tc>
                <w:tcPr>
                  <w:tcW w:w="3255" w:type="dxa"/>
                  <w:tcMar>
                    <w:top w:w="0" w:type="dxa"/>
                    <w:left w:w="57" w:type="dxa"/>
                    <w:bottom w:w="0" w:type="dxa"/>
                    <w:right w:w="57" w:type="dxa"/>
                  </w:tcMar>
                  <w:vAlign w:val="center"/>
                </w:tcPr>
                <w:p w14:paraId="2E956428">
                  <w:pPr>
                    <w:pStyle w:val="20"/>
                    <w:bidi w:val="0"/>
                    <w:jc w:val="center"/>
                    <w:rPr>
                      <w:rFonts w:hint="eastAsia" w:eastAsia="宋体"/>
                      <w:color w:val="auto"/>
                      <w:highlight w:val="none"/>
                      <w:lang w:eastAsia="zh-CN"/>
                    </w:rPr>
                  </w:pPr>
                  <w:r>
                    <w:rPr>
                      <w:rFonts w:hint="eastAsia"/>
                      <w:color w:val="auto"/>
                      <w:highlight w:val="none"/>
                    </w:rPr>
                    <w:t>非甲烷总烃</w:t>
                  </w:r>
                  <w:r>
                    <w:rPr>
                      <w:rFonts w:hint="eastAsia"/>
                      <w:color w:val="auto"/>
                      <w:highlight w:val="none"/>
                      <w:lang w:eastAsia="zh-CN"/>
                    </w:rPr>
                    <w:t>、</w:t>
                  </w:r>
                  <w:r>
                    <w:rPr>
                      <w:rFonts w:hint="eastAsia"/>
                      <w:color w:val="auto"/>
                      <w:highlight w:val="none"/>
                    </w:rPr>
                    <w:t>丙烯腈</w:t>
                  </w:r>
                  <w:r>
                    <w:rPr>
                      <w:rFonts w:hint="eastAsia"/>
                      <w:color w:val="auto"/>
                      <w:highlight w:val="none"/>
                      <w:lang w:eastAsia="zh-CN"/>
                    </w:rPr>
                    <w:t>、</w:t>
                  </w:r>
                  <w:r>
                    <w:rPr>
                      <w:rFonts w:hint="eastAsia"/>
                      <w:color w:val="auto"/>
                      <w:highlight w:val="none"/>
                    </w:rPr>
                    <w:t>1,3-丁二烯</w:t>
                  </w:r>
                  <w:r>
                    <w:rPr>
                      <w:rFonts w:hint="eastAsia"/>
                      <w:color w:val="auto"/>
                      <w:highlight w:val="none"/>
                      <w:lang w:eastAsia="zh-CN"/>
                    </w:rPr>
                    <w:t>、</w:t>
                  </w:r>
                  <w:r>
                    <w:rPr>
                      <w:rFonts w:hint="eastAsia"/>
                      <w:color w:val="auto"/>
                      <w:highlight w:val="none"/>
                    </w:rPr>
                    <w:t>苯乙烯</w:t>
                  </w:r>
                  <w:r>
                    <w:rPr>
                      <w:rFonts w:hint="eastAsia"/>
                      <w:color w:val="auto"/>
                      <w:highlight w:val="none"/>
                      <w:lang w:eastAsia="zh-CN"/>
                    </w:rPr>
                    <w:t>、</w:t>
                  </w:r>
                  <w:r>
                    <w:rPr>
                      <w:rFonts w:hint="eastAsia"/>
                      <w:color w:val="auto"/>
                      <w:highlight w:val="none"/>
                    </w:rPr>
                    <w:t>甲苯</w:t>
                  </w:r>
                  <w:r>
                    <w:rPr>
                      <w:rFonts w:hint="eastAsia"/>
                      <w:color w:val="auto"/>
                      <w:highlight w:val="none"/>
                      <w:lang w:eastAsia="zh-CN"/>
                    </w:rPr>
                    <w:t>、</w:t>
                  </w:r>
                  <w:r>
                    <w:rPr>
                      <w:rFonts w:hint="eastAsia"/>
                      <w:color w:val="auto"/>
                      <w:highlight w:val="none"/>
                    </w:rPr>
                    <w:t>乙苯</w:t>
                  </w:r>
                  <w:r>
                    <w:rPr>
                      <w:rFonts w:hint="eastAsia"/>
                      <w:color w:val="auto"/>
                      <w:highlight w:val="none"/>
                      <w:lang w:eastAsia="zh-CN"/>
                    </w:rPr>
                    <w:t>、</w:t>
                  </w:r>
                  <w:r>
                    <w:rPr>
                      <w:rFonts w:hint="eastAsia"/>
                      <w:color w:val="auto"/>
                      <w:highlight w:val="none"/>
                    </w:rPr>
                    <w:t>甲基丙烯酸甲酯</w:t>
                  </w:r>
                  <w:r>
                    <w:rPr>
                      <w:rFonts w:hint="eastAsia"/>
                      <w:color w:val="auto"/>
                      <w:highlight w:val="none"/>
                      <w:lang w:eastAsia="zh-CN"/>
                    </w:rPr>
                    <w:t>、</w:t>
                  </w:r>
                  <w:r>
                    <w:rPr>
                      <w:rFonts w:hint="eastAsia"/>
                      <w:color w:val="auto"/>
                      <w:highlight w:val="none"/>
                    </w:rPr>
                    <w:t>丙烯酸甲酯</w:t>
                  </w:r>
                  <w:r>
                    <w:rPr>
                      <w:rFonts w:hint="eastAsia"/>
                      <w:color w:val="auto"/>
                      <w:highlight w:val="none"/>
                      <w:lang w:eastAsia="zh-CN"/>
                    </w:rPr>
                    <w:t>、</w:t>
                  </w:r>
                  <w:r>
                    <w:rPr>
                      <w:rFonts w:hint="eastAsia"/>
                      <w:color w:val="auto"/>
                      <w:highlight w:val="none"/>
                    </w:rPr>
                    <w:t>丙烯酸</w:t>
                  </w:r>
                  <w:r>
                    <w:rPr>
                      <w:rFonts w:hint="eastAsia"/>
                      <w:color w:val="auto"/>
                      <w:highlight w:val="none"/>
                      <w:lang w:eastAsia="zh-CN"/>
                    </w:rPr>
                    <w:t>、</w:t>
                  </w:r>
                  <w:r>
                    <w:rPr>
                      <w:rFonts w:hint="eastAsia"/>
                      <w:color w:val="auto"/>
                      <w:highlight w:val="none"/>
                    </w:rPr>
                    <w:t>丙烯酸丁酯</w:t>
                  </w:r>
                  <w:r>
                    <w:rPr>
                      <w:rFonts w:hint="eastAsia"/>
                      <w:color w:val="auto"/>
                      <w:highlight w:val="none"/>
                      <w:lang w:eastAsia="zh-CN"/>
                    </w:rPr>
                    <w:t>、</w:t>
                  </w:r>
                  <w:r>
                    <w:rPr>
                      <w:rFonts w:hint="eastAsia"/>
                      <w:color w:val="auto"/>
                      <w:highlight w:val="none"/>
                    </w:rPr>
                    <w:t>颗粒物</w:t>
                  </w:r>
                  <w:r>
                    <w:rPr>
                      <w:rFonts w:hint="eastAsia"/>
                      <w:color w:val="auto"/>
                      <w:highlight w:val="none"/>
                      <w:lang w:eastAsia="zh-CN"/>
                    </w:rPr>
                    <w:t>、</w:t>
                  </w:r>
                  <w:r>
                    <w:rPr>
                      <w:rFonts w:hint="eastAsia"/>
                      <w:color w:val="auto"/>
                      <w:highlight w:val="none"/>
                      <w:lang w:val="en-US" w:eastAsia="zh-CN"/>
                    </w:rPr>
                    <w:t>臭气浓度</w:t>
                  </w:r>
                </w:p>
              </w:tc>
              <w:tc>
                <w:tcPr>
                  <w:tcW w:w="1112" w:type="dxa"/>
                  <w:tcMar>
                    <w:top w:w="0" w:type="dxa"/>
                    <w:left w:w="57" w:type="dxa"/>
                    <w:bottom w:w="0" w:type="dxa"/>
                    <w:right w:w="57" w:type="dxa"/>
                  </w:tcMar>
                  <w:vAlign w:val="center"/>
                </w:tcPr>
                <w:p w14:paraId="3915C96E">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106.</w:t>
                  </w:r>
                  <w:r>
                    <w:rPr>
                      <w:rFonts w:hint="eastAsia"/>
                      <w:color w:val="auto"/>
                      <w:highlight w:val="none"/>
                      <w:lang w:val="en-US" w:eastAsia="zh-CN"/>
                    </w:rPr>
                    <w:t>316595</w:t>
                  </w:r>
                </w:p>
              </w:tc>
              <w:tc>
                <w:tcPr>
                  <w:tcW w:w="1008" w:type="dxa"/>
                  <w:tcMar>
                    <w:top w:w="0" w:type="dxa"/>
                    <w:left w:w="57" w:type="dxa"/>
                    <w:bottom w:w="0" w:type="dxa"/>
                    <w:right w:w="57" w:type="dxa"/>
                  </w:tcMar>
                  <w:vAlign w:val="center"/>
                </w:tcPr>
                <w:p w14:paraId="57F20084">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29.</w:t>
                  </w:r>
                  <w:r>
                    <w:rPr>
                      <w:rFonts w:hint="eastAsia"/>
                      <w:color w:val="auto"/>
                      <w:highlight w:val="none"/>
                      <w:lang w:val="en-US" w:eastAsia="zh-CN"/>
                    </w:rPr>
                    <w:t>292137</w:t>
                  </w:r>
                </w:p>
              </w:tc>
              <w:tc>
                <w:tcPr>
                  <w:tcW w:w="620" w:type="dxa"/>
                  <w:tcMar>
                    <w:top w:w="0" w:type="dxa"/>
                    <w:left w:w="57" w:type="dxa"/>
                    <w:bottom w:w="0" w:type="dxa"/>
                    <w:right w:w="57" w:type="dxa"/>
                  </w:tcMar>
                  <w:vAlign w:val="center"/>
                </w:tcPr>
                <w:p w14:paraId="2F0424FA">
                  <w:pPr>
                    <w:pStyle w:val="20"/>
                    <w:spacing w:before="31"/>
                    <w:rPr>
                      <w:rFonts w:hint="default" w:eastAsia="宋体"/>
                      <w:color w:val="auto"/>
                      <w:highlight w:val="none"/>
                      <w:lang w:val="en-US" w:eastAsia="zh-CN"/>
                    </w:rPr>
                  </w:pPr>
                  <w:r>
                    <w:rPr>
                      <w:rFonts w:hint="eastAsia"/>
                      <w:color w:val="auto"/>
                      <w:highlight w:val="none"/>
                      <w:lang w:val="en-US" w:eastAsia="zh-CN"/>
                    </w:rPr>
                    <w:t>15</w:t>
                  </w:r>
                </w:p>
              </w:tc>
              <w:tc>
                <w:tcPr>
                  <w:tcW w:w="679" w:type="dxa"/>
                  <w:tcMar>
                    <w:top w:w="0" w:type="dxa"/>
                    <w:left w:w="57" w:type="dxa"/>
                    <w:bottom w:w="0" w:type="dxa"/>
                    <w:right w:w="57" w:type="dxa"/>
                  </w:tcMar>
                  <w:vAlign w:val="center"/>
                </w:tcPr>
                <w:p w14:paraId="707C3213">
                  <w:pPr>
                    <w:pStyle w:val="20"/>
                    <w:spacing w:before="31"/>
                    <w:rPr>
                      <w:rFonts w:hint="default" w:eastAsia="宋体"/>
                      <w:color w:val="auto"/>
                      <w:highlight w:val="none"/>
                      <w:lang w:val="en-US" w:eastAsia="zh-CN"/>
                    </w:rPr>
                  </w:pPr>
                  <w:r>
                    <w:rPr>
                      <w:rFonts w:hint="eastAsia"/>
                      <w:color w:val="auto"/>
                      <w:highlight w:val="none"/>
                      <w:lang w:val="en-US" w:eastAsia="zh-CN"/>
                    </w:rPr>
                    <w:t>0.9</w:t>
                  </w:r>
                </w:p>
              </w:tc>
              <w:tc>
                <w:tcPr>
                  <w:tcW w:w="872" w:type="dxa"/>
                  <w:tcMar>
                    <w:top w:w="0" w:type="dxa"/>
                    <w:left w:w="57" w:type="dxa"/>
                    <w:bottom w:w="0" w:type="dxa"/>
                    <w:right w:w="57" w:type="dxa"/>
                  </w:tcMar>
                  <w:vAlign w:val="center"/>
                </w:tcPr>
                <w:p w14:paraId="756AEA27">
                  <w:pPr>
                    <w:pStyle w:val="20"/>
                    <w:spacing w:before="31"/>
                    <w:rPr>
                      <w:rFonts w:hint="default" w:eastAsia="宋体"/>
                      <w:color w:val="auto"/>
                      <w:highlight w:val="none"/>
                      <w:lang w:val="en-US" w:eastAsia="zh-CN"/>
                    </w:rPr>
                  </w:pPr>
                  <w:r>
                    <w:rPr>
                      <w:rFonts w:hint="default" w:eastAsia="宋体"/>
                      <w:color w:val="auto"/>
                      <w:highlight w:val="none"/>
                      <w:lang w:val="en-US" w:eastAsia="zh-CN"/>
                    </w:rPr>
                    <w:t>常温</w:t>
                  </w:r>
                </w:p>
              </w:tc>
              <w:tc>
                <w:tcPr>
                  <w:tcW w:w="574" w:type="dxa"/>
                  <w:tcMar>
                    <w:top w:w="0" w:type="dxa"/>
                    <w:left w:w="57" w:type="dxa"/>
                    <w:bottom w:w="0" w:type="dxa"/>
                    <w:right w:w="57" w:type="dxa"/>
                  </w:tcMar>
                  <w:vAlign w:val="center"/>
                </w:tcPr>
                <w:p w14:paraId="4B186824">
                  <w:pPr>
                    <w:pStyle w:val="20"/>
                    <w:spacing w:before="31"/>
                    <w:rPr>
                      <w:color w:val="auto"/>
                      <w:highlight w:val="none"/>
                    </w:rPr>
                  </w:pPr>
                  <w:r>
                    <w:rPr>
                      <w:rFonts w:hint="eastAsia"/>
                      <w:color w:val="auto"/>
                      <w:highlight w:val="none"/>
                    </w:rPr>
                    <w:t>一般排放口</w:t>
                  </w:r>
                </w:p>
              </w:tc>
              <w:tc>
                <w:tcPr>
                  <w:tcW w:w="3506" w:type="dxa"/>
                  <w:tcMar>
                    <w:top w:w="0" w:type="dxa"/>
                    <w:left w:w="57" w:type="dxa"/>
                    <w:bottom w:w="0" w:type="dxa"/>
                    <w:right w:w="57" w:type="dxa"/>
                  </w:tcMar>
                  <w:vAlign w:val="center"/>
                </w:tcPr>
                <w:p w14:paraId="2EF02CBA">
                  <w:pPr>
                    <w:pStyle w:val="20"/>
                    <w:spacing w:before="31"/>
                    <w:rPr>
                      <w:color w:val="auto"/>
                      <w:highlight w:val="none"/>
                    </w:rPr>
                  </w:pPr>
                  <w:r>
                    <w:rPr>
                      <w:bCs/>
                      <w:color w:val="auto"/>
                      <w:spacing w:val="-10"/>
                      <w:szCs w:val="21"/>
                      <w:highlight w:val="none"/>
                    </w:rPr>
                    <w:t>《合成树脂工业污染物排放标准》</w:t>
                  </w:r>
                  <w:r>
                    <w:rPr>
                      <w:rFonts w:hint="eastAsia"/>
                      <w:bCs/>
                      <w:color w:val="auto"/>
                      <w:spacing w:val="-10"/>
                      <w:szCs w:val="21"/>
                      <w:highlight w:val="none"/>
                    </w:rPr>
                    <w:t>（GB31572-2015含2024年修改单）</w:t>
                  </w:r>
                  <w:r>
                    <w:rPr>
                      <w:bCs/>
                      <w:color w:val="auto"/>
                      <w:spacing w:val="-10"/>
                      <w:szCs w:val="21"/>
                      <w:highlight w:val="none"/>
                    </w:rPr>
                    <w:t>中大气污染物特别排放限值</w:t>
                  </w:r>
                </w:p>
              </w:tc>
            </w:tr>
          </w:tbl>
          <w:p w14:paraId="0AEECEC9">
            <w:pPr>
              <w:pStyle w:val="18"/>
              <w:spacing w:line="240" w:lineRule="auto"/>
              <w:ind w:firstLine="0" w:firstLineChars="0"/>
              <w:rPr>
                <w:color w:val="auto"/>
                <w:highlight w:val="none"/>
              </w:rPr>
            </w:pPr>
          </w:p>
          <w:p w14:paraId="7EB932A7">
            <w:pPr>
              <w:pStyle w:val="18"/>
              <w:spacing w:line="240" w:lineRule="auto"/>
              <w:ind w:firstLine="0" w:firstLineChars="0"/>
              <w:rPr>
                <w:color w:val="auto"/>
                <w:highlight w:val="none"/>
              </w:rPr>
            </w:pPr>
          </w:p>
          <w:p w14:paraId="1278DA72">
            <w:pPr>
              <w:pStyle w:val="18"/>
              <w:spacing w:line="240" w:lineRule="auto"/>
              <w:ind w:firstLine="0" w:firstLineChars="0"/>
              <w:rPr>
                <w:color w:val="auto"/>
                <w:highlight w:val="none"/>
              </w:rPr>
            </w:pPr>
          </w:p>
        </w:tc>
      </w:tr>
    </w:tbl>
    <w:p w14:paraId="7C6AF3F8">
      <w:pPr>
        <w:rPr>
          <w:color w:val="auto"/>
          <w:highlight w:val="none"/>
        </w:rPr>
        <w:sectPr>
          <w:pgSz w:w="16838" w:h="11906" w:orient="landscape"/>
          <w:pgMar w:top="1463" w:right="1440" w:bottom="1463" w:left="1440" w:header="720" w:footer="720" w:gutter="0"/>
          <w:cols w:space="425" w:num="1"/>
          <w:docGrid w:type="lines" w:linePitch="312" w:charSpace="0"/>
        </w:sectPr>
      </w:pPr>
    </w:p>
    <w:tbl>
      <w:tblPr>
        <w:tblStyle w:val="13"/>
        <w:tblW w:w="50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85"/>
        <w:gridCol w:w="8533"/>
      </w:tblGrid>
      <w:tr w14:paraId="3DA4D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321" w:type="pct"/>
            <w:tcMar>
              <w:left w:w="28" w:type="dxa"/>
              <w:right w:w="28" w:type="dxa"/>
            </w:tcMar>
            <w:vAlign w:val="center"/>
          </w:tcPr>
          <w:p w14:paraId="5EAE390A">
            <w:pPr>
              <w:pStyle w:val="24"/>
              <w:spacing w:before="93" w:after="93"/>
              <w:rPr>
                <w:rFonts w:hint="eastAsia"/>
                <w:b/>
                <w:bCs/>
                <w:color w:val="auto"/>
                <w:highlight w:val="none"/>
              </w:rPr>
            </w:pPr>
          </w:p>
        </w:tc>
        <w:tc>
          <w:tcPr>
            <w:tcW w:w="4678" w:type="pct"/>
            <w:vAlign w:val="center"/>
          </w:tcPr>
          <w:p w14:paraId="4B9C089D">
            <w:pPr>
              <w:pStyle w:val="3"/>
              <w:ind w:firstLine="482"/>
              <w:rPr>
                <w:color w:val="auto"/>
                <w:highlight w:val="none"/>
              </w:rPr>
            </w:pPr>
            <w:r>
              <w:rPr>
                <w:rFonts w:hint="eastAsia"/>
                <w:color w:val="auto"/>
                <w:highlight w:val="none"/>
              </w:rPr>
              <w:t>3）废气治理设施可行性分析</w:t>
            </w:r>
          </w:p>
          <w:p w14:paraId="4479684A">
            <w:pPr>
              <w:pStyle w:val="18"/>
              <w:rPr>
                <w:rFonts w:hint="default"/>
                <w:color w:val="auto"/>
                <w:highlight w:val="none"/>
                <w:lang w:val="en-US" w:eastAsia="zh-CN"/>
              </w:rPr>
            </w:pPr>
            <w:r>
              <w:rPr>
                <w:rFonts w:hint="eastAsia"/>
                <w:color w:val="auto"/>
                <w:highlight w:val="none"/>
                <w:lang w:val="en-US" w:eastAsia="zh-CN"/>
              </w:rPr>
              <w:t>项目注塑废气、脱模、清洗剂废气经注塑机出料区顶部集气罩收集后经过滤棉+UV光氧化+二级活性炭吸附装置进行处理。过滤棉用于吸附注塑过程中产生的少量颗粒物，保证吸附装置治理效率，UV光氧化对异味有较好处置效果。</w:t>
            </w:r>
          </w:p>
          <w:p w14:paraId="44CE40FC">
            <w:pPr>
              <w:pStyle w:val="18"/>
              <w:bidi w:val="0"/>
              <w:rPr>
                <w:rFonts w:hint="default" w:eastAsia="宋体"/>
                <w:color w:val="auto"/>
                <w:highlight w:val="none"/>
                <w:lang w:val="en-US" w:eastAsia="zh-CN"/>
              </w:rPr>
            </w:pPr>
            <w:r>
              <w:rPr>
                <w:rFonts w:hint="eastAsia"/>
                <w:color w:val="auto"/>
                <w:highlight w:val="none"/>
                <w:lang w:val="en-US" w:eastAsia="zh-CN"/>
              </w:rPr>
              <w:t>对照2025年《国家污染防治技术指导目录》（环办科财函〔2025〕197号），“VOC</w:t>
            </w:r>
            <w:r>
              <w:rPr>
                <w:rFonts w:hint="eastAsia"/>
                <w:color w:val="auto"/>
                <w:highlight w:val="none"/>
                <w:vertAlign w:val="subscript"/>
                <w:lang w:val="en-US" w:eastAsia="zh-CN"/>
              </w:rPr>
              <w:t>S</w:t>
            </w:r>
            <w:r>
              <w:rPr>
                <w:rFonts w:hint="eastAsia"/>
                <w:color w:val="auto"/>
                <w:highlight w:val="none"/>
                <w:lang w:val="en-US" w:eastAsia="zh-CN"/>
              </w:rPr>
              <w:t>洗涤吸收净化技术、VOC</w:t>
            </w:r>
            <w:r>
              <w:rPr>
                <w:rFonts w:hint="eastAsia"/>
                <w:color w:val="auto"/>
                <w:highlight w:val="none"/>
                <w:vertAlign w:val="subscript"/>
                <w:lang w:val="en-US" w:eastAsia="zh-CN"/>
              </w:rPr>
              <w:t>S</w:t>
            </w:r>
            <w:r>
              <w:rPr>
                <w:rFonts w:hint="eastAsia"/>
                <w:color w:val="auto"/>
                <w:highlight w:val="none"/>
                <w:lang w:val="en-US" w:eastAsia="zh-CN"/>
              </w:rPr>
              <w:t>光催化及其组合净化技术、VOC</w:t>
            </w:r>
            <w:r>
              <w:rPr>
                <w:rFonts w:hint="eastAsia"/>
                <w:color w:val="auto"/>
                <w:highlight w:val="none"/>
                <w:vertAlign w:val="subscript"/>
                <w:lang w:val="en-US" w:eastAsia="zh-CN"/>
              </w:rPr>
              <w:t>S</w:t>
            </w:r>
            <w:r>
              <w:rPr>
                <w:rFonts w:hint="eastAsia"/>
                <w:color w:val="auto"/>
                <w:highlight w:val="none"/>
                <w:lang w:val="en-US" w:eastAsia="zh-CN"/>
              </w:rPr>
              <w:t>低温等离子体及其组合净化技术、VOC</w:t>
            </w:r>
            <w:r>
              <w:rPr>
                <w:rFonts w:hint="eastAsia"/>
                <w:color w:val="auto"/>
                <w:highlight w:val="none"/>
                <w:vertAlign w:val="subscript"/>
                <w:lang w:val="en-US" w:eastAsia="zh-CN"/>
              </w:rPr>
              <w:t>S</w:t>
            </w:r>
            <w:r>
              <w:rPr>
                <w:rFonts w:hint="eastAsia"/>
                <w:color w:val="auto"/>
                <w:highlight w:val="none"/>
                <w:lang w:val="en-US" w:eastAsia="zh-CN"/>
              </w:rPr>
              <w:t>光解（光氧化）及其组合净化技术”属于“低效类技术”，</w:t>
            </w:r>
            <w:r>
              <w:rPr>
                <w:rFonts w:ascii="宋体" w:hAnsi="宋体" w:eastAsia="宋体" w:cs="宋体"/>
                <w:color w:val="auto"/>
                <w:sz w:val="24"/>
                <w:szCs w:val="24"/>
                <w:highlight w:val="none"/>
              </w:rPr>
              <w:t>排除范围</w:t>
            </w:r>
            <w:r>
              <w:rPr>
                <w:rFonts w:hint="eastAsia" w:ascii="宋体" w:hAnsi="宋体" w:eastAsia="宋体" w:cs="宋体"/>
                <w:color w:val="auto"/>
                <w:sz w:val="24"/>
                <w:szCs w:val="24"/>
                <w:highlight w:val="none"/>
                <w:lang w:val="en-US" w:eastAsia="zh-CN"/>
              </w:rPr>
              <w:t>为</w:t>
            </w:r>
            <w:r>
              <w:rPr>
                <w:rFonts w:ascii="宋体" w:hAnsi="宋体" w:eastAsia="宋体" w:cs="宋体"/>
                <w:color w:val="auto"/>
                <w:sz w:val="24"/>
                <w:szCs w:val="24"/>
                <w:highlight w:val="none"/>
              </w:rPr>
              <w:t>恶臭异味治理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项目设置</w:t>
            </w:r>
            <w:r>
              <w:rPr>
                <w:rFonts w:hint="eastAsia"/>
                <w:color w:val="auto"/>
                <w:highlight w:val="none"/>
                <w:lang w:val="en-US" w:eastAsia="zh-CN"/>
              </w:rPr>
              <w:t>UV光氧化</w:t>
            </w:r>
            <w:r>
              <w:rPr>
                <w:rFonts w:hint="eastAsia" w:ascii="宋体" w:hAnsi="宋体" w:eastAsia="宋体" w:cs="宋体"/>
                <w:color w:val="auto"/>
                <w:sz w:val="24"/>
                <w:szCs w:val="24"/>
                <w:highlight w:val="none"/>
                <w:lang w:val="en-US" w:eastAsia="zh-CN"/>
              </w:rPr>
              <w:t>用于恶臭异味治理可行。</w:t>
            </w:r>
          </w:p>
          <w:p w14:paraId="38B2464E">
            <w:pPr>
              <w:pStyle w:val="18"/>
              <w:bidi w:val="0"/>
              <w:rPr>
                <w:rFonts w:hint="default"/>
                <w:color w:val="auto"/>
                <w:highlight w:val="none"/>
                <w:lang w:val="en-US" w:eastAsia="zh-CN"/>
              </w:rPr>
            </w:pPr>
            <w:r>
              <w:rPr>
                <w:rFonts w:hint="eastAsia"/>
                <w:color w:val="auto"/>
                <w:highlight w:val="none"/>
                <w:lang w:val="en-US" w:eastAsia="zh-CN"/>
              </w:rPr>
              <w:t>参考</w:t>
            </w:r>
            <w:r>
              <w:rPr>
                <w:rFonts w:hint="eastAsia"/>
                <w:color w:val="auto"/>
                <w:highlight w:val="none"/>
              </w:rPr>
              <w:t>《排污许可证申请与核发技术规范 橡胶和塑料制品工业》（HJ1122—2020）</w:t>
            </w:r>
            <w:r>
              <w:rPr>
                <w:rFonts w:hint="eastAsia"/>
                <w:color w:val="auto"/>
                <w:highlight w:val="none"/>
                <w:lang w:eastAsia="zh-CN"/>
              </w:rPr>
              <w:t>“</w:t>
            </w:r>
            <w:r>
              <w:rPr>
                <w:rFonts w:hint="eastAsia"/>
                <w:color w:val="auto"/>
                <w:highlight w:val="none"/>
              </w:rPr>
              <w:t>表 A.2 塑料制品工业排污单位废气污染防治可行技术参考表</w:t>
            </w:r>
            <w:r>
              <w:rPr>
                <w:rFonts w:hint="eastAsia"/>
                <w:color w:val="auto"/>
                <w:highlight w:val="none"/>
                <w:lang w:eastAsia="zh-CN"/>
              </w:rPr>
              <w:t>”，</w:t>
            </w:r>
            <w:r>
              <w:rPr>
                <w:rFonts w:hint="eastAsia"/>
                <w:color w:val="auto"/>
                <w:highlight w:val="none"/>
                <w:lang w:val="en-US" w:eastAsia="zh-CN"/>
              </w:rPr>
              <w:t>颗粒物治理可行技术为袋式除尘，滤筒/滤芯除尘；非甲烷总烃治理可行技术为</w:t>
            </w:r>
            <w:r>
              <w:rPr>
                <w:rFonts w:hint="eastAsia"/>
                <w:color w:val="auto"/>
                <w:highlight w:val="none"/>
              </w:rPr>
              <w:t>喷淋</w:t>
            </w:r>
            <w:r>
              <w:rPr>
                <w:rFonts w:hint="eastAsia"/>
                <w:color w:val="auto"/>
                <w:highlight w:val="none"/>
                <w:lang w:eastAsia="zh-CN"/>
              </w:rPr>
              <w:t>，</w:t>
            </w:r>
            <w:r>
              <w:rPr>
                <w:rFonts w:hint="eastAsia"/>
                <w:color w:val="auto"/>
                <w:highlight w:val="none"/>
              </w:rPr>
              <w:t>吸附</w:t>
            </w:r>
            <w:r>
              <w:rPr>
                <w:rFonts w:hint="eastAsia"/>
                <w:color w:val="auto"/>
                <w:highlight w:val="none"/>
                <w:lang w:eastAsia="zh-CN"/>
              </w:rPr>
              <w:t>，</w:t>
            </w:r>
            <w:r>
              <w:rPr>
                <w:rFonts w:hint="eastAsia"/>
                <w:color w:val="auto"/>
                <w:highlight w:val="none"/>
              </w:rPr>
              <w:t>吸附浓缩+热力燃烧/催化燃烧</w:t>
            </w:r>
            <w:r>
              <w:rPr>
                <w:rFonts w:hint="eastAsia"/>
                <w:color w:val="auto"/>
                <w:highlight w:val="none"/>
                <w:lang w:eastAsia="zh-CN"/>
              </w:rPr>
              <w:t>；</w:t>
            </w:r>
            <w:r>
              <w:rPr>
                <w:rFonts w:hint="eastAsia"/>
                <w:color w:val="auto"/>
                <w:highlight w:val="none"/>
                <w:lang w:val="en-US" w:eastAsia="zh-CN"/>
              </w:rPr>
              <w:t>臭气浓度、恶臭特征物质</w:t>
            </w:r>
            <w:r>
              <w:rPr>
                <w:rFonts w:hint="eastAsia"/>
                <w:color w:val="auto"/>
                <w:highlight w:val="none"/>
              </w:rPr>
              <w:t>须采用喷淋、吸附、低温等离子体、UV光氧化/光催化、生物法</w:t>
            </w:r>
            <w:r>
              <w:rPr>
                <w:rFonts w:hint="eastAsia"/>
                <w:color w:val="auto"/>
                <w:highlight w:val="none"/>
                <w:lang w:val="en-US" w:eastAsia="zh-CN"/>
              </w:rPr>
              <w:t>两种</w:t>
            </w:r>
            <w:r>
              <w:rPr>
                <w:rFonts w:hint="eastAsia"/>
                <w:color w:val="auto"/>
                <w:highlight w:val="none"/>
              </w:rPr>
              <w:t>及以上组合技术，</w:t>
            </w:r>
            <w:r>
              <w:rPr>
                <w:rFonts w:hint="eastAsia"/>
                <w:color w:val="auto"/>
                <w:highlight w:val="none"/>
                <w:lang w:val="en-US" w:eastAsia="zh-CN"/>
              </w:rPr>
              <w:t>项目采用</w:t>
            </w:r>
            <w:r>
              <w:rPr>
                <w:rFonts w:hint="eastAsia"/>
                <w:color w:val="auto"/>
                <w:highlight w:val="none"/>
              </w:rPr>
              <w:t>过滤棉+</w:t>
            </w:r>
            <w:r>
              <w:rPr>
                <w:rFonts w:hint="eastAsia"/>
                <w:color w:val="auto"/>
                <w:highlight w:val="none"/>
                <w:lang w:val="en-US" w:eastAsia="zh-CN"/>
              </w:rPr>
              <w:t>UV光氧化+</w:t>
            </w:r>
            <w:r>
              <w:rPr>
                <w:rFonts w:hint="eastAsia"/>
                <w:color w:val="auto"/>
                <w:highlight w:val="none"/>
              </w:rPr>
              <w:t>二级活性炭吸附的废气处理方式属于推荐的污染防治设施可行技术</w:t>
            </w:r>
            <w:r>
              <w:rPr>
                <w:rFonts w:hint="eastAsia"/>
                <w:color w:val="auto"/>
                <w:highlight w:val="none"/>
                <w:lang w:eastAsia="zh-CN"/>
              </w:rPr>
              <w:t>，</w:t>
            </w:r>
            <w:r>
              <w:rPr>
                <w:rFonts w:hint="eastAsia"/>
                <w:color w:val="auto"/>
                <w:highlight w:val="none"/>
                <w:lang w:val="en-US" w:eastAsia="zh-CN"/>
              </w:rPr>
              <w:t>废气治理设施可行。</w:t>
            </w:r>
          </w:p>
          <w:p w14:paraId="0C753A24">
            <w:pPr>
              <w:pStyle w:val="18"/>
              <w:bidi w:val="0"/>
              <w:rPr>
                <w:rFonts w:hint="eastAsia"/>
                <w:b/>
                <w:bCs/>
                <w:color w:val="auto"/>
                <w:highlight w:val="none"/>
                <w:lang w:val="en-US" w:eastAsia="zh-CN"/>
              </w:rPr>
            </w:pPr>
            <w:r>
              <w:rPr>
                <w:rFonts w:hint="eastAsia"/>
                <w:b/>
                <w:bCs/>
                <w:color w:val="auto"/>
                <w:highlight w:val="none"/>
                <w:lang w:val="en-US" w:eastAsia="zh-CN"/>
              </w:rPr>
              <w:t>废气治理设施相关要求：</w:t>
            </w:r>
          </w:p>
          <w:p w14:paraId="1B2A9598">
            <w:pPr>
              <w:pStyle w:val="18"/>
              <w:bidi w:val="0"/>
              <w:rPr>
                <w:rFonts w:hint="eastAsia"/>
                <w:color w:val="auto"/>
                <w:highlight w:val="none"/>
                <w:lang w:val="en-US" w:eastAsia="zh-CN"/>
              </w:rPr>
            </w:pPr>
            <w:r>
              <w:rPr>
                <w:rFonts w:hint="eastAsia"/>
                <w:color w:val="auto"/>
                <w:highlight w:val="none"/>
                <w:lang w:val="en-US" w:eastAsia="zh-CN"/>
              </w:rPr>
              <w:t>根据《2025年重庆市夏季空气质量提升工作方案》（渝环〔2025〕41号）》，本项目废气治理设施应满足以下要求：</w:t>
            </w:r>
          </w:p>
          <w:p w14:paraId="205A1FA0">
            <w:pPr>
              <w:pStyle w:val="18"/>
              <w:bidi w:val="0"/>
              <w:rPr>
                <w:color w:val="auto"/>
                <w:highlight w:val="none"/>
              </w:rPr>
            </w:pPr>
            <w:r>
              <w:rPr>
                <w:rFonts w:hint="eastAsia"/>
                <w:color w:val="auto"/>
                <w:highlight w:val="none"/>
              </w:rPr>
              <w:t>（一）</w:t>
            </w:r>
            <w:r>
              <w:rPr>
                <w:color w:val="auto"/>
                <w:highlight w:val="none"/>
              </w:rPr>
              <w:t>总体要求</w:t>
            </w:r>
          </w:p>
          <w:p w14:paraId="0E7C9F37">
            <w:pPr>
              <w:pStyle w:val="18"/>
              <w:bidi w:val="0"/>
              <w:rPr>
                <w:color w:val="auto"/>
                <w:highlight w:val="none"/>
              </w:rPr>
            </w:pPr>
            <w:r>
              <w:rPr>
                <w:color w:val="auto"/>
                <w:highlight w:val="none"/>
              </w:rPr>
              <w:t>活性炭治理设施应设计合理、管理规范，填装活性炭应质量合格、足量添加、及时更换，废活性炭应妥善处置，相关要求应符合《重点行业挥发性有机物综合治理方案》（环大气〔2019〕53号）、《2020年挥发性有机物治理攻坚方案》（环大气〔2020〕33号）、《关于加快解决当前挥发性有机物治理突出问题的通知》（环大气〔2021〕65号）、《吸附法工业有机废气治理工程技术规范》</w:t>
            </w:r>
            <w:r>
              <w:rPr>
                <w:rFonts w:hint="eastAsia"/>
                <w:color w:val="auto"/>
                <w:highlight w:val="none"/>
              </w:rPr>
              <w:t>（</w:t>
            </w:r>
            <w:r>
              <w:rPr>
                <w:color w:val="auto"/>
                <w:highlight w:val="none"/>
              </w:rPr>
              <w:t>HJ 2026</w:t>
            </w:r>
            <w:r>
              <w:rPr>
                <w:rFonts w:hint="eastAsia"/>
                <w:color w:val="auto"/>
                <w:highlight w:val="none"/>
              </w:rPr>
              <w:t>-</w:t>
            </w:r>
            <w:r>
              <w:rPr>
                <w:color w:val="auto"/>
                <w:highlight w:val="none"/>
              </w:rPr>
              <w:t>2013</w:t>
            </w:r>
            <w:r>
              <w:rPr>
                <w:rFonts w:hint="eastAsia"/>
                <w:color w:val="auto"/>
                <w:highlight w:val="none"/>
              </w:rPr>
              <w:t>）</w:t>
            </w:r>
            <w:r>
              <w:rPr>
                <w:color w:val="auto"/>
                <w:highlight w:val="none"/>
              </w:rPr>
              <w:t>等标准、政策文件要求。</w:t>
            </w:r>
          </w:p>
          <w:p w14:paraId="789368D2">
            <w:pPr>
              <w:pStyle w:val="18"/>
              <w:bidi w:val="0"/>
              <w:rPr>
                <w:color w:val="auto"/>
                <w:highlight w:val="none"/>
              </w:rPr>
            </w:pPr>
            <w:r>
              <w:rPr>
                <w:rFonts w:hint="eastAsia"/>
                <w:color w:val="auto"/>
                <w:highlight w:val="none"/>
              </w:rPr>
              <w:t>（二）</w:t>
            </w:r>
            <w:r>
              <w:rPr>
                <w:color w:val="auto"/>
                <w:highlight w:val="none"/>
              </w:rPr>
              <w:t>设施风速控制要求</w:t>
            </w:r>
          </w:p>
          <w:p w14:paraId="4E72E359">
            <w:pPr>
              <w:pStyle w:val="18"/>
              <w:bidi w:val="0"/>
              <w:rPr>
                <w:color w:val="auto"/>
                <w:highlight w:val="none"/>
              </w:rPr>
            </w:pPr>
            <w:r>
              <w:rPr>
                <w:color w:val="auto"/>
                <w:highlight w:val="none"/>
              </w:rPr>
              <w:t>产生VOC</w:t>
            </w:r>
            <w:r>
              <w:rPr>
                <w:rFonts w:hint="eastAsia"/>
                <w:color w:val="auto"/>
                <w:highlight w:val="none"/>
                <w:vertAlign w:val="subscript"/>
                <w:lang w:val="en-US" w:eastAsia="zh-CN"/>
              </w:rPr>
              <w:t>S</w:t>
            </w:r>
            <w:r>
              <w:rPr>
                <w:color w:val="auto"/>
                <w:highlight w:val="none"/>
              </w:rPr>
              <w:t>的生产环节优先采用密闭设备、在密闭空间中操作或采用全密闭集气罩收集方式，并保持负压运行。对采用局部收集方式的企业，距废气收集系统排风罩开口面最远处的VOC</w:t>
            </w:r>
            <w:r>
              <w:rPr>
                <w:rFonts w:hint="eastAsia"/>
                <w:color w:val="auto"/>
                <w:highlight w:val="none"/>
                <w:vertAlign w:val="subscript"/>
                <w:lang w:val="en-US" w:eastAsia="zh-CN"/>
              </w:rPr>
              <w:t>S</w:t>
            </w:r>
            <w:r>
              <w:rPr>
                <w:color w:val="auto"/>
                <w:highlight w:val="none"/>
              </w:rPr>
              <w:t>无组织排放位置控制风速不应低于0.3m/s。</w:t>
            </w:r>
          </w:p>
          <w:p w14:paraId="080E4AAD">
            <w:pPr>
              <w:pStyle w:val="18"/>
              <w:bidi w:val="0"/>
              <w:rPr>
                <w:color w:val="auto"/>
                <w:highlight w:val="none"/>
              </w:rPr>
            </w:pPr>
            <w:r>
              <w:rPr>
                <w:color w:val="auto"/>
                <w:highlight w:val="none"/>
              </w:rPr>
              <w:t>废气收集系统的输送管道应密闭、无破损。活性炭应装填齐整，避免气流短路。采用颗粒活性炭时，气体流速宜低于0.60m/s；采用活性炭纤维时，气体流速宜低于0.15m/s；采用蜂窝活性炭时，气体流速宜低于1.20m/s。</w:t>
            </w:r>
          </w:p>
          <w:p w14:paraId="64211BCB">
            <w:pPr>
              <w:pStyle w:val="18"/>
              <w:bidi w:val="0"/>
              <w:rPr>
                <w:color w:val="auto"/>
                <w:highlight w:val="none"/>
              </w:rPr>
            </w:pPr>
            <w:r>
              <w:rPr>
                <w:rFonts w:hint="eastAsia"/>
                <w:color w:val="auto"/>
                <w:highlight w:val="none"/>
              </w:rPr>
              <w:t>（三）</w:t>
            </w:r>
            <w:r>
              <w:rPr>
                <w:color w:val="auto"/>
                <w:highlight w:val="none"/>
              </w:rPr>
              <w:t>设施质量控制要求</w:t>
            </w:r>
          </w:p>
          <w:p w14:paraId="525A8CB5">
            <w:pPr>
              <w:pStyle w:val="18"/>
              <w:bidi w:val="0"/>
              <w:rPr>
                <w:color w:val="auto"/>
                <w:highlight w:val="none"/>
              </w:rPr>
            </w:pPr>
            <w:r>
              <w:rPr>
                <w:color w:val="auto"/>
                <w:highlight w:val="none"/>
              </w:rPr>
              <w:t>吸附装置内部结构应设计合理，气体流通顺畅、无短路、无死角。吸附装置及配套管道应密闭，主风机宜安装在吸附装置后端，使装置形成负压，泄漏检测值不应超过500μmol/mol，亦不应有感官可察觉泄漏。应按规范设置采样口，便于监督监测和日常监控活性炭吸附效率。</w:t>
            </w:r>
          </w:p>
          <w:p w14:paraId="1D17AAD7">
            <w:pPr>
              <w:pStyle w:val="18"/>
              <w:bidi w:val="0"/>
              <w:rPr>
                <w:color w:val="auto"/>
                <w:highlight w:val="none"/>
              </w:rPr>
            </w:pPr>
            <w:r>
              <w:rPr>
                <w:rFonts w:hint="eastAsia"/>
                <w:color w:val="auto"/>
                <w:highlight w:val="none"/>
              </w:rPr>
              <w:t>（四）</w:t>
            </w:r>
            <w:r>
              <w:rPr>
                <w:color w:val="auto"/>
                <w:highlight w:val="none"/>
              </w:rPr>
              <w:t>活性炭装填控制要求</w:t>
            </w:r>
          </w:p>
          <w:p w14:paraId="2B5F30AB">
            <w:pPr>
              <w:pStyle w:val="18"/>
              <w:bidi w:val="0"/>
              <w:rPr>
                <w:color w:val="auto"/>
                <w:highlight w:val="none"/>
              </w:rPr>
            </w:pPr>
            <w:r>
              <w:rPr>
                <w:color w:val="auto"/>
                <w:highlight w:val="none"/>
              </w:rPr>
              <w:t>颗粒活性炭碘吸附值≥800mg/g或四氯化碳吸附率≥45%；蜂窝活性炭碘吸附值≥650mg/g或四氯化碳吸附率≥35%；活性炭纤维比表面积应不低于1100m</w:t>
            </w:r>
            <w:r>
              <w:rPr>
                <w:color w:val="auto"/>
                <w:highlight w:val="none"/>
                <w:vertAlign w:val="superscript"/>
              </w:rPr>
              <w:t>2</w:t>
            </w:r>
            <w:r>
              <w:rPr>
                <w:color w:val="auto"/>
                <w:highlight w:val="none"/>
              </w:rPr>
              <w:t>/g（BET法）或四氯化碳吸附率≥65%。企业应备好所购活性炭厂家关于活性炭碘吸附值、四氯化碳吸附率、比表面积等相关检测报告等证明材料。</w:t>
            </w:r>
          </w:p>
          <w:p w14:paraId="59F66521">
            <w:pPr>
              <w:pStyle w:val="18"/>
              <w:bidi w:val="0"/>
              <w:rPr>
                <w:color w:val="auto"/>
                <w:highlight w:val="none"/>
              </w:rPr>
            </w:pPr>
            <w:r>
              <w:rPr>
                <w:color w:val="auto"/>
                <w:highlight w:val="none"/>
              </w:rPr>
              <w:t>应考虑VOC</w:t>
            </w:r>
            <w:r>
              <w:rPr>
                <w:rFonts w:hint="eastAsia"/>
                <w:color w:val="auto"/>
                <w:highlight w:val="none"/>
                <w:lang w:val="en-US" w:eastAsia="zh-CN"/>
              </w:rPr>
              <w:t>S</w:t>
            </w:r>
            <w:r>
              <w:rPr>
                <w:color w:val="auto"/>
                <w:highlight w:val="none"/>
              </w:rPr>
              <w:t>产生量等因素科学合理确定活性炭装填量及更换周期，并在操作规程中予以载明。采用一次性颗粒状活性炭处理VOC</w:t>
            </w:r>
            <w:r>
              <w:rPr>
                <w:rFonts w:hint="eastAsia"/>
                <w:color w:val="auto"/>
                <w:highlight w:val="none"/>
                <w:lang w:val="en-US" w:eastAsia="zh-CN"/>
              </w:rPr>
              <w:t>S</w:t>
            </w:r>
            <w:r>
              <w:rPr>
                <w:color w:val="auto"/>
                <w:highlight w:val="none"/>
              </w:rPr>
              <w:t>废气，年活性炭使用量宜不应低于VOC</w:t>
            </w:r>
            <w:r>
              <w:rPr>
                <w:rFonts w:hint="eastAsia"/>
                <w:color w:val="auto"/>
                <w:highlight w:val="none"/>
                <w:lang w:val="en-US" w:eastAsia="zh-CN"/>
              </w:rPr>
              <w:t>S</w:t>
            </w:r>
            <w:r>
              <w:rPr>
                <w:color w:val="auto"/>
                <w:highlight w:val="none"/>
              </w:rPr>
              <w:t>产生量的5倍，即1吨VOC</w:t>
            </w:r>
            <w:r>
              <w:rPr>
                <w:rFonts w:hint="eastAsia"/>
                <w:color w:val="auto"/>
                <w:highlight w:val="none"/>
                <w:lang w:val="en-US" w:eastAsia="zh-CN"/>
              </w:rPr>
              <w:t>S</w:t>
            </w:r>
            <w:r>
              <w:rPr>
                <w:color w:val="auto"/>
                <w:highlight w:val="none"/>
              </w:rPr>
              <w:t>产生量，需5吨活性炭用于吸附。活性炭更换周期宜不超过累计运行500小时或3个月。</w:t>
            </w:r>
          </w:p>
          <w:p w14:paraId="42EC7A4C">
            <w:pPr>
              <w:pStyle w:val="18"/>
              <w:bidi w:val="0"/>
              <w:rPr>
                <w:color w:val="auto"/>
                <w:highlight w:val="none"/>
              </w:rPr>
            </w:pPr>
            <w:r>
              <w:rPr>
                <w:color w:val="auto"/>
                <w:highlight w:val="none"/>
              </w:rPr>
              <w:t>建立全过程管理台账，购入记录和质量规格应附发票、检测报告等关键支撑材料；应准确、及时填写更换记录并保存；废旧活性炭妥善贮存，贮存过程中产生的VOC</w:t>
            </w:r>
            <w:r>
              <w:rPr>
                <w:rFonts w:hint="eastAsia"/>
                <w:color w:val="auto"/>
                <w:highlight w:val="none"/>
                <w:lang w:val="en-US" w:eastAsia="zh-CN"/>
              </w:rPr>
              <w:t>S</w:t>
            </w:r>
            <w:r>
              <w:rPr>
                <w:color w:val="auto"/>
                <w:highlight w:val="none"/>
              </w:rPr>
              <w:t>接入处理设施，将废旧活性炭交有资质的单位处理处置，在设施运维台账中记录更换时间和使用量。</w:t>
            </w:r>
          </w:p>
          <w:p w14:paraId="415BE6A8">
            <w:pPr>
              <w:pStyle w:val="18"/>
              <w:bidi w:val="0"/>
              <w:rPr>
                <w:color w:val="auto"/>
                <w:highlight w:val="none"/>
              </w:rPr>
            </w:pPr>
            <w:r>
              <w:rPr>
                <w:color w:val="auto"/>
                <w:highlight w:val="none"/>
              </w:rPr>
              <w:t>VOC</w:t>
            </w:r>
            <w:r>
              <w:rPr>
                <w:rFonts w:hint="eastAsia"/>
                <w:color w:val="auto"/>
                <w:highlight w:val="none"/>
                <w:lang w:val="en-US" w:eastAsia="zh-CN"/>
              </w:rPr>
              <w:t>S</w:t>
            </w:r>
            <w:r>
              <w:rPr>
                <w:color w:val="auto"/>
                <w:highlight w:val="none"/>
              </w:rPr>
              <w:t>处理涉及的吸附剂、吸收剂等治理设施耗材，企业应及时清理、更换，确保设施能够稳定高效运行；对于VOC</w:t>
            </w:r>
            <w:r>
              <w:rPr>
                <w:rFonts w:hint="eastAsia"/>
                <w:color w:val="auto"/>
                <w:highlight w:val="none"/>
                <w:lang w:val="en-US" w:eastAsia="zh-CN"/>
              </w:rPr>
              <w:t>S</w:t>
            </w:r>
            <w:r>
              <w:rPr>
                <w:color w:val="auto"/>
                <w:highlight w:val="none"/>
              </w:rPr>
              <w:t>治理设施产生的废过滤棉、废催化剂、废吸附剂等，企业应及时清运；属于危险废物的应及时处理处置。</w:t>
            </w:r>
          </w:p>
          <w:p w14:paraId="244159E3">
            <w:pPr>
              <w:pStyle w:val="18"/>
              <w:bidi w:val="0"/>
              <w:rPr>
                <w:rFonts w:hint="eastAsia"/>
                <w:color w:val="auto"/>
                <w:highlight w:val="none"/>
                <w:lang w:val="en-US" w:eastAsia="zh-CN"/>
              </w:rPr>
            </w:pPr>
            <w:r>
              <w:rPr>
                <w:rFonts w:hint="eastAsia"/>
                <w:color w:val="auto"/>
                <w:highlight w:val="none"/>
                <w:lang w:val="en-US" w:eastAsia="zh-CN"/>
              </w:rPr>
              <w:t>项目拟设置过滤棉+UV光氧化+二级活性炭吸附装置，设置过滤棉，可吸附注塑废气中少量气溶胶颗粒物，保证活性炭吸附装置吸附效果。采用蜂窝活性炭，应采用符合技术要求的活性炭。</w:t>
            </w:r>
          </w:p>
          <w:p w14:paraId="606F01B4">
            <w:pPr>
              <w:pStyle w:val="18"/>
              <w:bidi w:val="0"/>
              <w:rPr>
                <w:rFonts w:hint="default"/>
                <w:color w:val="auto"/>
                <w:highlight w:val="none"/>
                <w:lang w:val="en-US" w:eastAsia="zh-CN"/>
              </w:rPr>
            </w:pPr>
            <w:r>
              <w:rPr>
                <w:rFonts w:hint="eastAsia"/>
                <w:color w:val="auto"/>
                <w:highlight w:val="none"/>
                <w:lang w:val="en-US" w:eastAsia="zh-CN"/>
              </w:rPr>
              <w:t>项目设计集气风量20000m</w:t>
            </w:r>
            <w:r>
              <w:rPr>
                <w:rFonts w:hint="eastAsia"/>
                <w:color w:val="auto"/>
                <w:highlight w:val="none"/>
                <w:vertAlign w:val="superscript"/>
                <w:lang w:val="en-US" w:eastAsia="zh-CN"/>
              </w:rPr>
              <w:t>3</w:t>
            </w:r>
            <w:r>
              <w:rPr>
                <w:rFonts w:hint="eastAsia"/>
                <w:color w:val="auto"/>
                <w:highlight w:val="none"/>
                <w:lang w:val="en-US" w:eastAsia="zh-CN"/>
              </w:rPr>
              <w:t>/h，</w:t>
            </w:r>
            <w:r>
              <w:rPr>
                <w:color w:val="auto"/>
                <w:highlight w:val="none"/>
              </w:rPr>
              <w:t>气体流速宜低于1.20m/s</w:t>
            </w:r>
            <w:r>
              <w:rPr>
                <w:rFonts w:hint="eastAsia"/>
                <w:color w:val="auto"/>
                <w:highlight w:val="none"/>
                <w:lang w:eastAsia="zh-CN"/>
              </w:rPr>
              <w:t>，</w:t>
            </w:r>
            <w:r>
              <w:rPr>
                <w:rFonts w:hint="eastAsia"/>
                <w:color w:val="auto"/>
                <w:highlight w:val="none"/>
                <w:lang w:val="en-US" w:eastAsia="zh-CN"/>
              </w:rPr>
              <w:t>活性炭</w:t>
            </w:r>
            <w:r>
              <w:rPr>
                <w:color w:val="auto"/>
                <w:highlight w:val="none"/>
              </w:rPr>
              <w:t>过炭面积约</w:t>
            </w:r>
            <w:r>
              <w:rPr>
                <w:rFonts w:hint="eastAsia"/>
                <w:color w:val="auto"/>
                <w:highlight w:val="none"/>
                <w:lang w:val="en-US" w:eastAsia="zh-CN"/>
              </w:rPr>
              <w:t>4.63m</w:t>
            </w:r>
            <w:r>
              <w:rPr>
                <w:rFonts w:hint="eastAsia"/>
                <w:color w:val="auto"/>
                <w:highlight w:val="none"/>
                <w:vertAlign w:val="superscript"/>
                <w:lang w:val="en-US" w:eastAsia="zh-CN"/>
              </w:rPr>
              <w:t>2</w:t>
            </w:r>
            <w:r>
              <w:rPr>
                <w:rFonts w:hint="eastAsia"/>
                <w:color w:val="auto"/>
                <w:highlight w:val="none"/>
                <w:lang w:val="en-US" w:eastAsia="zh-CN"/>
              </w:rPr>
              <w:t>，则活性炭填充量约0.926m</w:t>
            </w:r>
            <w:r>
              <w:rPr>
                <w:rFonts w:hint="eastAsia"/>
                <w:color w:val="auto"/>
                <w:highlight w:val="none"/>
                <w:vertAlign w:val="superscript"/>
                <w:lang w:val="en-US" w:eastAsia="zh-CN"/>
              </w:rPr>
              <w:t>3</w:t>
            </w:r>
            <w:r>
              <w:rPr>
                <w:rFonts w:hint="eastAsia"/>
                <w:color w:val="auto"/>
                <w:highlight w:val="none"/>
                <w:lang w:val="en-US" w:eastAsia="zh-CN"/>
              </w:rPr>
              <w:t>，蜂窝活性炭密度约0.45t/m</w:t>
            </w:r>
            <w:r>
              <w:rPr>
                <w:rFonts w:hint="eastAsia"/>
                <w:color w:val="auto"/>
                <w:highlight w:val="none"/>
                <w:vertAlign w:val="superscript"/>
                <w:lang w:val="en-US" w:eastAsia="zh-CN"/>
              </w:rPr>
              <w:t>3</w:t>
            </w:r>
            <w:r>
              <w:rPr>
                <w:rFonts w:hint="eastAsia"/>
                <w:color w:val="auto"/>
                <w:highlight w:val="none"/>
                <w:lang w:val="en-US" w:eastAsia="zh-CN"/>
              </w:rPr>
              <w:t>，则活性炭填充量约0.417t，二级活性炭装置装填量不应低于0.834t，按0.85t计，</w:t>
            </w:r>
            <w:r>
              <w:rPr>
                <w:color w:val="auto"/>
                <w:highlight w:val="none"/>
              </w:rPr>
              <w:t>活性炭更换周期宜不超过累计运行500小时或3个月</w:t>
            </w:r>
            <w:r>
              <w:rPr>
                <w:rFonts w:hint="eastAsia"/>
                <w:color w:val="auto"/>
                <w:highlight w:val="none"/>
                <w:lang w:eastAsia="zh-CN"/>
              </w:rPr>
              <w:t>，</w:t>
            </w:r>
            <w:r>
              <w:rPr>
                <w:rFonts w:hint="eastAsia"/>
                <w:color w:val="auto"/>
                <w:highlight w:val="none"/>
                <w:lang w:val="en-US" w:eastAsia="zh-CN"/>
              </w:rPr>
              <w:t>年运行7200h，活性炭更换次数15次计。年蜂窝活性炭使用量约为12.75t。</w:t>
            </w:r>
          </w:p>
          <w:p w14:paraId="23EE004B">
            <w:pPr>
              <w:pStyle w:val="18"/>
              <w:rPr>
                <w:rFonts w:hint="eastAsia"/>
                <w:b/>
                <w:bCs/>
                <w:color w:val="auto"/>
                <w:highlight w:val="none"/>
                <w:lang w:val="en-US" w:eastAsia="zh-CN"/>
              </w:rPr>
            </w:pPr>
            <w:r>
              <w:rPr>
                <w:rFonts w:hint="eastAsia"/>
                <w:b/>
                <w:bCs/>
                <w:color w:val="auto"/>
                <w:highlight w:val="none"/>
                <w:lang w:val="en-US" w:eastAsia="zh-CN"/>
              </w:rPr>
              <w:t>达标分析</w:t>
            </w:r>
          </w:p>
          <w:p w14:paraId="1DED890E">
            <w:pPr>
              <w:pStyle w:val="18"/>
              <w:rPr>
                <w:color w:val="auto"/>
                <w:highlight w:val="none"/>
              </w:rPr>
            </w:pPr>
            <w:r>
              <w:rPr>
                <w:rFonts w:hint="eastAsia"/>
                <w:color w:val="auto"/>
                <w:highlight w:val="none"/>
              </w:rPr>
              <w:t>项目废气污染物</w:t>
            </w:r>
            <w:r>
              <w:rPr>
                <w:rFonts w:hint="eastAsia"/>
                <w:color w:val="auto"/>
                <w:highlight w:val="none"/>
                <w:lang w:val="en-US" w:eastAsia="zh-CN"/>
              </w:rPr>
              <w:t>治理</w:t>
            </w:r>
            <w:r>
              <w:rPr>
                <w:rFonts w:hint="eastAsia"/>
                <w:color w:val="auto"/>
                <w:highlight w:val="none"/>
              </w:rPr>
              <w:t>采取可行技术，污染物实现达标稳定排放，根据</w:t>
            </w:r>
            <w:r>
              <w:rPr>
                <w:rFonts w:hint="eastAsia"/>
                <w:color w:val="auto"/>
                <w:highlight w:val="none"/>
                <w:lang w:val="en-US" w:eastAsia="zh-CN"/>
              </w:rPr>
              <w:t>污染物源强</w:t>
            </w:r>
            <w:r>
              <w:rPr>
                <w:rFonts w:hint="eastAsia"/>
                <w:color w:val="auto"/>
                <w:highlight w:val="none"/>
              </w:rPr>
              <w:t>数据，结合项目污染物排放执行标准，</w:t>
            </w:r>
            <w:r>
              <w:rPr>
                <w:rFonts w:hint="eastAsia"/>
                <w:color w:val="auto"/>
                <w:highlight w:val="none"/>
                <w:lang w:eastAsia="zh-CN"/>
              </w:rPr>
              <w:t>扩建项目</w:t>
            </w:r>
            <w:r>
              <w:rPr>
                <w:color w:val="auto"/>
                <w:highlight w:val="none"/>
              </w:rPr>
              <w:t>废气</w:t>
            </w:r>
            <w:r>
              <w:rPr>
                <w:rFonts w:hint="eastAsia"/>
                <w:color w:val="auto"/>
                <w:highlight w:val="none"/>
              </w:rPr>
              <w:t>污染物排放</w:t>
            </w:r>
            <w:r>
              <w:rPr>
                <w:color w:val="auto"/>
                <w:highlight w:val="none"/>
              </w:rPr>
              <w:t>达标情况见</w:t>
            </w:r>
            <w:r>
              <w:rPr>
                <w:color w:val="auto"/>
                <w:highlight w:val="none"/>
              </w:rPr>
              <w:fldChar w:fldCharType="begin"/>
            </w:r>
            <w:r>
              <w:rPr>
                <w:color w:val="auto"/>
                <w:highlight w:val="none"/>
              </w:rPr>
              <w:instrText xml:space="preserve"> REF _Ref20738 \h </w:instrText>
            </w:r>
            <w:r>
              <w:rPr>
                <w:color w:val="auto"/>
                <w:highlight w:val="none"/>
              </w:rPr>
              <w:fldChar w:fldCharType="separate"/>
            </w:r>
            <w:r>
              <w:rPr>
                <w:color w:val="auto"/>
                <w:highlight w:val="none"/>
              </w:rPr>
              <w:t>表4-7</w:t>
            </w:r>
            <w:r>
              <w:rPr>
                <w:color w:val="auto"/>
                <w:highlight w:val="none"/>
              </w:rPr>
              <w:fldChar w:fldCharType="end"/>
            </w:r>
            <w:r>
              <w:rPr>
                <w:color w:val="auto"/>
                <w:highlight w:val="none"/>
              </w:rPr>
              <w:t>。</w:t>
            </w:r>
          </w:p>
          <w:p w14:paraId="79E19D0D">
            <w:pPr>
              <w:pStyle w:val="19"/>
              <w:keepNext w:val="0"/>
              <w:keepLines w:val="0"/>
              <w:pageBreakBefore w:val="0"/>
              <w:widowControl w:val="0"/>
              <w:kinsoku w:val="0"/>
              <w:wordWrap w:val="0"/>
              <w:overflowPunct/>
              <w:topLinePunct w:val="0"/>
              <w:autoSpaceDE w:val="0"/>
              <w:autoSpaceDN/>
              <w:bidi w:val="0"/>
              <w:adjustRightInd/>
              <w:snapToGrid/>
              <w:spacing w:before="156"/>
              <w:textAlignment w:val="auto"/>
              <w:rPr>
                <w:color w:val="auto"/>
                <w:highlight w:val="none"/>
              </w:rPr>
            </w:pPr>
            <w:bookmarkStart w:id="38" w:name="_Ref20738"/>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7</w:t>
            </w:r>
            <w:r>
              <w:rPr>
                <w:color w:val="auto"/>
                <w:highlight w:val="none"/>
              </w:rPr>
              <w:fldChar w:fldCharType="end"/>
            </w:r>
            <w:bookmarkEnd w:id="38"/>
            <w:r>
              <w:rPr>
                <w:color w:val="auto"/>
                <w:highlight w:val="none"/>
              </w:rPr>
              <w:t xml:space="preserve">  </w:t>
            </w:r>
            <w:r>
              <w:rPr>
                <w:rFonts w:hint="eastAsia"/>
                <w:color w:val="auto"/>
                <w:highlight w:val="none"/>
                <w:lang w:eastAsia="zh-CN"/>
              </w:rPr>
              <w:t>扩建项目</w:t>
            </w:r>
            <w:r>
              <w:rPr>
                <w:color w:val="auto"/>
                <w:highlight w:val="none"/>
              </w:rPr>
              <w:t>有组织废气排放达标情况</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86"/>
              <w:gridCol w:w="599"/>
              <w:gridCol w:w="1683"/>
              <w:gridCol w:w="823"/>
              <w:gridCol w:w="1010"/>
              <w:gridCol w:w="813"/>
              <w:gridCol w:w="955"/>
              <w:gridCol w:w="1189"/>
              <w:gridCol w:w="551"/>
            </w:tblGrid>
            <w:tr w14:paraId="0B376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467" w:type="pct"/>
                  <w:tcMar>
                    <w:top w:w="0" w:type="dxa"/>
                    <w:left w:w="57" w:type="dxa"/>
                    <w:bottom w:w="0" w:type="dxa"/>
                    <w:right w:w="57" w:type="dxa"/>
                  </w:tcMar>
                  <w:vAlign w:val="center"/>
                </w:tcPr>
                <w:p w14:paraId="1CF25257">
                  <w:pPr>
                    <w:pStyle w:val="20"/>
                    <w:keepNext w:val="0"/>
                    <w:keepLines w:val="0"/>
                    <w:pageBreakBefore w:val="0"/>
                    <w:widowControl w:val="0"/>
                    <w:kinsoku w:val="0"/>
                    <w:wordWrap w:val="0"/>
                    <w:overflowPunct/>
                    <w:topLinePunct w:val="0"/>
                    <w:autoSpaceDE w:val="0"/>
                    <w:autoSpaceDN/>
                    <w:bidi w:val="0"/>
                    <w:adjustRightInd/>
                    <w:snapToGrid/>
                    <w:textAlignment w:val="auto"/>
                    <w:rPr>
                      <w:b/>
                      <w:bCs/>
                      <w:color w:val="auto"/>
                      <w:highlight w:val="none"/>
                    </w:rPr>
                  </w:pPr>
                  <w:r>
                    <w:rPr>
                      <w:rFonts w:hint="eastAsia"/>
                      <w:b/>
                      <w:bCs/>
                      <w:color w:val="auto"/>
                      <w:highlight w:val="none"/>
                    </w:rPr>
                    <w:t>排放口</w:t>
                  </w:r>
                </w:p>
              </w:tc>
              <w:tc>
                <w:tcPr>
                  <w:tcW w:w="356" w:type="pct"/>
                  <w:tcMar>
                    <w:top w:w="0" w:type="dxa"/>
                    <w:left w:w="57" w:type="dxa"/>
                    <w:bottom w:w="0" w:type="dxa"/>
                    <w:right w:w="57" w:type="dxa"/>
                  </w:tcMar>
                  <w:vAlign w:val="center"/>
                </w:tcPr>
                <w:p w14:paraId="50BBA8DB">
                  <w:pPr>
                    <w:pStyle w:val="20"/>
                    <w:keepNext w:val="0"/>
                    <w:keepLines w:val="0"/>
                    <w:pageBreakBefore w:val="0"/>
                    <w:widowControl w:val="0"/>
                    <w:kinsoku w:val="0"/>
                    <w:wordWrap w:val="0"/>
                    <w:overflowPunct/>
                    <w:topLinePunct w:val="0"/>
                    <w:autoSpaceDE w:val="0"/>
                    <w:autoSpaceDN/>
                    <w:bidi w:val="0"/>
                    <w:adjustRightInd/>
                    <w:snapToGrid/>
                    <w:textAlignment w:val="auto"/>
                    <w:rPr>
                      <w:rFonts w:hint="default"/>
                      <w:b/>
                      <w:bCs/>
                      <w:color w:val="auto"/>
                      <w:highlight w:val="none"/>
                      <w:lang w:val="en-US" w:eastAsia="zh-CN"/>
                    </w:rPr>
                  </w:pPr>
                  <w:r>
                    <w:rPr>
                      <w:rFonts w:hint="eastAsia"/>
                      <w:b/>
                      <w:bCs/>
                      <w:color w:val="auto"/>
                      <w:highlight w:val="none"/>
                      <w:lang w:val="en-US" w:eastAsia="zh-CN"/>
                    </w:rPr>
                    <w:t>污染源</w:t>
                  </w:r>
                </w:p>
              </w:tc>
              <w:tc>
                <w:tcPr>
                  <w:tcW w:w="1000" w:type="pct"/>
                  <w:tcMar>
                    <w:top w:w="0" w:type="dxa"/>
                    <w:left w:w="57" w:type="dxa"/>
                    <w:bottom w:w="0" w:type="dxa"/>
                    <w:right w:w="57" w:type="dxa"/>
                  </w:tcMar>
                  <w:vAlign w:val="center"/>
                </w:tcPr>
                <w:p w14:paraId="5ACB4C01">
                  <w:pPr>
                    <w:pStyle w:val="20"/>
                    <w:keepNext w:val="0"/>
                    <w:keepLines w:val="0"/>
                    <w:pageBreakBefore w:val="0"/>
                    <w:widowControl w:val="0"/>
                    <w:kinsoku w:val="0"/>
                    <w:wordWrap w:val="0"/>
                    <w:overflowPunct/>
                    <w:topLinePunct w:val="0"/>
                    <w:autoSpaceDE w:val="0"/>
                    <w:autoSpaceDN/>
                    <w:bidi w:val="0"/>
                    <w:adjustRightInd/>
                    <w:snapToGrid/>
                    <w:textAlignment w:val="auto"/>
                    <w:rPr>
                      <w:b/>
                      <w:bCs/>
                      <w:color w:val="auto"/>
                      <w:highlight w:val="none"/>
                    </w:rPr>
                  </w:pPr>
                  <w:r>
                    <w:rPr>
                      <w:b/>
                      <w:bCs/>
                      <w:color w:val="auto"/>
                      <w:highlight w:val="none"/>
                    </w:rPr>
                    <w:t>污染物</w:t>
                  </w:r>
                </w:p>
              </w:tc>
              <w:tc>
                <w:tcPr>
                  <w:tcW w:w="489" w:type="pct"/>
                  <w:tcMar>
                    <w:top w:w="0" w:type="dxa"/>
                    <w:left w:w="57" w:type="dxa"/>
                    <w:bottom w:w="0" w:type="dxa"/>
                    <w:right w:w="57" w:type="dxa"/>
                  </w:tcMar>
                  <w:vAlign w:val="center"/>
                </w:tcPr>
                <w:p w14:paraId="31896B1E">
                  <w:pPr>
                    <w:pStyle w:val="20"/>
                    <w:keepNext w:val="0"/>
                    <w:keepLines w:val="0"/>
                    <w:pageBreakBefore w:val="0"/>
                    <w:widowControl w:val="0"/>
                    <w:kinsoku w:val="0"/>
                    <w:wordWrap w:val="0"/>
                    <w:overflowPunct/>
                    <w:topLinePunct w:val="0"/>
                    <w:autoSpaceDE w:val="0"/>
                    <w:autoSpaceDN/>
                    <w:bidi w:val="0"/>
                    <w:adjustRightInd/>
                    <w:snapToGrid/>
                    <w:textAlignment w:val="auto"/>
                    <w:rPr>
                      <w:b/>
                      <w:bCs/>
                      <w:color w:val="auto"/>
                      <w:highlight w:val="none"/>
                    </w:rPr>
                  </w:pPr>
                  <w:r>
                    <w:rPr>
                      <w:b/>
                      <w:bCs/>
                      <w:color w:val="auto"/>
                      <w:highlight w:val="none"/>
                    </w:rPr>
                    <w:t>排放速率kg/h</w:t>
                  </w:r>
                </w:p>
              </w:tc>
              <w:tc>
                <w:tcPr>
                  <w:tcW w:w="600" w:type="pct"/>
                  <w:tcMar>
                    <w:top w:w="0" w:type="dxa"/>
                    <w:left w:w="57" w:type="dxa"/>
                    <w:bottom w:w="0" w:type="dxa"/>
                    <w:right w:w="57" w:type="dxa"/>
                  </w:tcMar>
                  <w:vAlign w:val="center"/>
                </w:tcPr>
                <w:p w14:paraId="2DEBF45E">
                  <w:pPr>
                    <w:pStyle w:val="20"/>
                    <w:keepNext w:val="0"/>
                    <w:keepLines w:val="0"/>
                    <w:pageBreakBefore w:val="0"/>
                    <w:widowControl w:val="0"/>
                    <w:kinsoku w:val="0"/>
                    <w:wordWrap w:val="0"/>
                    <w:overflowPunct/>
                    <w:topLinePunct w:val="0"/>
                    <w:autoSpaceDE w:val="0"/>
                    <w:autoSpaceDN/>
                    <w:bidi w:val="0"/>
                    <w:adjustRightInd/>
                    <w:snapToGrid/>
                    <w:textAlignment w:val="auto"/>
                    <w:rPr>
                      <w:b/>
                      <w:bCs/>
                      <w:color w:val="auto"/>
                      <w:highlight w:val="none"/>
                    </w:rPr>
                  </w:pPr>
                  <w:r>
                    <w:rPr>
                      <w:b/>
                      <w:bCs/>
                      <w:color w:val="auto"/>
                      <w:highlight w:val="none"/>
                    </w:rPr>
                    <w:t>排放浓度mg/m</w:t>
                  </w:r>
                  <w:r>
                    <w:rPr>
                      <w:b/>
                      <w:bCs/>
                      <w:color w:val="auto"/>
                      <w:highlight w:val="none"/>
                      <w:vertAlign w:val="superscript"/>
                    </w:rPr>
                    <w:t>3</w:t>
                  </w:r>
                </w:p>
              </w:tc>
              <w:tc>
                <w:tcPr>
                  <w:tcW w:w="483" w:type="pct"/>
                  <w:tcMar>
                    <w:top w:w="0" w:type="dxa"/>
                    <w:left w:w="57" w:type="dxa"/>
                    <w:bottom w:w="0" w:type="dxa"/>
                    <w:right w:w="57" w:type="dxa"/>
                  </w:tcMar>
                  <w:vAlign w:val="center"/>
                </w:tcPr>
                <w:p w14:paraId="26E50CA0">
                  <w:pPr>
                    <w:pStyle w:val="20"/>
                    <w:keepNext w:val="0"/>
                    <w:keepLines w:val="0"/>
                    <w:pageBreakBefore w:val="0"/>
                    <w:widowControl w:val="0"/>
                    <w:kinsoku w:val="0"/>
                    <w:wordWrap w:val="0"/>
                    <w:overflowPunct/>
                    <w:topLinePunct w:val="0"/>
                    <w:autoSpaceDE w:val="0"/>
                    <w:autoSpaceDN/>
                    <w:bidi w:val="0"/>
                    <w:adjustRightInd/>
                    <w:snapToGrid/>
                    <w:textAlignment w:val="auto"/>
                    <w:rPr>
                      <w:b/>
                      <w:bCs/>
                      <w:color w:val="auto"/>
                      <w:highlight w:val="none"/>
                    </w:rPr>
                  </w:pPr>
                  <w:r>
                    <w:rPr>
                      <w:rFonts w:hint="eastAsia"/>
                      <w:b/>
                      <w:bCs/>
                      <w:color w:val="auto"/>
                      <w:highlight w:val="none"/>
                    </w:rPr>
                    <w:t>速率限值</w:t>
                  </w:r>
                  <w:r>
                    <w:rPr>
                      <w:b/>
                      <w:bCs/>
                      <w:color w:val="auto"/>
                      <w:highlight w:val="none"/>
                    </w:rPr>
                    <w:t>kg/h</w:t>
                  </w:r>
                </w:p>
              </w:tc>
              <w:tc>
                <w:tcPr>
                  <w:tcW w:w="567" w:type="pct"/>
                  <w:tcMar>
                    <w:top w:w="0" w:type="dxa"/>
                    <w:left w:w="57" w:type="dxa"/>
                    <w:bottom w:w="0" w:type="dxa"/>
                    <w:right w:w="57" w:type="dxa"/>
                  </w:tcMar>
                  <w:vAlign w:val="center"/>
                </w:tcPr>
                <w:p w14:paraId="292E3863">
                  <w:pPr>
                    <w:pStyle w:val="20"/>
                    <w:keepNext w:val="0"/>
                    <w:keepLines w:val="0"/>
                    <w:pageBreakBefore w:val="0"/>
                    <w:widowControl w:val="0"/>
                    <w:kinsoku w:val="0"/>
                    <w:wordWrap w:val="0"/>
                    <w:overflowPunct/>
                    <w:topLinePunct w:val="0"/>
                    <w:autoSpaceDE w:val="0"/>
                    <w:autoSpaceDN/>
                    <w:bidi w:val="0"/>
                    <w:adjustRightInd/>
                    <w:snapToGrid/>
                    <w:textAlignment w:val="auto"/>
                    <w:rPr>
                      <w:b/>
                      <w:bCs/>
                      <w:color w:val="auto"/>
                      <w:highlight w:val="none"/>
                    </w:rPr>
                  </w:pPr>
                  <w:r>
                    <w:rPr>
                      <w:b/>
                      <w:bCs/>
                      <w:color w:val="auto"/>
                      <w:highlight w:val="none"/>
                    </w:rPr>
                    <w:t>浓度限值mg/m</w:t>
                  </w:r>
                  <w:r>
                    <w:rPr>
                      <w:b/>
                      <w:bCs/>
                      <w:color w:val="auto"/>
                      <w:highlight w:val="none"/>
                      <w:vertAlign w:val="superscript"/>
                    </w:rPr>
                    <w:t>3</w:t>
                  </w:r>
                </w:p>
              </w:tc>
              <w:tc>
                <w:tcPr>
                  <w:tcW w:w="706" w:type="pct"/>
                  <w:tcMar>
                    <w:top w:w="0" w:type="dxa"/>
                    <w:left w:w="57" w:type="dxa"/>
                    <w:bottom w:w="0" w:type="dxa"/>
                    <w:right w:w="57" w:type="dxa"/>
                  </w:tcMar>
                  <w:vAlign w:val="center"/>
                </w:tcPr>
                <w:p w14:paraId="348E642A">
                  <w:pPr>
                    <w:pStyle w:val="20"/>
                    <w:keepNext w:val="0"/>
                    <w:keepLines w:val="0"/>
                    <w:pageBreakBefore w:val="0"/>
                    <w:widowControl w:val="0"/>
                    <w:kinsoku w:val="0"/>
                    <w:wordWrap w:val="0"/>
                    <w:overflowPunct/>
                    <w:topLinePunct w:val="0"/>
                    <w:autoSpaceDE w:val="0"/>
                    <w:autoSpaceDN/>
                    <w:bidi w:val="0"/>
                    <w:adjustRightInd/>
                    <w:snapToGrid/>
                    <w:textAlignment w:val="auto"/>
                    <w:rPr>
                      <w:rFonts w:hint="default"/>
                      <w:b/>
                      <w:bCs/>
                      <w:color w:val="auto"/>
                      <w:highlight w:val="none"/>
                      <w:lang w:val="en-US" w:eastAsia="zh-CN"/>
                    </w:rPr>
                  </w:pPr>
                  <w:r>
                    <w:rPr>
                      <w:rFonts w:hint="eastAsia"/>
                      <w:b/>
                      <w:bCs/>
                      <w:color w:val="auto"/>
                      <w:highlight w:val="none"/>
                      <w:lang w:val="en-US" w:eastAsia="zh-CN"/>
                    </w:rPr>
                    <w:t>执行标准</w:t>
                  </w:r>
                </w:p>
              </w:tc>
              <w:tc>
                <w:tcPr>
                  <w:tcW w:w="327" w:type="pct"/>
                  <w:tcMar>
                    <w:top w:w="0" w:type="dxa"/>
                    <w:left w:w="57" w:type="dxa"/>
                    <w:bottom w:w="0" w:type="dxa"/>
                    <w:right w:w="57" w:type="dxa"/>
                  </w:tcMar>
                  <w:vAlign w:val="center"/>
                </w:tcPr>
                <w:p w14:paraId="01A9234A">
                  <w:pPr>
                    <w:pStyle w:val="20"/>
                    <w:keepNext w:val="0"/>
                    <w:keepLines w:val="0"/>
                    <w:pageBreakBefore w:val="0"/>
                    <w:widowControl w:val="0"/>
                    <w:kinsoku w:val="0"/>
                    <w:wordWrap w:val="0"/>
                    <w:overflowPunct/>
                    <w:topLinePunct w:val="0"/>
                    <w:autoSpaceDE w:val="0"/>
                    <w:autoSpaceDN/>
                    <w:bidi w:val="0"/>
                    <w:adjustRightInd/>
                    <w:snapToGrid/>
                    <w:textAlignment w:val="auto"/>
                    <w:rPr>
                      <w:b/>
                      <w:bCs/>
                      <w:color w:val="auto"/>
                      <w:highlight w:val="none"/>
                    </w:rPr>
                  </w:pPr>
                  <w:r>
                    <w:rPr>
                      <w:b/>
                      <w:bCs/>
                      <w:color w:val="auto"/>
                      <w:highlight w:val="none"/>
                    </w:rPr>
                    <w:t>达标情况</w:t>
                  </w:r>
                </w:p>
              </w:tc>
            </w:tr>
            <w:tr w14:paraId="4DCFB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7" w:type="pct"/>
                  <w:vMerge w:val="restart"/>
                  <w:tcMar>
                    <w:top w:w="0" w:type="dxa"/>
                    <w:left w:w="57" w:type="dxa"/>
                    <w:bottom w:w="0" w:type="dxa"/>
                    <w:right w:w="57" w:type="dxa"/>
                  </w:tcMar>
                  <w:vAlign w:val="center"/>
                </w:tcPr>
                <w:p w14:paraId="19A9EE40">
                  <w:pPr>
                    <w:pStyle w:val="20"/>
                    <w:keepNext w:val="0"/>
                    <w:keepLines w:val="0"/>
                    <w:pageBreakBefore w:val="0"/>
                    <w:widowControl w:val="0"/>
                    <w:kinsoku w:val="0"/>
                    <w:wordWrap w:val="0"/>
                    <w:overflowPunct/>
                    <w:topLinePunct w:val="0"/>
                    <w:autoSpaceDE w:val="0"/>
                    <w:autoSpaceDN/>
                    <w:bidi w:val="0"/>
                    <w:adjustRightInd/>
                    <w:snapToGrid/>
                    <w:textAlignment w:val="auto"/>
                    <w:rPr>
                      <w:color w:val="auto"/>
                      <w:highlight w:val="none"/>
                    </w:rPr>
                  </w:pPr>
                  <w:r>
                    <w:rPr>
                      <w:rFonts w:hint="eastAsia"/>
                      <w:color w:val="auto"/>
                      <w:highlight w:val="none"/>
                    </w:rPr>
                    <w:t>DA001</w:t>
                  </w:r>
                </w:p>
              </w:tc>
              <w:tc>
                <w:tcPr>
                  <w:tcW w:w="356" w:type="pct"/>
                  <w:vMerge w:val="restart"/>
                  <w:tcMar>
                    <w:top w:w="0" w:type="dxa"/>
                    <w:left w:w="57" w:type="dxa"/>
                    <w:bottom w:w="0" w:type="dxa"/>
                    <w:right w:w="57" w:type="dxa"/>
                  </w:tcMar>
                  <w:vAlign w:val="center"/>
                </w:tcPr>
                <w:p w14:paraId="3FDEB120">
                  <w:pPr>
                    <w:pStyle w:val="20"/>
                    <w:keepNext w:val="0"/>
                    <w:keepLines w:val="0"/>
                    <w:pageBreakBefore w:val="0"/>
                    <w:widowControl w:val="0"/>
                    <w:kinsoku w:val="0"/>
                    <w:wordWrap w:val="0"/>
                    <w:overflowPunct/>
                    <w:topLinePunct w:val="0"/>
                    <w:autoSpaceDE w:val="0"/>
                    <w:autoSpaceDN/>
                    <w:bidi w:val="0"/>
                    <w:adjustRightInd/>
                    <w:snapToGrid/>
                    <w:textAlignment w:val="auto"/>
                    <w:rPr>
                      <w:rFonts w:hint="default"/>
                      <w:color w:val="auto"/>
                      <w:highlight w:val="none"/>
                      <w:lang w:val="en-US" w:eastAsia="zh-CN"/>
                    </w:rPr>
                  </w:pPr>
                  <w:r>
                    <w:rPr>
                      <w:rFonts w:hint="eastAsia"/>
                      <w:color w:val="auto"/>
                      <w:highlight w:val="none"/>
                      <w:lang w:val="en-US" w:eastAsia="zh-CN"/>
                    </w:rPr>
                    <w:t>注塑废气+脱模、清洗剂废气</w:t>
                  </w:r>
                </w:p>
              </w:tc>
              <w:tc>
                <w:tcPr>
                  <w:tcW w:w="1000" w:type="pct"/>
                  <w:shd w:val="clear" w:color="auto" w:fill="auto"/>
                  <w:tcMar>
                    <w:top w:w="0" w:type="dxa"/>
                    <w:left w:w="57" w:type="dxa"/>
                    <w:bottom w:w="0" w:type="dxa"/>
                    <w:right w:w="57" w:type="dxa"/>
                  </w:tcMar>
                  <w:vAlign w:val="center"/>
                </w:tcPr>
                <w:p w14:paraId="72B12559">
                  <w:pPr>
                    <w:pStyle w:val="20"/>
                    <w:keepNext w:val="0"/>
                    <w:keepLines w:val="0"/>
                    <w:pageBreakBefore w:val="0"/>
                    <w:widowControl w:val="0"/>
                    <w:kinsoku w:val="0"/>
                    <w:wordWrap w:val="0"/>
                    <w:overflowPunct/>
                    <w:topLinePunct w:val="0"/>
                    <w:autoSpaceDE w:val="0"/>
                    <w:autoSpaceDN/>
                    <w:bidi w:val="0"/>
                    <w:adjustRightInd/>
                    <w:snapToGrid/>
                    <w:textAlignment w:val="auto"/>
                    <w:rPr>
                      <w:color w:val="auto"/>
                      <w:highlight w:val="none"/>
                      <w:lang w:val="en-US" w:eastAsia="zh-CN"/>
                    </w:rPr>
                  </w:pPr>
                  <w:r>
                    <w:rPr>
                      <w:rFonts w:hint="eastAsia"/>
                      <w:color w:val="auto"/>
                      <w:highlight w:val="none"/>
                      <w:lang w:val="en-US" w:eastAsia="zh-CN"/>
                    </w:rPr>
                    <w:t>非甲烷总烃</w:t>
                  </w:r>
                </w:p>
              </w:tc>
              <w:tc>
                <w:tcPr>
                  <w:tcW w:w="489" w:type="pct"/>
                  <w:shd w:val="clear" w:color="auto" w:fill="auto"/>
                  <w:tcMar>
                    <w:top w:w="0" w:type="dxa"/>
                    <w:left w:w="57" w:type="dxa"/>
                    <w:bottom w:w="0" w:type="dxa"/>
                    <w:right w:w="57" w:type="dxa"/>
                  </w:tcMar>
                  <w:vAlign w:val="center"/>
                </w:tcPr>
                <w:p w14:paraId="52D0A20F">
                  <w:pPr>
                    <w:pStyle w:val="20"/>
                    <w:bidi w:val="0"/>
                    <w:rPr>
                      <w:rFonts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0.090</w:t>
                  </w:r>
                </w:p>
              </w:tc>
              <w:tc>
                <w:tcPr>
                  <w:tcW w:w="600" w:type="pct"/>
                  <w:tcMar>
                    <w:top w:w="0" w:type="dxa"/>
                    <w:left w:w="57" w:type="dxa"/>
                    <w:bottom w:w="0" w:type="dxa"/>
                    <w:right w:w="57" w:type="dxa"/>
                  </w:tcMar>
                  <w:vAlign w:val="center"/>
                </w:tcPr>
                <w:p w14:paraId="33CC70CC">
                  <w:pPr>
                    <w:pStyle w:val="20"/>
                    <w:bidi w:val="0"/>
                    <w:rPr>
                      <w:color w:val="auto"/>
                      <w:highlight w:val="none"/>
                    </w:rPr>
                  </w:pPr>
                  <w:r>
                    <w:rPr>
                      <w:rFonts w:hint="eastAsia"/>
                      <w:color w:val="auto"/>
                      <w:highlight w:val="none"/>
                      <w:lang w:val="en-US" w:eastAsia="zh-CN"/>
                    </w:rPr>
                    <w:t>4.482</w:t>
                  </w:r>
                </w:p>
              </w:tc>
              <w:tc>
                <w:tcPr>
                  <w:tcW w:w="483" w:type="pct"/>
                  <w:tcMar>
                    <w:top w:w="0" w:type="dxa"/>
                    <w:left w:w="57" w:type="dxa"/>
                    <w:bottom w:w="0" w:type="dxa"/>
                    <w:right w:w="57" w:type="dxa"/>
                  </w:tcMar>
                  <w:vAlign w:val="center"/>
                </w:tcPr>
                <w:p w14:paraId="681276AA">
                  <w:pPr>
                    <w:pStyle w:val="20"/>
                    <w:keepNext w:val="0"/>
                    <w:keepLines w:val="0"/>
                    <w:pageBreakBefore w:val="0"/>
                    <w:widowControl w:val="0"/>
                    <w:kinsoku w:val="0"/>
                    <w:wordWrap w:val="0"/>
                    <w:overflowPunct/>
                    <w:topLinePunct w:val="0"/>
                    <w:autoSpaceDE w:val="0"/>
                    <w:autoSpaceDN/>
                    <w:bidi w:val="0"/>
                    <w:adjustRightInd/>
                    <w:snapToGrid/>
                    <w:textAlignment w:val="auto"/>
                    <w:rPr>
                      <w:color w:val="auto"/>
                      <w:highlight w:val="none"/>
                    </w:rPr>
                  </w:pPr>
                  <w:r>
                    <w:rPr>
                      <w:rFonts w:hint="eastAsia"/>
                      <w:color w:val="auto"/>
                      <w:highlight w:val="none"/>
                      <w:lang w:val="en-US" w:eastAsia="zh-CN"/>
                    </w:rPr>
                    <w:t>/</w:t>
                  </w:r>
                </w:p>
              </w:tc>
              <w:tc>
                <w:tcPr>
                  <w:tcW w:w="567" w:type="pct"/>
                  <w:tcMar>
                    <w:top w:w="0" w:type="dxa"/>
                    <w:left w:w="57" w:type="dxa"/>
                    <w:bottom w:w="0" w:type="dxa"/>
                    <w:right w:w="57" w:type="dxa"/>
                  </w:tcMar>
                  <w:vAlign w:val="center"/>
                </w:tcPr>
                <w:p w14:paraId="57322309">
                  <w:pPr>
                    <w:pStyle w:val="20"/>
                    <w:keepNext w:val="0"/>
                    <w:keepLines w:val="0"/>
                    <w:pageBreakBefore w:val="0"/>
                    <w:widowControl w:val="0"/>
                    <w:kinsoku w:val="0"/>
                    <w:wordWrap w:val="0"/>
                    <w:overflowPunct/>
                    <w:topLinePunct w:val="0"/>
                    <w:autoSpaceDE w:val="0"/>
                    <w:autoSpaceDN/>
                    <w:bidi w:val="0"/>
                    <w:adjustRightInd/>
                    <w:snapToGrid/>
                    <w:textAlignment w:val="auto"/>
                    <w:rPr>
                      <w:color w:val="auto"/>
                      <w:highlight w:val="none"/>
                    </w:rPr>
                  </w:pPr>
                  <w:r>
                    <w:rPr>
                      <w:color w:val="auto"/>
                      <w:highlight w:val="none"/>
                    </w:rPr>
                    <w:t>60</w:t>
                  </w:r>
                </w:p>
              </w:tc>
              <w:tc>
                <w:tcPr>
                  <w:tcW w:w="706" w:type="pct"/>
                  <w:vMerge w:val="restart"/>
                  <w:tcMar>
                    <w:top w:w="0" w:type="dxa"/>
                    <w:left w:w="57" w:type="dxa"/>
                    <w:bottom w:w="0" w:type="dxa"/>
                    <w:right w:w="57" w:type="dxa"/>
                  </w:tcMar>
                  <w:vAlign w:val="center"/>
                </w:tcPr>
                <w:p w14:paraId="0C29FA9D">
                  <w:pPr>
                    <w:pStyle w:val="20"/>
                    <w:keepNext w:val="0"/>
                    <w:keepLines w:val="0"/>
                    <w:pageBreakBefore w:val="0"/>
                    <w:widowControl w:val="0"/>
                    <w:kinsoku w:val="0"/>
                    <w:wordWrap w:val="0"/>
                    <w:overflowPunct/>
                    <w:topLinePunct w:val="0"/>
                    <w:autoSpaceDE w:val="0"/>
                    <w:autoSpaceDN/>
                    <w:bidi w:val="0"/>
                    <w:adjustRightInd/>
                    <w:snapToGrid/>
                    <w:textAlignment w:val="auto"/>
                    <w:rPr>
                      <w:rFonts w:hint="default"/>
                      <w:color w:val="auto"/>
                      <w:highlight w:val="none"/>
                      <w:lang w:val="en-US" w:eastAsia="zh-CN"/>
                    </w:rPr>
                  </w:pPr>
                  <w:r>
                    <w:rPr>
                      <w:rFonts w:hint="default"/>
                      <w:color w:val="auto"/>
                      <w:highlight w:val="none"/>
                      <w:lang w:val="en-US" w:eastAsia="zh-CN"/>
                    </w:rPr>
                    <w:t>《合成树脂工业污染物排放标准》（GB31572-2015，含2024年修改单）中表5特别排放限值</w:t>
                  </w:r>
                </w:p>
              </w:tc>
              <w:tc>
                <w:tcPr>
                  <w:tcW w:w="327" w:type="pct"/>
                  <w:tcMar>
                    <w:top w:w="0" w:type="dxa"/>
                    <w:left w:w="57" w:type="dxa"/>
                    <w:bottom w:w="0" w:type="dxa"/>
                    <w:right w:w="57" w:type="dxa"/>
                  </w:tcMar>
                  <w:vAlign w:val="center"/>
                </w:tcPr>
                <w:p w14:paraId="4E394313">
                  <w:pPr>
                    <w:pStyle w:val="20"/>
                    <w:keepNext w:val="0"/>
                    <w:keepLines w:val="0"/>
                    <w:pageBreakBefore w:val="0"/>
                    <w:widowControl w:val="0"/>
                    <w:kinsoku w:val="0"/>
                    <w:wordWrap w:val="0"/>
                    <w:overflowPunct/>
                    <w:topLinePunct w:val="0"/>
                    <w:autoSpaceDE w:val="0"/>
                    <w:autoSpaceDN/>
                    <w:bidi w:val="0"/>
                    <w:adjustRightInd/>
                    <w:snapToGrid/>
                    <w:textAlignment w:val="auto"/>
                    <w:rPr>
                      <w:color w:val="auto"/>
                      <w:highlight w:val="none"/>
                    </w:rPr>
                  </w:pPr>
                  <w:r>
                    <w:rPr>
                      <w:rFonts w:hint="eastAsia"/>
                      <w:color w:val="auto"/>
                      <w:highlight w:val="none"/>
                    </w:rPr>
                    <w:t>达标</w:t>
                  </w:r>
                </w:p>
              </w:tc>
            </w:tr>
            <w:tr w14:paraId="5263D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7" w:type="pct"/>
                  <w:vMerge w:val="continue"/>
                  <w:tcMar>
                    <w:top w:w="0" w:type="dxa"/>
                    <w:left w:w="57" w:type="dxa"/>
                    <w:bottom w:w="0" w:type="dxa"/>
                    <w:right w:w="57" w:type="dxa"/>
                  </w:tcMar>
                  <w:vAlign w:val="center"/>
                </w:tcPr>
                <w:p w14:paraId="0DE38561">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rPr>
                  </w:pPr>
                </w:p>
              </w:tc>
              <w:tc>
                <w:tcPr>
                  <w:tcW w:w="356" w:type="pct"/>
                  <w:vMerge w:val="continue"/>
                  <w:tcMar>
                    <w:top w:w="0" w:type="dxa"/>
                    <w:left w:w="57" w:type="dxa"/>
                    <w:bottom w:w="0" w:type="dxa"/>
                    <w:right w:w="57" w:type="dxa"/>
                  </w:tcMar>
                  <w:vAlign w:val="center"/>
                </w:tcPr>
                <w:p w14:paraId="5C173770">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p>
              </w:tc>
              <w:tc>
                <w:tcPr>
                  <w:tcW w:w="1000" w:type="pct"/>
                  <w:shd w:val="clear" w:color="auto" w:fill="auto"/>
                  <w:tcMar>
                    <w:top w:w="0" w:type="dxa"/>
                    <w:left w:w="57" w:type="dxa"/>
                    <w:bottom w:w="0" w:type="dxa"/>
                    <w:right w:w="57" w:type="dxa"/>
                  </w:tcMar>
                  <w:vAlign w:val="center"/>
                </w:tcPr>
                <w:p w14:paraId="44CBF542">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丙烯腈</w:t>
                  </w:r>
                </w:p>
              </w:tc>
              <w:tc>
                <w:tcPr>
                  <w:tcW w:w="489" w:type="pct"/>
                  <w:shd w:val="clear" w:color="auto" w:fill="auto"/>
                  <w:tcMar>
                    <w:top w:w="0" w:type="dxa"/>
                    <w:left w:w="57" w:type="dxa"/>
                    <w:bottom w:w="0" w:type="dxa"/>
                    <w:right w:w="57" w:type="dxa"/>
                  </w:tcMar>
                  <w:vAlign w:val="center"/>
                </w:tcPr>
                <w:p w14:paraId="2A8C7D9A">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0.001</w:t>
                  </w:r>
                </w:p>
              </w:tc>
              <w:tc>
                <w:tcPr>
                  <w:tcW w:w="600" w:type="pct"/>
                  <w:tcMar>
                    <w:top w:w="0" w:type="dxa"/>
                    <w:left w:w="57" w:type="dxa"/>
                    <w:bottom w:w="0" w:type="dxa"/>
                    <w:right w:w="57" w:type="dxa"/>
                  </w:tcMar>
                  <w:vAlign w:val="center"/>
                </w:tcPr>
                <w:p w14:paraId="62003862">
                  <w:pPr>
                    <w:pStyle w:val="20"/>
                    <w:bidi w:val="0"/>
                    <w:rPr>
                      <w:rFonts w:hint="default"/>
                      <w:color w:val="auto"/>
                      <w:highlight w:val="none"/>
                      <w:lang w:val="en-US" w:eastAsia="zh-CN"/>
                    </w:rPr>
                  </w:pPr>
                  <w:r>
                    <w:rPr>
                      <w:rFonts w:hint="eastAsia"/>
                      <w:color w:val="auto"/>
                      <w:highlight w:val="none"/>
                      <w:lang w:val="en-US" w:eastAsia="zh-CN"/>
                    </w:rPr>
                    <w:t>0.047</w:t>
                  </w:r>
                </w:p>
              </w:tc>
              <w:tc>
                <w:tcPr>
                  <w:tcW w:w="483" w:type="pct"/>
                  <w:tcMar>
                    <w:top w:w="0" w:type="dxa"/>
                    <w:left w:w="57" w:type="dxa"/>
                    <w:bottom w:w="0" w:type="dxa"/>
                    <w:right w:w="57" w:type="dxa"/>
                  </w:tcMar>
                  <w:vAlign w:val="center"/>
                </w:tcPr>
                <w:p w14:paraId="29E0E0C5">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w:t>
                  </w:r>
                </w:p>
              </w:tc>
              <w:tc>
                <w:tcPr>
                  <w:tcW w:w="567" w:type="pct"/>
                  <w:tcMar>
                    <w:top w:w="0" w:type="dxa"/>
                    <w:left w:w="57" w:type="dxa"/>
                    <w:bottom w:w="0" w:type="dxa"/>
                    <w:right w:w="57" w:type="dxa"/>
                  </w:tcMar>
                  <w:vAlign w:val="center"/>
                </w:tcPr>
                <w:p w14:paraId="48630048">
                  <w:pPr>
                    <w:pStyle w:val="20"/>
                    <w:keepNext w:val="0"/>
                    <w:keepLines w:val="0"/>
                    <w:pageBreakBefore w:val="0"/>
                    <w:widowControl w:val="0"/>
                    <w:kinsoku w:val="0"/>
                    <w:wordWrap w:val="0"/>
                    <w:overflowPunct/>
                    <w:topLinePunct w:val="0"/>
                    <w:autoSpaceDE w:val="0"/>
                    <w:autoSpaceDN/>
                    <w:bidi w:val="0"/>
                    <w:adjustRightInd/>
                    <w:snapToGrid/>
                    <w:textAlignment w:val="auto"/>
                    <w:rPr>
                      <w:rFonts w:hint="default"/>
                      <w:color w:val="auto"/>
                      <w:highlight w:val="none"/>
                      <w:lang w:val="en-US" w:eastAsia="zh-CN"/>
                    </w:rPr>
                  </w:pPr>
                  <w:r>
                    <w:rPr>
                      <w:rFonts w:hint="eastAsia"/>
                      <w:color w:val="auto"/>
                      <w:highlight w:val="none"/>
                      <w:lang w:val="en-US" w:eastAsia="zh-CN"/>
                    </w:rPr>
                    <w:t>0.5</w:t>
                  </w:r>
                </w:p>
              </w:tc>
              <w:tc>
                <w:tcPr>
                  <w:tcW w:w="706" w:type="pct"/>
                  <w:vMerge w:val="continue"/>
                  <w:tcMar>
                    <w:top w:w="0" w:type="dxa"/>
                    <w:left w:w="57" w:type="dxa"/>
                    <w:bottom w:w="0" w:type="dxa"/>
                    <w:right w:w="57" w:type="dxa"/>
                  </w:tcMar>
                  <w:vAlign w:val="center"/>
                </w:tcPr>
                <w:p w14:paraId="6634C737">
                  <w:pPr>
                    <w:pStyle w:val="20"/>
                    <w:keepNext w:val="0"/>
                    <w:keepLines w:val="0"/>
                    <w:pageBreakBefore w:val="0"/>
                    <w:widowControl w:val="0"/>
                    <w:kinsoku w:val="0"/>
                    <w:wordWrap w:val="0"/>
                    <w:overflowPunct/>
                    <w:topLinePunct w:val="0"/>
                    <w:autoSpaceDE w:val="0"/>
                    <w:autoSpaceDN/>
                    <w:bidi w:val="0"/>
                    <w:adjustRightInd/>
                    <w:snapToGrid/>
                    <w:textAlignment w:val="auto"/>
                    <w:rPr>
                      <w:rFonts w:hint="default"/>
                      <w:color w:val="auto"/>
                      <w:highlight w:val="none"/>
                      <w:lang w:val="en-US" w:eastAsia="zh-CN"/>
                    </w:rPr>
                  </w:pPr>
                </w:p>
              </w:tc>
              <w:tc>
                <w:tcPr>
                  <w:tcW w:w="327" w:type="pct"/>
                  <w:tcMar>
                    <w:top w:w="0" w:type="dxa"/>
                    <w:left w:w="57" w:type="dxa"/>
                    <w:bottom w:w="0" w:type="dxa"/>
                    <w:right w:w="57" w:type="dxa"/>
                  </w:tcMar>
                  <w:vAlign w:val="center"/>
                </w:tcPr>
                <w:p w14:paraId="32193E89">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rPr>
                  </w:pPr>
                  <w:r>
                    <w:rPr>
                      <w:rFonts w:hint="eastAsia"/>
                      <w:color w:val="auto"/>
                      <w:highlight w:val="none"/>
                    </w:rPr>
                    <w:t>达标</w:t>
                  </w:r>
                </w:p>
              </w:tc>
            </w:tr>
            <w:tr w14:paraId="17475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7" w:type="pct"/>
                  <w:vMerge w:val="continue"/>
                  <w:tcMar>
                    <w:top w:w="0" w:type="dxa"/>
                    <w:left w:w="57" w:type="dxa"/>
                    <w:bottom w:w="0" w:type="dxa"/>
                    <w:right w:w="57" w:type="dxa"/>
                  </w:tcMar>
                  <w:vAlign w:val="center"/>
                </w:tcPr>
                <w:p w14:paraId="3D73042D">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rPr>
                  </w:pPr>
                </w:p>
              </w:tc>
              <w:tc>
                <w:tcPr>
                  <w:tcW w:w="356" w:type="pct"/>
                  <w:vMerge w:val="continue"/>
                  <w:tcMar>
                    <w:top w:w="0" w:type="dxa"/>
                    <w:left w:w="57" w:type="dxa"/>
                    <w:bottom w:w="0" w:type="dxa"/>
                    <w:right w:w="57" w:type="dxa"/>
                  </w:tcMar>
                  <w:vAlign w:val="center"/>
                </w:tcPr>
                <w:p w14:paraId="09028274">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p>
              </w:tc>
              <w:tc>
                <w:tcPr>
                  <w:tcW w:w="1000" w:type="pct"/>
                  <w:shd w:val="clear" w:color="auto" w:fill="auto"/>
                  <w:tcMar>
                    <w:top w:w="0" w:type="dxa"/>
                    <w:left w:w="57" w:type="dxa"/>
                    <w:bottom w:w="0" w:type="dxa"/>
                    <w:right w:w="57" w:type="dxa"/>
                  </w:tcMar>
                  <w:vAlign w:val="center"/>
                </w:tcPr>
                <w:p w14:paraId="1CBABE43">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1,3-丁二烯</w:t>
                  </w:r>
                </w:p>
              </w:tc>
              <w:tc>
                <w:tcPr>
                  <w:tcW w:w="489" w:type="pct"/>
                  <w:shd w:val="clear" w:color="auto" w:fill="auto"/>
                  <w:tcMar>
                    <w:top w:w="0" w:type="dxa"/>
                    <w:left w:w="57" w:type="dxa"/>
                    <w:bottom w:w="0" w:type="dxa"/>
                    <w:right w:w="57" w:type="dxa"/>
                  </w:tcMar>
                  <w:vAlign w:val="center"/>
                </w:tcPr>
                <w:p w14:paraId="6F92CF4F">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0.000</w:t>
                  </w:r>
                </w:p>
              </w:tc>
              <w:tc>
                <w:tcPr>
                  <w:tcW w:w="600" w:type="pct"/>
                  <w:tcMar>
                    <w:top w:w="0" w:type="dxa"/>
                    <w:left w:w="57" w:type="dxa"/>
                    <w:bottom w:w="0" w:type="dxa"/>
                    <w:right w:w="57" w:type="dxa"/>
                  </w:tcMar>
                  <w:vAlign w:val="center"/>
                </w:tcPr>
                <w:p w14:paraId="1ADB44D0">
                  <w:pPr>
                    <w:pStyle w:val="20"/>
                    <w:bidi w:val="0"/>
                    <w:rPr>
                      <w:rFonts w:hint="default"/>
                      <w:color w:val="auto"/>
                      <w:highlight w:val="none"/>
                      <w:lang w:val="en-US" w:eastAsia="zh-CN"/>
                    </w:rPr>
                  </w:pPr>
                  <w:r>
                    <w:rPr>
                      <w:rFonts w:hint="eastAsia"/>
                      <w:color w:val="auto"/>
                      <w:highlight w:val="none"/>
                      <w:lang w:val="en-US" w:eastAsia="zh-CN"/>
                    </w:rPr>
                    <w:t>0.002</w:t>
                  </w:r>
                </w:p>
              </w:tc>
              <w:tc>
                <w:tcPr>
                  <w:tcW w:w="483" w:type="pct"/>
                  <w:tcMar>
                    <w:top w:w="0" w:type="dxa"/>
                    <w:left w:w="57" w:type="dxa"/>
                    <w:bottom w:w="0" w:type="dxa"/>
                    <w:right w:w="57" w:type="dxa"/>
                  </w:tcMar>
                  <w:vAlign w:val="center"/>
                </w:tcPr>
                <w:p w14:paraId="5BDE0E97">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w:t>
                  </w:r>
                </w:p>
              </w:tc>
              <w:tc>
                <w:tcPr>
                  <w:tcW w:w="567" w:type="pct"/>
                  <w:tcMar>
                    <w:top w:w="0" w:type="dxa"/>
                    <w:left w:w="57" w:type="dxa"/>
                    <w:bottom w:w="0" w:type="dxa"/>
                    <w:right w:w="57" w:type="dxa"/>
                  </w:tcMar>
                  <w:vAlign w:val="center"/>
                </w:tcPr>
                <w:p w14:paraId="15A3637E">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1</w:t>
                  </w:r>
                </w:p>
              </w:tc>
              <w:tc>
                <w:tcPr>
                  <w:tcW w:w="706" w:type="pct"/>
                  <w:vMerge w:val="continue"/>
                  <w:tcMar>
                    <w:top w:w="0" w:type="dxa"/>
                    <w:left w:w="57" w:type="dxa"/>
                    <w:bottom w:w="0" w:type="dxa"/>
                    <w:right w:w="57" w:type="dxa"/>
                  </w:tcMar>
                  <w:vAlign w:val="center"/>
                </w:tcPr>
                <w:p w14:paraId="21517762">
                  <w:pPr>
                    <w:pStyle w:val="20"/>
                    <w:keepNext w:val="0"/>
                    <w:keepLines w:val="0"/>
                    <w:pageBreakBefore w:val="0"/>
                    <w:widowControl w:val="0"/>
                    <w:kinsoku w:val="0"/>
                    <w:wordWrap w:val="0"/>
                    <w:overflowPunct/>
                    <w:topLinePunct w:val="0"/>
                    <w:autoSpaceDE w:val="0"/>
                    <w:autoSpaceDN/>
                    <w:bidi w:val="0"/>
                    <w:adjustRightInd/>
                    <w:snapToGrid/>
                    <w:textAlignment w:val="auto"/>
                    <w:rPr>
                      <w:rFonts w:hint="default"/>
                      <w:color w:val="auto"/>
                      <w:highlight w:val="none"/>
                      <w:lang w:val="en-US" w:eastAsia="zh-CN"/>
                    </w:rPr>
                  </w:pPr>
                </w:p>
              </w:tc>
              <w:tc>
                <w:tcPr>
                  <w:tcW w:w="327" w:type="pct"/>
                  <w:tcMar>
                    <w:top w:w="0" w:type="dxa"/>
                    <w:left w:w="57" w:type="dxa"/>
                    <w:bottom w:w="0" w:type="dxa"/>
                    <w:right w:w="57" w:type="dxa"/>
                  </w:tcMar>
                  <w:vAlign w:val="center"/>
                </w:tcPr>
                <w:p w14:paraId="0C55B7BF">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rPr>
                  </w:pPr>
                  <w:r>
                    <w:rPr>
                      <w:rFonts w:hint="eastAsia"/>
                      <w:color w:val="auto"/>
                      <w:highlight w:val="none"/>
                    </w:rPr>
                    <w:t>达标</w:t>
                  </w:r>
                </w:p>
              </w:tc>
            </w:tr>
            <w:tr w14:paraId="54B8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7" w:type="pct"/>
                  <w:vMerge w:val="continue"/>
                </w:tcPr>
                <w:p w14:paraId="3ACF2BAC">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rPr>
                  </w:pPr>
                </w:p>
              </w:tc>
              <w:tc>
                <w:tcPr>
                  <w:tcW w:w="356" w:type="pct"/>
                  <w:vMerge w:val="continue"/>
                </w:tcPr>
                <w:p w14:paraId="0BA01D11">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p>
              </w:tc>
              <w:tc>
                <w:tcPr>
                  <w:tcW w:w="1000" w:type="pct"/>
                  <w:shd w:val="clear" w:color="auto" w:fill="auto"/>
                  <w:vAlign w:val="center"/>
                </w:tcPr>
                <w:p w14:paraId="013980F7">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苯乙烯</w:t>
                  </w:r>
                </w:p>
              </w:tc>
              <w:tc>
                <w:tcPr>
                  <w:tcW w:w="489" w:type="pct"/>
                  <w:shd w:val="clear" w:color="auto" w:fill="auto"/>
                  <w:vAlign w:val="center"/>
                </w:tcPr>
                <w:p w14:paraId="4261FC3B">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0.021</w:t>
                  </w:r>
                </w:p>
              </w:tc>
              <w:tc>
                <w:tcPr>
                  <w:tcW w:w="600" w:type="pct"/>
                  <w:vAlign w:val="center"/>
                </w:tcPr>
                <w:p w14:paraId="2F5EAC4F">
                  <w:pPr>
                    <w:pStyle w:val="20"/>
                    <w:bidi w:val="0"/>
                    <w:rPr>
                      <w:rFonts w:hint="default"/>
                      <w:color w:val="auto"/>
                      <w:highlight w:val="none"/>
                      <w:lang w:val="en-US" w:eastAsia="zh-CN"/>
                    </w:rPr>
                  </w:pPr>
                  <w:r>
                    <w:rPr>
                      <w:rFonts w:hint="eastAsia"/>
                      <w:color w:val="auto"/>
                      <w:highlight w:val="none"/>
                      <w:lang w:val="en-US" w:eastAsia="zh-CN"/>
                    </w:rPr>
                    <w:t>1.038</w:t>
                  </w:r>
                </w:p>
              </w:tc>
              <w:tc>
                <w:tcPr>
                  <w:tcW w:w="483" w:type="pct"/>
                </w:tcPr>
                <w:p w14:paraId="45BB1760">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w:t>
                  </w:r>
                </w:p>
              </w:tc>
              <w:tc>
                <w:tcPr>
                  <w:tcW w:w="567" w:type="pct"/>
                </w:tcPr>
                <w:p w14:paraId="6BD62234">
                  <w:pPr>
                    <w:pStyle w:val="20"/>
                    <w:keepNext w:val="0"/>
                    <w:keepLines w:val="0"/>
                    <w:pageBreakBefore w:val="0"/>
                    <w:widowControl w:val="0"/>
                    <w:kinsoku w:val="0"/>
                    <w:wordWrap w:val="0"/>
                    <w:overflowPunct/>
                    <w:topLinePunct w:val="0"/>
                    <w:autoSpaceDE w:val="0"/>
                    <w:autoSpaceDN/>
                    <w:bidi w:val="0"/>
                    <w:adjustRightInd/>
                    <w:snapToGrid/>
                    <w:textAlignment w:val="auto"/>
                    <w:rPr>
                      <w:rFonts w:hint="default"/>
                      <w:color w:val="auto"/>
                      <w:highlight w:val="none"/>
                      <w:lang w:val="en-US" w:eastAsia="zh-CN"/>
                    </w:rPr>
                  </w:pPr>
                  <w:r>
                    <w:rPr>
                      <w:rFonts w:hint="eastAsia"/>
                      <w:color w:val="auto"/>
                      <w:highlight w:val="none"/>
                      <w:lang w:val="en-US" w:eastAsia="zh-CN"/>
                    </w:rPr>
                    <w:t>20</w:t>
                  </w:r>
                </w:p>
              </w:tc>
              <w:tc>
                <w:tcPr>
                  <w:tcW w:w="706" w:type="pct"/>
                  <w:vMerge w:val="continue"/>
                </w:tcPr>
                <w:p w14:paraId="364C1CC2">
                  <w:pPr>
                    <w:pStyle w:val="20"/>
                    <w:keepNext w:val="0"/>
                    <w:keepLines w:val="0"/>
                    <w:pageBreakBefore w:val="0"/>
                    <w:widowControl w:val="0"/>
                    <w:kinsoku w:val="0"/>
                    <w:wordWrap w:val="0"/>
                    <w:overflowPunct/>
                    <w:topLinePunct w:val="0"/>
                    <w:autoSpaceDE w:val="0"/>
                    <w:autoSpaceDN/>
                    <w:bidi w:val="0"/>
                    <w:adjustRightInd/>
                    <w:snapToGrid/>
                    <w:textAlignment w:val="auto"/>
                    <w:rPr>
                      <w:rFonts w:hint="default"/>
                      <w:color w:val="auto"/>
                      <w:highlight w:val="none"/>
                      <w:lang w:val="en-US" w:eastAsia="zh-CN"/>
                    </w:rPr>
                  </w:pPr>
                </w:p>
              </w:tc>
              <w:tc>
                <w:tcPr>
                  <w:tcW w:w="327" w:type="pct"/>
                </w:tcPr>
                <w:p w14:paraId="3DF6EF4C">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rPr>
                  </w:pPr>
                  <w:r>
                    <w:rPr>
                      <w:rFonts w:hint="eastAsia"/>
                      <w:color w:val="auto"/>
                      <w:highlight w:val="none"/>
                    </w:rPr>
                    <w:t>达标</w:t>
                  </w:r>
                </w:p>
              </w:tc>
            </w:tr>
            <w:tr w14:paraId="72883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7" w:type="pct"/>
                  <w:vMerge w:val="continue"/>
                </w:tcPr>
                <w:p w14:paraId="31410E51">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rPr>
                  </w:pPr>
                </w:p>
              </w:tc>
              <w:tc>
                <w:tcPr>
                  <w:tcW w:w="356" w:type="pct"/>
                  <w:vMerge w:val="continue"/>
                </w:tcPr>
                <w:p w14:paraId="5A63BD87">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p>
              </w:tc>
              <w:tc>
                <w:tcPr>
                  <w:tcW w:w="1000" w:type="pct"/>
                  <w:shd w:val="clear" w:color="auto" w:fill="auto"/>
                  <w:vAlign w:val="center"/>
                </w:tcPr>
                <w:p w14:paraId="6F8EED46">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甲苯</w:t>
                  </w:r>
                </w:p>
              </w:tc>
              <w:tc>
                <w:tcPr>
                  <w:tcW w:w="489" w:type="pct"/>
                  <w:shd w:val="clear" w:color="auto" w:fill="auto"/>
                  <w:vAlign w:val="center"/>
                </w:tcPr>
                <w:p w14:paraId="7BC52D75">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0.001</w:t>
                  </w:r>
                </w:p>
              </w:tc>
              <w:tc>
                <w:tcPr>
                  <w:tcW w:w="600" w:type="pct"/>
                  <w:vAlign w:val="center"/>
                </w:tcPr>
                <w:p w14:paraId="1093EAF7">
                  <w:pPr>
                    <w:pStyle w:val="20"/>
                    <w:bidi w:val="0"/>
                    <w:rPr>
                      <w:rFonts w:hint="default"/>
                      <w:color w:val="auto"/>
                      <w:highlight w:val="none"/>
                      <w:lang w:val="en-US" w:eastAsia="zh-CN"/>
                    </w:rPr>
                  </w:pPr>
                  <w:r>
                    <w:rPr>
                      <w:rFonts w:hint="eastAsia"/>
                      <w:color w:val="auto"/>
                      <w:highlight w:val="none"/>
                      <w:lang w:val="en-US" w:eastAsia="zh-CN"/>
                    </w:rPr>
                    <w:t>0.029</w:t>
                  </w:r>
                </w:p>
              </w:tc>
              <w:tc>
                <w:tcPr>
                  <w:tcW w:w="483" w:type="pct"/>
                </w:tcPr>
                <w:p w14:paraId="45BB9CC0">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w:t>
                  </w:r>
                </w:p>
              </w:tc>
              <w:tc>
                <w:tcPr>
                  <w:tcW w:w="567" w:type="pct"/>
                </w:tcPr>
                <w:p w14:paraId="22C5262E">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8</w:t>
                  </w:r>
                </w:p>
              </w:tc>
              <w:tc>
                <w:tcPr>
                  <w:tcW w:w="706" w:type="pct"/>
                  <w:vMerge w:val="continue"/>
                </w:tcPr>
                <w:p w14:paraId="2AB3E1AD">
                  <w:pPr>
                    <w:pStyle w:val="20"/>
                    <w:keepNext w:val="0"/>
                    <w:keepLines w:val="0"/>
                    <w:pageBreakBefore w:val="0"/>
                    <w:widowControl w:val="0"/>
                    <w:kinsoku w:val="0"/>
                    <w:wordWrap w:val="0"/>
                    <w:overflowPunct/>
                    <w:topLinePunct w:val="0"/>
                    <w:autoSpaceDE w:val="0"/>
                    <w:autoSpaceDN/>
                    <w:bidi w:val="0"/>
                    <w:adjustRightInd/>
                    <w:snapToGrid/>
                    <w:textAlignment w:val="auto"/>
                    <w:rPr>
                      <w:rFonts w:hint="default"/>
                      <w:color w:val="auto"/>
                      <w:highlight w:val="none"/>
                      <w:lang w:val="en-US" w:eastAsia="zh-CN"/>
                    </w:rPr>
                  </w:pPr>
                </w:p>
              </w:tc>
              <w:tc>
                <w:tcPr>
                  <w:tcW w:w="327" w:type="pct"/>
                </w:tcPr>
                <w:p w14:paraId="77CF9A21">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rPr>
                  </w:pPr>
                  <w:r>
                    <w:rPr>
                      <w:rFonts w:hint="eastAsia"/>
                      <w:color w:val="auto"/>
                      <w:highlight w:val="none"/>
                    </w:rPr>
                    <w:t>达标</w:t>
                  </w:r>
                </w:p>
              </w:tc>
            </w:tr>
            <w:tr w14:paraId="434AA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7" w:type="pct"/>
                  <w:vMerge w:val="continue"/>
                </w:tcPr>
                <w:p w14:paraId="5805AFD1">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rPr>
                  </w:pPr>
                </w:p>
              </w:tc>
              <w:tc>
                <w:tcPr>
                  <w:tcW w:w="356" w:type="pct"/>
                  <w:vMerge w:val="continue"/>
                </w:tcPr>
                <w:p w14:paraId="465229C7">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p>
              </w:tc>
              <w:tc>
                <w:tcPr>
                  <w:tcW w:w="1000" w:type="pct"/>
                  <w:shd w:val="clear" w:color="auto" w:fill="auto"/>
                  <w:vAlign w:val="center"/>
                </w:tcPr>
                <w:p w14:paraId="4DF36BC6">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乙苯</w:t>
                  </w:r>
                </w:p>
              </w:tc>
              <w:tc>
                <w:tcPr>
                  <w:tcW w:w="489" w:type="pct"/>
                  <w:shd w:val="clear" w:color="auto" w:fill="auto"/>
                  <w:vAlign w:val="center"/>
                </w:tcPr>
                <w:p w14:paraId="06259768">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0.002</w:t>
                  </w:r>
                </w:p>
              </w:tc>
              <w:tc>
                <w:tcPr>
                  <w:tcW w:w="600" w:type="pct"/>
                  <w:vAlign w:val="center"/>
                </w:tcPr>
                <w:p w14:paraId="167E27B1">
                  <w:pPr>
                    <w:pStyle w:val="20"/>
                    <w:bidi w:val="0"/>
                    <w:rPr>
                      <w:rFonts w:hint="default"/>
                      <w:color w:val="auto"/>
                      <w:highlight w:val="none"/>
                      <w:lang w:val="en-US" w:eastAsia="zh-CN"/>
                    </w:rPr>
                  </w:pPr>
                  <w:r>
                    <w:rPr>
                      <w:rFonts w:hint="eastAsia"/>
                      <w:color w:val="auto"/>
                      <w:highlight w:val="none"/>
                      <w:lang w:val="en-US" w:eastAsia="zh-CN"/>
                    </w:rPr>
                    <w:t>0.122</w:t>
                  </w:r>
                </w:p>
              </w:tc>
              <w:tc>
                <w:tcPr>
                  <w:tcW w:w="483" w:type="pct"/>
                </w:tcPr>
                <w:p w14:paraId="66257AA9">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w:t>
                  </w:r>
                </w:p>
              </w:tc>
              <w:tc>
                <w:tcPr>
                  <w:tcW w:w="567" w:type="pct"/>
                </w:tcPr>
                <w:p w14:paraId="353F606B">
                  <w:pPr>
                    <w:pStyle w:val="20"/>
                    <w:keepNext w:val="0"/>
                    <w:keepLines w:val="0"/>
                    <w:pageBreakBefore w:val="0"/>
                    <w:widowControl w:val="0"/>
                    <w:kinsoku w:val="0"/>
                    <w:wordWrap w:val="0"/>
                    <w:overflowPunct/>
                    <w:topLinePunct w:val="0"/>
                    <w:autoSpaceDE w:val="0"/>
                    <w:autoSpaceDN/>
                    <w:bidi w:val="0"/>
                    <w:adjustRightInd/>
                    <w:snapToGrid/>
                    <w:textAlignment w:val="auto"/>
                    <w:rPr>
                      <w:rFonts w:hint="default"/>
                      <w:color w:val="auto"/>
                      <w:highlight w:val="none"/>
                      <w:lang w:val="en-US" w:eastAsia="zh-CN"/>
                    </w:rPr>
                  </w:pPr>
                  <w:r>
                    <w:rPr>
                      <w:rFonts w:hint="eastAsia"/>
                      <w:color w:val="auto"/>
                      <w:highlight w:val="none"/>
                      <w:lang w:val="en-US" w:eastAsia="zh-CN"/>
                    </w:rPr>
                    <w:t>50</w:t>
                  </w:r>
                </w:p>
              </w:tc>
              <w:tc>
                <w:tcPr>
                  <w:tcW w:w="706" w:type="pct"/>
                  <w:vMerge w:val="continue"/>
                </w:tcPr>
                <w:p w14:paraId="76ED3C3D">
                  <w:pPr>
                    <w:pStyle w:val="20"/>
                    <w:keepNext w:val="0"/>
                    <w:keepLines w:val="0"/>
                    <w:pageBreakBefore w:val="0"/>
                    <w:widowControl w:val="0"/>
                    <w:kinsoku w:val="0"/>
                    <w:wordWrap w:val="0"/>
                    <w:overflowPunct/>
                    <w:topLinePunct w:val="0"/>
                    <w:autoSpaceDE w:val="0"/>
                    <w:autoSpaceDN/>
                    <w:bidi w:val="0"/>
                    <w:adjustRightInd/>
                    <w:snapToGrid/>
                    <w:textAlignment w:val="auto"/>
                    <w:rPr>
                      <w:rFonts w:hint="default"/>
                      <w:color w:val="auto"/>
                      <w:highlight w:val="none"/>
                      <w:lang w:val="en-US" w:eastAsia="zh-CN"/>
                    </w:rPr>
                  </w:pPr>
                </w:p>
              </w:tc>
              <w:tc>
                <w:tcPr>
                  <w:tcW w:w="327" w:type="pct"/>
                </w:tcPr>
                <w:p w14:paraId="3BE7BDF7">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rPr>
                  </w:pPr>
                  <w:r>
                    <w:rPr>
                      <w:rFonts w:hint="eastAsia"/>
                      <w:color w:val="auto"/>
                      <w:highlight w:val="none"/>
                    </w:rPr>
                    <w:t>达标</w:t>
                  </w:r>
                </w:p>
              </w:tc>
            </w:tr>
            <w:tr w14:paraId="15E9A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7" w:type="pct"/>
                  <w:vMerge w:val="continue"/>
                </w:tcPr>
                <w:p w14:paraId="058C6DDF">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rPr>
                  </w:pPr>
                </w:p>
              </w:tc>
              <w:tc>
                <w:tcPr>
                  <w:tcW w:w="356" w:type="pct"/>
                  <w:vMerge w:val="continue"/>
                </w:tcPr>
                <w:p w14:paraId="7A976798">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p>
              </w:tc>
              <w:tc>
                <w:tcPr>
                  <w:tcW w:w="1000" w:type="pct"/>
                  <w:shd w:val="clear" w:color="auto" w:fill="auto"/>
                  <w:vAlign w:val="center"/>
                </w:tcPr>
                <w:p w14:paraId="2E11FD98">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甲基丙烯酸甲酯</w:t>
                  </w:r>
                </w:p>
              </w:tc>
              <w:tc>
                <w:tcPr>
                  <w:tcW w:w="489" w:type="pct"/>
                  <w:shd w:val="clear" w:color="auto" w:fill="auto"/>
                  <w:vAlign w:val="center"/>
                </w:tcPr>
                <w:p w14:paraId="2B2D1863">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0.010</w:t>
                  </w:r>
                </w:p>
              </w:tc>
              <w:tc>
                <w:tcPr>
                  <w:tcW w:w="600" w:type="pct"/>
                  <w:vAlign w:val="center"/>
                </w:tcPr>
                <w:p w14:paraId="229B4BD3">
                  <w:pPr>
                    <w:pStyle w:val="20"/>
                    <w:bidi w:val="0"/>
                    <w:rPr>
                      <w:rFonts w:hint="default"/>
                      <w:color w:val="auto"/>
                      <w:highlight w:val="none"/>
                      <w:lang w:val="en-US" w:eastAsia="zh-CN"/>
                    </w:rPr>
                  </w:pPr>
                  <w:r>
                    <w:rPr>
                      <w:rFonts w:hint="eastAsia"/>
                      <w:color w:val="auto"/>
                      <w:highlight w:val="none"/>
                      <w:lang w:val="en-US" w:eastAsia="zh-CN"/>
                    </w:rPr>
                    <w:t>0.502</w:t>
                  </w:r>
                </w:p>
              </w:tc>
              <w:tc>
                <w:tcPr>
                  <w:tcW w:w="483" w:type="pct"/>
                </w:tcPr>
                <w:p w14:paraId="4D33344A">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w:t>
                  </w:r>
                </w:p>
              </w:tc>
              <w:tc>
                <w:tcPr>
                  <w:tcW w:w="567" w:type="pct"/>
                </w:tcPr>
                <w:p w14:paraId="7C70906B">
                  <w:pPr>
                    <w:pStyle w:val="20"/>
                    <w:keepNext w:val="0"/>
                    <w:keepLines w:val="0"/>
                    <w:pageBreakBefore w:val="0"/>
                    <w:widowControl w:val="0"/>
                    <w:kinsoku w:val="0"/>
                    <w:wordWrap w:val="0"/>
                    <w:overflowPunct/>
                    <w:topLinePunct w:val="0"/>
                    <w:autoSpaceDE w:val="0"/>
                    <w:autoSpaceDN/>
                    <w:bidi w:val="0"/>
                    <w:adjustRightInd/>
                    <w:snapToGrid/>
                    <w:textAlignment w:val="auto"/>
                    <w:rPr>
                      <w:rFonts w:hint="default"/>
                      <w:color w:val="auto"/>
                      <w:highlight w:val="none"/>
                      <w:lang w:val="en-US" w:eastAsia="zh-CN"/>
                    </w:rPr>
                  </w:pPr>
                  <w:r>
                    <w:rPr>
                      <w:rFonts w:hint="eastAsia"/>
                      <w:color w:val="auto"/>
                      <w:highlight w:val="none"/>
                      <w:lang w:val="en-US" w:eastAsia="zh-CN"/>
                    </w:rPr>
                    <w:t>50</w:t>
                  </w:r>
                </w:p>
              </w:tc>
              <w:tc>
                <w:tcPr>
                  <w:tcW w:w="706" w:type="pct"/>
                  <w:vMerge w:val="continue"/>
                </w:tcPr>
                <w:p w14:paraId="57CB9100">
                  <w:pPr>
                    <w:pStyle w:val="20"/>
                    <w:keepNext w:val="0"/>
                    <w:keepLines w:val="0"/>
                    <w:pageBreakBefore w:val="0"/>
                    <w:widowControl w:val="0"/>
                    <w:kinsoku w:val="0"/>
                    <w:wordWrap w:val="0"/>
                    <w:overflowPunct/>
                    <w:topLinePunct w:val="0"/>
                    <w:autoSpaceDE w:val="0"/>
                    <w:autoSpaceDN/>
                    <w:bidi w:val="0"/>
                    <w:adjustRightInd/>
                    <w:snapToGrid/>
                    <w:textAlignment w:val="auto"/>
                    <w:rPr>
                      <w:rFonts w:hint="default"/>
                      <w:color w:val="auto"/>
                      <w:highlight w:val="none"/>
                      <w:lang w:val="en-US" w:eastAsia="zh-CN"/>
                    </w:rPr>
                  </w:pPr>
                </w:p>
              </w:tc>
              <w:tc>
                <w:tcPr>
                  <w:tcW w:w="327" w:type="pct"/>
                </w:tcPr>
                <w:p w14:paraId="46120CE5">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rPr>
                  </w:pPr>
                  <w:r>
                    <w:rPr>
                      <w:rFonts w:hint="eastAsia"/>
                      <w:color w:val="auto"/>
                      <w:highlight w:val="none"/>
                    </w:rPr>
                    <w:t>达标</w:t>
                  </w:r>
                </w:p>
              </w:tc>
            </w:tr>
            <w:tr w14:paraId="39188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7" w:type="pct"/>
                  <w:vMerge w:val="continue"/>
                </w:tcPr>
                <w:p w14:paraId="356AC1AF">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rPr>
                  </w:pPr>
                </w:p>
              </w:tc>
              <w:tc>
                <w:tcPr>
                  <w:tcW w:w="356" w:type="pct"/>
                  <w:vMerge w:val="continue"/>
                </w:tcPr>
                <w:p w14:paraId="2FE982A5">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p>
              </w:tc>
              <w:tc>
                <w:tcPr>
                  <w:tcW w:w="1000" w:type="pct"/>
                  <w:shd w:val="clear" w:color="auto" w:fill="auto"/>
                  <w:vAlign w:val="center"/>
                </w:tcPr>
                <w:p w14:paraId="0BF899A6">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丙烯酸甲酯</w:t>
                  </w:r>
                </w:p>
              </w:tc>
              <w:tc>
                <w:tcPr>
                  <w:tcW w:w="489" w:type="pct"/>
                  <w:shd w:val="clear" w:color="auto" w:fill="auto"/>
                  <w:vAlign w:val="center"/>
                </w:tcPr>
                <w:p w14:paraId="7A4CA92D">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0.000</w:t>
                  </w:r>
                </w:p>
              </w:tc>
              <w:tc>
                <w:tcPr>
                  <w:tcW w:w="600" w:type="pct"/>
                  <w:vAlign w:val="center"/>
                </w:tcPr>
                <w:p w14:paraId="1C90D6EE">
                  <w:pPr>
                    <w:pStyle w:val="20"/>
                    <w:bidi w:val="0"/>
                    <w:rPr>
                      <w:rFonts w:hint="default"/>
                      <w:color w:val="auto"/>
                      <w:highlight w:val="none"/>
                      <w:lang w:val="en-US" w:eastAsia="zh-CN"/>
                    </w:rPr>
                  </w:pPr>
                  <w:r>
                    <w:rPr>
                      <w:rFonts w:hint="eastAsia"/>
                      <w:color w:val="auto"/>
                      <w:highlight w:val="none"/>
                      <w:lang w:val="en-US" w:eastAsia="zh-CN"/>
                    </w:rPr>
                    <w:t>0.013</w:t>
                  </w:r>
                </w:p>
              </w:tc>
              <w:tc>
                <w:tcPr>
                  <w:tcW w:w="483" w:type="pct"/>
                </w:tcPr>
                <w:p w14:paraId="7DDDFA6C">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w:t>
                  </w:r>
                </w:p>
              </w:tc>
              <w:tc>
                <w:tcPr>
                  <w:tcW w:w="567" w:type="pct"/>
                </w:tcPr>
                <w:p w14:paraId="5C287329">
                  <w:pPr>
                    <w:pStyle w:val="20"/>
                    <w:keepNext w:val="0"/>
                    <w:keepLines w:val="0"/>
                    <w:pageBreakBefore w:val="0"/>
                    <w:widowControl w:val="0"/>
                    <w:kinsoku w:val="0"/>
                    <w:wordWrap w:val="0"/>
                    <w:overflowPunct/>
                    <w:topLinePunct w:val="0"/>
                    <w:autoSpaceDE w:val="0"/>
                    <w:autoSpaceDN/>
                    <w:bidi w:val="0"/>
                    <w:adjustRightInd/>
                    <w:snapToGrid/>
                    <w:textAlignment w:val="auto"/>
                    <w:rPr>
                      <w:rFonts w:hint="default"/>
                      <w:color w:val="auto"/>
                      <w:highlight w:val="none"/>
                      <w:lang w:val="en-US" w:eastAsia="zh-CN"/>
                    </w:rPr>
                  </w:pPr>
                  <w:r>
                    <w:rPr>
                      <w:rFonts w:hint="eastAsia"/>
                      <w:color w:val="auto"/>
                      <w:highlight w:val="none"/>
                      <w:lang w:val="en-US" w:eastAsia="zh-CN"/>
                    </w:rPr>
                    <w:t>20</w:t>
                  </w:r>
                </w:p>
              </w:tc>
              <w:tc>
                <w:tcPr>
                  <w:tcW w:w="706" w:type="pct"/>
                  <w:vMerge w:val="continue"/>
                </w:tcPr>
                <w:p w14:paraId="07AC9E72">
                  <w:pPr>
                    <w:pStyle w:val="20"/>
                    <w:keepNext w:val="0"/>
                    <w:keepLines w:val="0"/>
                    <w:pageBreakBefore w:val="0"/>
                    <w:widowControl w:val="0"/>
                    <w:kinsoku w:val="0"/>
                    <w:wordWrap w:val="0"/>
                    <w:overflowPunct/>
                    <w:topLinePunct w:val="0"/>
                    <w:autoSpaceDE w:val="0"/>
                    <w:autoSpaceDN/>
                    <w:bidi w:val="0"/>
                    <w:adjustRightInd/>
                    <w:snapToGrid/>
                    <w:textAlignment w:val="auto"/>
                    <w:rPr>
                      <w:rFonts w:hint="default"/>
                      <w:color w:val="auto"/>
                      <w:highlight w:val="none"/>
                      <w:lang w:val="en-US" w:eastAsia="zh-CN"/>
                    </w:rPr>
                  </w:pPr>
                </w:p>
              </w:tc>
              <w:tc>
                <w:tcPr>
                  <w:tcW w:w="327" w:type="pct"/>
                </w:tcPr>
                <w:p w14:paraId="62E4B146">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rPr>
                  </w:pPr>
                  <w:r>
                    <w:rPr>
                      <w:rFonts w:hint="eastAsia"/>
                      <w:color w:val="auto"/>
                      <w:highlight w:val="none"/>
                    </w:rPr>
                    <w:t>达标</w:t>
                  </w:r>
                </w:p>
              </w:tc>
            </w:tr>
            <w:tr w14:paraId="2FCF2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7" w:type="pct"/>
                  <w:vMerge w:val="continue"/>
                </w:tcPr>
                <w:p w14:paraId="7E83E486">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rPr>
                  </w:pPr>
                </w:p>
              </w:tc>
              <w:tc>
                <w:tcPr>
                  <w:tcW w:w="356" w:type="pct"/>
                  <w:vMerge w:val="continue"/>
                </w:tcPr>
                <w:p w14:paraId="162DD138">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p>
              </w:tc>
              <w:tc>
                <w:tcPr>
                  <w:tcW w:w="1000" w:type="pct"/>
                  <w:shd w:val="clear" w:color="auto" w:fill="auto"/>
                  <w:vAlign w:val="center"/>
                </w:tcPr>
                <w:p w14:paraId="4BDF87E9">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丙烯酸</w:t>
                  </w:r>
                </w:p>
              </w:tc>
              <w:tc>
                <w:tcPr>
                  <w:tcW w:w="489" w:type="pct"/>
                  <w:shd w:val="clear" w:color="auto" w:fill="auto"/>
                  <w:vAlign w:val="center"/>
                </w:tcPr>
                <w:p w14:paraId="29FDE23E">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0.004</w:t>
                  </w:r>
                </w:p>
              </w:tc>
              <w:tc>
                <w:tcPr>
                  <w:tcW w:w="600" w:type="pct"/>
                  <w:vAlign w:val="center"/>
                </w:tcPr>
                <w:p w14:paraId="5E16D571">
                  <w:pPr>
                    <w:pStyle w:val="20"/>
                    <w:bidi w:val="0"/>
                    <w:rPr>
                      <w:rFonts w:hint="default"/>
                      <w:color w:val="auto"/>
                      <w:highlight w:val="none"/>
                      <w:lang w:val="en-US" w:eastAsia="zh-CN"/>
                    </w:rPr>
                  </w:pPr>
                  <w:r>
                    <w:rPr>
                      <w:rFonts w:hint="eastAsia"/>
                      <w:color w:val="auto"/>
                      <w:highlight w:val="none"/>
                      <w:lang w:val="en-US" w:eastAsia="zh-CN"/>
                    </w:rPr>
                    <w:t>0.184</w:t>
                  </w:r>
                </w:p>
              </w:tc>
              <w:tc>
                <w:tcPr>
                  <w:tcW w:w="483" w:type="pct"/>
                </w:tcPr>
                <w:p w14:paraId="6D02D268">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w:t>
                  </w:r>
                </w:p>
              </w:tc>
              <w:tc>
                <w:tcPr>
                  <w:tcW w:w="567" w:type="pct"/>
                </w:tcPr>
                <w:p w14:paraId="45A2E823">
                  <w:pPr>
                    <w:pStyle w:val="20"/>
                    <w:keepNext w:val="0"/>
                    <w:keepLines w:val="0"/>
                    <w:pageBreakBefore w:val="0"/>
                    <w:widowControl w:val="0"/>
                    <w:kinsoku w:val="0"/>
                    <w:wordWrap w:val="0"/>
                    <w:overflowPunct/>
                    <w:topLinePunct w:val="0"/>
                    <w:autoSpaceDE w:val="0"/>
                    <w:autoSpaceDN/>
                    <w:bidi w:val="0"/>
                    <w:adjustRightInd/>
                    <w:snapToGrid/>
                    <w:textAlignment w:val="auto"/>
                    <w:rPr>
                      <w:rFonts w:hint="default"/>
                      <w:color w:val="auto"/>
                      <w:highlight w:val="none"/>
                      <w:lang w:val="en-US" w:eastAsia="zh-CN"/>
                    </w:rPr>
                  </w:pPr>
                  <w:r>
                    <w:rPr>
                      <w:rFonts w:hint="eastAsia"/>
                      <w:color w:val="auto"/>
                      <w:highlight w:val="none"/>
                      <w:lang w:val="en-US" w:eastAsia="zh-CN"/>
                    </w:rPr>
                    <w:t>10</w:t>
                  </w:r>
                </w:p>
              </w:tc>
              <w:tc>
                <w:tcPr>
                  <w:tcW w:w="706" w:type="pct"/>
                  <w:vMerge w:val="continue"/>
                </w:tcPr>
                <w:p w14:paraId="1D021C6E">
                  <w:pPr>
                    <w:pStyle w:val="20"/>
                    <w:keepNext w:val="0"/>
                    <w:keepLines w:val="0"/>
                    <w:pageBreakBefore w:val="0"/>
                    <w:widowControl w:val="0"/>
                    <w:kinsoku w:val="0"/>
                    <w:wordWrap w:val="0"/>
                    <w:overflowPunct/>
                    <w:topLinePunct w:val="0"/>
                    <w:autoSpaceDE w:val="0"/>
                    <w:autoSpaceDN/>
                    <w:bidi w:val="0"/>
                    <w:adjustRightInd/>
                    <w:snapToGrid/>
                    <w:textAlignment w:val="auto"/>
                    <w:rPr>
                      <w:rFonts w:hint="default"/>
                      <w:color w:val="auto"/>
                      <w:highlight w:val="none"/>
                      <w:lang w:val="en-US" w:eastAsia="zh-CN"/>
                    </w:rPr>
                  </w:pPr>
                </w:p>
              </w:tc>
              <w:tc>
                <w:tcPr>
                  <w:tcW w:w="327" w:type="pct"/>
                </w:tcPr>
                <w:p w14:paraId="1074CE27">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rPr>
                  </w:pPr>
                  <w:r>
                    <w:rPr>
                      <w:rFonts w:hint="eastAsia"/>
                      <w:color w:val="auto"/>
                      <w:highlight w:val="none"/>
                    </w:rPr>
                    <w:t>达标</w:t>
                  </w:r>
                </w:p>
              </w:tc>
            </w:tr>
            <w:tr w14:paraId="7804B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7" w:type="pct"/>
                  <w:vMerge w:val="continue"/>
                </w:tcPr>
                <w:p w14:paraId="1C69F244">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rPr>
                  </w:pPr>
                </w:p>
              </w:tc>
              <w:tc>
                <w:tcPr>
                  <w:tcW w:w="356" w:type="pct"/>
                  <w:vMerge w:val="continue"/>
                </w:tcPr>
                <w:p w14:paraId="566D29A6">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p>
              </w:tc>
              <w:tc>
                <w:tcPr>
                  <w:tcW w:w="1000" w:type="pct"/>
                  <w:shd w:val="clear" w:color="auto" w:fill="auto"/>
                  <w:vAlign w:val="center"/>
                </w:tcPr>
                <w:p w14:paraId="5D18060F">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丙烯酸丁酯</w:t>
                  </w:r>
                </w:p>
              </w:tc>
              <w:tc>
                <w:tcPr>
                  <w:tcW w:w="489" w:type="pct"/>
                  <w:shd w:val="clear" w:color="auto" w:fill="auto"/>
                  <w:vAlign w:val="center"/>
                </w:tcPr>
                <w:p w14:paraId="5DC99B18">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0.018</w:t>
                  </w:r>
                </w:p>
              </w:tc>
              <w:tc>
                <w:tcPr>
                  <w:tcW w:w="600" w:type="pct"/>
                  <w:vAlign w:val="center"/>
                </w:tcPr>
                <w:p w14:paraId="2D687FB7">
                  <w:pPr>
                    <w:pStyle w:val="20"/>
                    <w:bidi w:val="0"/>
                    <w:rPr>
                      <w:rFonts w:hint="default"/>
                      <w:color w:val="auto"/>
                      <w:highlight w:val="none"/>
                      <w:lang w:val="en-US" w:eastAsia="zh-CN"/>
                    </w:rPr>
                  </w:pPr>
                  <w:r>
                    <w:rPr>
                      <w:rFonts w:hint="eastAsia"/>
                      <w:color w:val="auto"/>
                      <w:highlight w:val="none"/>
                      <w:lang w:val="en-US" w:eastAsia="zh-CN"/>
                    </w:rPr>
                    <w:t>0.922</w:t>
                  </w:r>
                </w:p>
              </w:tc>
              <w:tc>
                <w:tcPr>
                  <w:tcW w:w="483" w:type="pct"/>
                </w:tcPr>
                <w:p w14:paraId="03126637">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w:t>
                  </w:r>
                </w:p>
              </w:tc>
              <w:tc>
                <w:tcPr>
                  <w:tcW w:w="567" w:type="pct"/>
                </w:tcPr>
                <w:p w14:paraId="19F07973">
                  <w:pPr>
                    <w:pStyle w:val="20"/>
                    <w:keepNext w:val="0"/>
                    <w:keepLines w:val="0"/>
                    <w:pageBreakBefore w:val="0"/>
                    <w:widowControl w:val="0"/>
                    <w:kinsoku w:val="0"/>
                    <w:wordWrap w:val="0"/>
                    <w:overflowPunct/>
                    <w:topLinePunct w:val="0"/>
                    <w:autoSpaceDE w:val="0"/>
                    <w:autoSpaceDN/>
                    <w:bidi w:val="0"/>
                    <w:adjustRightInd/>
                    <w:snapToGrid/>
                    <w:textAlignment w:val="auto"/>
                    <w:rPr>
                      <w:rFonts w:hint="default"/>
                      <w:color w:val="auto"/>
                      <w:highlight w:val="none"/>
                      <w:lang w:val="en-US" w:eastAsia="zh-CN"/>
                    </w:rPr>
                  </w:pPr>
                  <w:r>
                    <w:rPr>
                      <w:rFonts w:hint="eastAsia"/>
                      <w:color w:val="auto"/>
                      <w:highlight w:val="none"/>
                      <w:lang w:val="en-US" w:eastAsia="zh-CN"/>
                    </w:rPr>
                    <w:t>20</w:t>
                  </w:r>
                </w:p>
              </w:tc>
              <w:tc>
                <w:tcPr>
                  <w:tcW w:w="706" w:type="pct"/>
                  <w:vMerge w:val="continue"/>
                </w:tcPr>
                <w:p w14:paraId="7DF1476B">
                  <w:pPr>
                    <w:pStyle w:val="20"/>
                    <w:keepNext w:val="0"/>
                    <w:keepLines w:val="0"/>
                    <w:pageBreakBefore w:val="0"/>
                    <w:widowControl w:val="0"/>
                    <w:kinsoku w:val="0"/>
                    <w:wordWrap w:val="0"/>
                    <w:overflowPunct/>
                    <w:topLinePunct w:val="0"/>
                    <w:autoSpaceDE w:val="0"/>
                    <w:autoSpaceDN/>
                    <w:bidi w:val="0"/>
                    <w:adjustRightInd/>
                    <w:snapToGrid/>
                    <w:textAlignment w:val="auto"/>
                    <w:rPr>
                      <w:rFonts w:hint="default"/>
                      <w:color w:val="auto"/>
                      <w:highlight w:val="none"/>
                      <w:lang w:val="en-US" w:eastAsia="zh-CN"/>
                    </w:rPr>
                  </w:pPr>
                </w:p>
              </w:tc>
              <w:tc>
                <w:tcPr>
                  <w:tcW w:w="327" w:type="pct"/>
                </w:tcPr>
                <w:p w14:paraId="591A0F8C">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rPr>
                  </w:pPr>
                  <w:r>
                    <w:rPr>
                      <w:rFonts w:hint="eastAsia"/>
                      <w:color w:val="auto"/>
                      <w:highlight w:val="none"/>
                    </w:rPr>
                    <w:t>达标</w:t>
                  </w:r>
                </w:p>
              </w:tc>
            </w:tr>
          </w:tbl>
          <w:p w14:paraId="411B2E70">
            <w:pPr>
              <w:pStyle w:val="3"/>
              <w:ind w:firstLine="482"/>
              <w:rPr>
                <w:color w:val="auto"/>
                <w:highlight w:val="none"/>
              </w:rPr>
            </w:pPr>
            <w:r>
              <w:rPr>
                <w:rFonts w:hint="eastAsia"/>
                <w:color w:val="auto"/>
                <w:highlight w:val="none"/>
              </w:rPr>
              <w:t>4）非正常工况</w:t>
            </w:r>
          </w:p>
          <w:p w14:paraId="7AD552D8">
            <w:pPr>
              <w:pStyle w:val="18"/>
              <w:rPr>
                <w:color w:val="auto"/>
                <w:highlight w:val="none"/>
              </w:rPr>
            </w:pPr>
            <w:r>
              <w:rPr>
                <w:rFonts w:hint="eastAsia"/>
                <w:color w:val="auto"/>
                <w:highlight w:val="none"/>
                <w:lang w:eastAsia="zh-CN"/>
              </w:rPr>
              <w:t>扩建项目</w:t>
            </w:r>
            <w:r>
              <w:rPr>
                <w:color w:val="auto"/>
                <w:highlight w:val="none"/>
              </w:rPr>
              <w:t>非正常工况主要为</w:t>
            </w:r>
            <w:r>
              <w:rPr>
                <w:rFonts w:hint="eastAsia"/>
                <w:color w:val="auto"/>
                <w:highlight w:val="none"/>
              </w:rPr>
              <w:t>生产线</w:t>
            </w:r>
            <w:r>
              <w:rPr>
                <w:color w:val="auto"/>
                <w:highlight w:val="none"/>
              </w:rPr>
              <w:t>环保设施的非正常运行</w:t>
            </w:r>
            <w:r>
              <w:rPr>
                <w:rFonts w:hint="eastAsia"/>
                <w:color w:val="auto"/>
                <w:highlight w:val="none"/>
              </w:rPr>
              <w:t>，</w:t>
            </w:r>
            <w:r>
              <w:rPr>
                <w:color w:val="auto"/>
                <w:highlight w:val="none"/>
              </w:rPr>
              <w:t>当废气处理设施发生故障</w:t>
            </w:r>
            <w:r>
              <w:rPr>
                <w:rFonts w:hint="eastAsia"/>
                <w:color w:val="auto"/>
                <w:highlight w:val="none"/>
              </w:rPr>
              <w:t>，</w:t>
            </w:r>
            <w:r>
              <w:rPr>
                <w:rFonts w:hint="eastAsia"/>
                <w:color w:val="auto"/>
                <w:highlight w:val="none"/>
                <w:lang w:val="en-US" w:eastAsia="zh-CN"/>
              </w:rPr>
              <w:t>如</w:t>
            </w:r>
            <w:r>
              <w:rPr>
                <w:rFonts w:hint="eastAsia"/>
                <w:color w:val="auto"/>
                <w:highlight w:val="none"/>
              </w:rPr>
              <w:t>活性炭吸附失效等</w:t>
            </w:r>
            <w:r>
              <w:rPr>
                <w:color w:val="auto"/>
                <w:highlight w:val="none"/>
              </w:rPr>
              <w:t>，废气污染物</w:t>
            </w:r>
            <w:r>
              <w:rPr>
                <w:rFonts w:hint="eastAsia"/>
                <w:color w:val="auto"/>
                <w:highlight w:val="none"/>
                <w:lang w:val="en-US" w:eastAsia="zh-CN"/>
              </w:rPr>
              <w:t>未得到有效</w:t>
            </w:r>
            <w:r>
              <w:rPr>
                <w:color w:val="auto"/>
                <w:highlight w:val="none"/>
              </w:rPr>
              <w:t>处理，通过排气筒直接排放到大气中</w:t>
            </w:r>
            <w:r>
              <w:rPr>
                <w:rFonts w:hint="eastAsia"/>
                <w:color w:val="auto"/>
                <w:highlight w:val="none"/>
              </w:rPr>
              <w:t>，对环境造成污染</w:t>
            </w:r>
            <w:r>
              <w:rPr>
                <w:color w:val="auto"/>
                <w:highlight w:val="none"/>
              </w:rPr>
              <w:t>。本项目非正常排放的源强</w:t>
            </w:r>
            <w:r>
              <w:rPr>
                <w:rFonts w:hint="eastAsia"/>
                <w:color w:val="auto"/>
                <w:highlight w:val="none"/>
              </w:rPr>
              <w:t>考虑</w:t>
            </w:r>
            <w:r>
              <w:rPr>
                <w:rFonts w:hint="eastAsia"/>
                <w:color w:val="auto"/>
                <w:highlight w:val="none"/>
                <w:lang w:val="en-US" w:eastAsia="zh-CN"/>
              </w:rPr>
              <w:t>活性炭吸附设施处置效率为零</w:t>
            </w:r>
            <w:r>
              <w:rPr>
                <w:rFonts w:hint="eastAsia"/>
                <w:color w:val="auto"/>
                <w:highlight w:val="none"/>
              </w:rPr>
              <w:t>的情况，非正常工况下有组织排放情况如下：</w:t>
            </w:r>
          </w:p>
          <w:p w14:paraId="4B686508">
            <w:pPr>
              <w:pStyle w:val="19"/>
              <w:spacing w:before="156"/>
              <w:rPr>
                <w:color w:val="auto"/>
                <w:highlight w:val="none"/>
              </w:rPr>
            </w:pPr>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8</w:t>
            </w:r>
            <w:r>
              <w:rPr>
                <w:color w:val="auto"/>
                <w:highlight w:val="none"/>
              </w:rPr>
              <w:fldChar w:fldCharType="end"/>
            </w:r>
            <w:r>
              <w:rPr>
                <w:rFonts w:hint="eastAsia"/>
                <w:color w:val="auto"/>
                <w:highlight w:val="none"/>
              </w:rPr>
              <w:t xml:space="preserve">  非正常工况排放情况一览表</w:t>
            </w:r>
          </w:p>
          <w:tbl>
            <w:tblPr>
              <w:tblStyle w:val="1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44"/>
              <w:gridCol w:w="585"/>
              <w:gridCol w:w="1590"/>
              <w:gridCol w:w="587"/>
              <w:gridCol w:w="887"/>
              <w:gridCol w:w="944"/>
              <w:gridCol w:w="1003"/>
              <w:gridCol w:w="693"/>
              <w:gridCol w:w="560"/>
              <w:gridCol w:w="811"/>
            </w:tblGrid>
            <w:tr w14:paraId="63838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37" w:hRule="atLeast"/>
              </w:trPr>
              <w:tc>
                <w:tcPr>
                  <w:tcW w:w="442" w:type="pct"/>
                  <w:tcMar>
                    <w:top w:w="0" w:type="dxa"/>
                    <w:left w:w="57" w:type="dxa"/>
                    <w:bottom w:w="0" w:type="dxa"/>
                    <w:right w:w="57" w:type="dxa"/>
                  </w:tcMar>
                  <w:vAlign w:val="center"/>
                </w:tcPr>
                <w:p w14:paraId="6673B3A1">
                  <w:pPr>
                    <w:pStyle w:val="20"/>
                    <w:keepNext w:val="0"/>
                    <w:keepLines w:val="0"/>
                    <w:pageBreakBefore w:val="0"/>
                    <w:widowControl/>
                    <w:kinsoku w:val="0"/>
                    <w:wordWrap w:val="0"/>
                    <w:overflowPunct/>
                    <w:topLinePunct w:val="0"/>
                    <w:autoSpaceDE/>
                    <w:autoSpaceDN/>
                    <w:bidi w:val="0"/>
                    <w:adjustRightInd/>
                    <w:snapToGrid/>
                    <w:textAlignment w:val="auto"/>
                    <w:rPr>
                      <w:rFonts w:hint="eastAsia" w:ascii="Times New Roman" w:hAnsi="Times New Roman" w:eastAsia="宋体" w:cs="宋体"/>
                      <w:b/>
                      <w:bCs/>
                      <w:color w:val="auto"/>
                      <w:kern w:val="2"/>
                      <w:sz w:val="21"/>
                      <w:szCs w:val="21"/>
                      <w:highlight w:val="none"/>
                      <w:lang w:val="en-US" w:eastAsia="zh-CN" w:bidi="ar-SA"/>
                    </w:rPr>
                  </w:pPr>
                  <w:r>
                    <w:rPr>
                      <w:rFonts w:hint="eastAsia"/>
                      <w:b/>
                      <w:bCs/>
                      <w:color w:val="auto"/>
                      <w:highlight w:val="none"/>
                    </w:rPr>
                    <w:t>排放口</w:t>
                  </w:r>
                </w:p>
              </w:tc>
              <w:tc>
                <w:tcPr>
                  <w:tcW w:w="348" w:type="pct"/>
                  <w:tcMar>
                    <w:top w:w="0" w:type="dxa"/>
                    <w:left w:w="57" w:type="dxa"/>
                    <w:bottom w:w="0" w:type="dxa"/>
                    <w:right w:w="57" w:type="dxa"/>
                  </w:tcMar>
                  <w:vAlign w:val="center"/>
                </w:tcPr>
                <w:p w14:paraId="7F8D52D7">
                  <w:pPr>
                    <w:pStyle w:val="20"/>
                    <w:keepNext w:val="0"/>
                    <w:keepLines w:val="0"/>
                    <w:pageBreakBefore w:val="0"/>
                    <w:widowControl/>
                    <w:kinsoku w:val="0"/>
                    <w:wordWrap w:val="0"/>
                    <w:overflowPunct/>
                    <w:topLinePunct w:val="0"/>
                    <w:autoSpaceDE/>
                    <w:autoSpaceDN/>
                    <w:bidi w:val="0"/>
                    <w:adjustRightInd/>
                    <w:snapToGrid/>
                    <w:textAlignment w:val="auto"/>
                    <w:rPr>
                      <w:rFonts w:hint="eastAsia" w:ascii="Times New Roman" w:hAnsi="Times New Roman" w:eastAsia="宋体" w:cs="宋体"/>
                      <w:b/>
                      <w:bCs/>
                      <w:color w:val="auto"/>
                      <w:kern w:val="2"/>
                      <w:sz w:val="21"/>
                      <w:szCs w:val="21"/>
                      <w:highlight w:val="none"/>
                      <w:lang w:val="en-US" w:eastAsia="zh-CN" w:bidi="ar-SA"/>
                    </w:rPr>
                  </w:pPr>
                  <w:r>
                    <w:rPr>
                      <w:rFonts w:hint="eastAsia"/>
                      <w:b/>
                      <w:bCs/>
                      <w:color w:val="auto"/>
                      <w:highlight w:val="none"/>
                      <w:lang w:val="en-US" w:eastAsia="zh-CN"/>
                    </w:rPr>
                    <w:t>污染源</w:t>
                  </w:r>
                </w:p>
              </w:tc>
              <w:tc>
                <w:tcPr>
                  <w:tcW w:w="945" w:type="pct"/>
                  <w:tcMar>
                    <w:top w:w="0" w:type="dxa"/>
                    <w:left w:w="57" w:type="dxa"/>
                    <w:bottom w:w="0" w:type="dxa"/>
                    <w:right w:w="57" w:type="dxa"/>
                  </w:tcMar>
                  <w:vAlign w:val="center"/>
                </w:tcPr>
                <w:p w14:paraId="0E9B2600">
                  <w:pPr>
                    <w:pStyle w:val="20"/>
                    <w:keepNext w:val="0"/>
                    <w:keepLines w:val="0"/>
                    <w:pageBreakBefore w:val="0"/>
                    <w:widowControl/>
                    <w:kinsoku w:val="0"/>
                    <w:wordWrap w:val="0"/>
                    <w:overflowPunct/>
                    <w:topLinePunct w:val="0"/>
                    <w:autoSpaceDE/>
                    <w:autoSpaceDN/>
                    <w:bidi w:val="0"/>
                    <w:adjustRightInd/>
                    <w:snapToGrid/>
                    <w:textAlignment w:val="auto"/>
                    <w:rPr>
                      <w:rFonts w:hint="eastAsia" w:ascii="Times New Roman" w:hAnsi="Times New Roman" w:eastAsia="宋体" w:cs="宋体"/>
                      <w:b/>
                      <w:bCs/>
                      <w:color w:val="auto"/>
                      <w:kern w:val="2"/>
                      <w:sz w:val="21"/>
                      <w:szCs w:val="21"/>
                      <w:highlight w:val="none"/>
                      <w:lang w:val="en-US" w:eastAsia="zh-CN" w:bidi="ar-SA"/>
                    </w:rPr>
                  </w:pPr>
                  <w:r>
                    <w:rPr>
                      <w:b/>
                      <w:bCs/>
                      <w:color w:val="auto"/>
                      <w:highlight w:val="none"/>
                    </w:rPr>
                    <w:t>污染物</w:t>
                  </w:r>
                </w:p>
              </w:tc>
              <w:tc>
                <w:tcPr>
                  <w:tcW w:w="349" w:type="pct"/>
                  <w:tcMar>
                    <w:top w:w="0" w:type="dxa"/>
                    <w:left w:w="57" w:type="dxa"/>
                    <w:bottom w:w="0" w:type="dxa"/>
                    <w:right w:w="57" w:type="dxa"/>
                  </w:tcMar>
                  <w:vAlign w:val="center"/>
                </w:tcPr>
                <w:p w14:paraId="5D1C218D">
                  <w:pPr>
                    <w:pStyle w:val="20"/>
                    <w:keepNext w:val="0"/>
                    <w:keepLines w:val="0"/>
                    <w:pageBreakBefore w:val="0"/>
                    <w:widowControl/>
                    <w:kinsoku w:val="0"/>
                    <w:overflowPunct/>
                    <w:topLinePunct w:val="0"/>
                    <w:autoSpaceDE/>
                    <w:autoSpaceDN/>
                    <w:bidi w:val="0"/>
                    <w:adjustRightInd/>
                    <w:snapToGrid/>
                    <w:textAlignment w:val="auto"/>
                    <w:rPr>
                      <w:b/>
                      <w:bCs/>
                      <w:color w:val="auto"/>
                      <w:highlight w:val="none"/>
                    </w:rPr>
                  </w:pPr>
                  <w:r>
                    <w:rPr>
                      <w:rFonts w:hint="eastAsia"/>
                      <w:b/>
                      <w:bCs/>
                      <w:color w:val="auto"/>
                      <w:highlight w:val="none"/>
                    </w:rPr>
                    <w:t>处理效率</w:t>
                  </w:r>
                </w:p>
              </w:tc>
              <w:tc>
                <w:tcPr>
                  <w:tcW w:w="527" w:type="pct"/>
                  <w:tcMar>
                    <w:top w:w="0" w:type="dxa"/>
                    <w:left w:w="57" w:type="dxa"/>
                    <w:bottom w:w="0" w:type="dxa"/>
                    <w:right w:w="57" w:type="dxa"/>
                  </w:tcMar>
                  <w:vAlign w:val="center"/>
                </w:tcPr>
                <w:p w14:paraId="1ACB429F">
                  <w:pPr>
                    <w:pStyle w:val="20"/>
                    <w:keepNext w:val="0"/>
                    <w:keepLines w:val="0"/>
                    <w:pageBreakBefore w:val="0"/>
                    <w:widowControl/>
                    <w:kinsoku w:val="0"/>
                    <w:overflowPunct/>
                    <w:topLinePunct w:val="0"/>
                    <w:autoSpaceDE/>
                    <w:autoSpaceDN/>
                    <w:bidi w:val="0"/>
                    <w:adjustRightInd/>
                    <w:snapToGrid/>
                    <w:textAlignment w:val="auto"/>
                    <w:rPr>
                      <w:b/>
                      <w:bCs/>
                      <w:color w:val="auto"/>
                      <w:highlight w:val="none"/>
                    </w:rPr>
                  </w:pPr>
                  <w:r>
                    <w:rPr>
                      <w:rFonts w:hint="eastAsia"/>
                      <w:b/>
                      <w:bCs/>
                      <w:color w:val="auto"/>
                      <w:highlight w:val="none"/>
                    </w:rPr>
                    <w:t>排放速率kg/h</w:t>
                  </w:r>
                </w:p>
              </w:tc>
              <w:tc>
                <w:tcPr>
                  <w:tcW w:w="561" w:type="pct"/>
                  <w:tcMar>
                    <w:top w:w="0" w:type="dxa"/>
                    <w:left w:w="57" w:type="dxa"/>
                    <w:bottom w:w="0" w:type="dxa"/>
                    <w:right w:w="57" w:type="dxa"/>
                  </w:tcMar>
                  <w:vAlign w:val="center"/>
                </w:tcPr>
                <w:p w14:paraId="790E3576">
                  <w:pPr>
                    <w:pStyle w:val="20"/>
                    <w:keepNext w:val="0"/>
                    <w:keepLines w:val="0"/>
                    <w:pageBreakBefore w:val="0"/>
                    <w:widowControl/>
                    <w:kinsoku w:val="0"/>
                    <w:overflowPunct/>
                    <w:topLinePunct w:val="0"/>
                    <w:autoSpaceDE/>
                    <w:autoSpaceDN/>
                    <w:bidi w:val="0"/>
                    <w:adjustRightInd/>
                    <w:snapToGrid/>
                    <w:textAlignment w:val="auto"/>
                    <w:rPr>
                      <w:b/>
                      <w:bCs/>
                      <w:color w:val="auto"/>
                      <w:highlight w:val="none"/>
                    </w:rPr>
                  </w:pPr>
                  <w:r>
                    <w:rPr>
                      <w:rFonts w:hint="eastAsia"/>
                      <w:b/>
                      <w:bCs/>
                      <w:color w:val="auto"/>
                      <w:highlight w:val="none"/>
                    </w:rPr>
                    <w:t>排放浓度mg/m</w:t>
                  </w:r>
                  <w:r>
                    <w:rPr>
                      <w:rFonts w:hint="eastAsia"/>
                      <w:b/>
                      <w:bCs/>
                      <w:color w:val="auto"/>
                      <w:highlight w:val="none"/>
                      <w:vertAlign w:val="superscript"/>
                    </w:rPr>
                    <w:t>3</w:t>
                  </w:r>
                </w:p>
              </w:tc>
              <w:tc>
                <w:tcPr>
                  <w:tcW w:w="596" w:type="pct"/>
                  <w:tcMar>
                    <w:top w:w="0" w:type="dxa"/>
                    <w:left w:w="57" w:type="dxa"/>
                    <w:bottom w:w="0" w:type="dxa"/>
                    <w:right w:w="57" w:type="dxa"/>
                  </w:tcMar>
                  <w:vAlign w:val="center"/>
                </w:tcPr>
                <w:p w14:paraId="2422D015">
                  <w:pPr>
                    <w:pStyle w:val="20"/>
                    <w:keepNext w:val="0"/>
                    <w:keepLines w:val="0"/>
                    <w:pageBreakBefore w:val="0"/>
                    <w:widowControl/>
                    <w:kinsoku w:val="0"/>
                    <w:overflowPunct/>
                    <w:topLinePunct w:val="0"/>
                    <w:autoSpaceDE/>
                    <w:autoSpaceDN/>
                    <w:bidi w:val="0"/>
                    <w:adjustRightInd/>
                    <w:snapToGrid/>
                    <w:textAlignment w:val="auto"/>
                    <w:rPr>
                      <w:rFonts w:hint="default" w:eastAsia="宋体"/>
                      <w:b/>
                      <w:bCs/>
                      <w:color w:val="auto"/>
                      <w:highlight w:val="none"/>
                      <w:lang w:val="en-US" w:eastAsia="zh-CN"/>
                    </w:rPr>
                  </w:pPr>
                  <w:r>
                    <w:rPr>
                      <w:rFonts w:hint="eastAsia"/>
                      <w:b/>
                      <w:bCs/>
                      <w:color w:val="auto"/>
                      <w:highlight w:val="none"/>
                      <w:lang w:val="en-US" w:eastAsia="zh-CN"/>
                    </w:rPr>
                    <w:t>浓度限值</w:t>
                  </w:r>
                  <w:r>
                    <w:rPr>
                      <w:rFonts w:hint="eastAsia"/>
                      <w:b/>
                      <w:bCs/>
                      <w:color w:val="auto"/>
                      <w:highlight w:val="none"/>
                    </w:rPr>
                    <w:t>mg/m</w:t>
                  </w:r>
                  <w:r>
                    <w:rPr>
                      <w:rFonts w:hint="eastAsia"/>
                      <w:b/>
                      <w:bCs/>
                      <w:color w:val="auto"/>
                      <w:highlight w:val="none"/>
                      <w:vertAlign w:val="superscript"/>
                    </w:rPr>
                    <w:t>3</w:t>
                  </w:r>
                </w:p>
              </w:tc>
              <w:tc>
                <w:tcPr>
                  <w:tcW w:w="412" w:type="pct"/>
                  <w:tcMar>
                    <w:top w:w="0" w:type="dxa"/>
                    <w:left w:w="57" w:type="dxa"/>
                    <w:bottom w:w="0" w:type="dxa"/>
                    <w:right w:w="57" w:type="dxa"/>
                  </w:tcMar>
                  <w:vAlign w:val="center"/>
                </w:tcPr>
                <w:p w14:paraId="3F35A081">
                  <w:pPr>
                    <w:pStyle w:val="20"/>
                    <w:keepNext w:val="0"/>
                    <w:keepLines w:val="0"/>
                    <w:pageBreakBefore w:val="0"/>
                    <w:widowControl/>
                    <w:kinsoku w:val="0"/>
                    <w:overflowPunct/>
                    <w:topLinePunct w:val="0"/>
                    <w:autoSpaceDE/>
                    <w:autoSpaceDN/>
                    <w:bidi w:val="0"/>
                    <w:adjustRightInd/>
                    <w:snapToGrid/>
                    <w:textAlignment w:val="auto"/>
                    <w:rPr>
                      <w:b/>
                      <w:bCs/>
                      <w:color w:val="auto"/>
                      <w:highlight w:val="none"/>
                    </w:rPr>
                  </w:pPr>
                  <w:r>
                    <w:rPr>
                      <w:rFonts w:hint="eastAsia"/>
                      <w:b/>
                      <w:bCs/>
                      <w:color w:val="auto"/>
                      <w:highlight w:val="none"/>
                    </w:rPr>
                    <w:t>持续时间h</w:t>
                  </w:r>
                </w:p>
              </w:tc>
              <w:tc>
                <w:tcPr>
                  <w:tcW w:w="333" w:type="pct"/>
                  <w:tcMar>
                    <w:top w:w="0" w:type="dxa"/>
                    <w:left w:w="57" w:type="dxa"/>
                    <w:bottom w:w="0" w:type="dxa"/>
                    <w:right w:w="57" w:type="dxa"/>
                  </w:tcMar>
                  <w:vAlign w:val="center"/>
                </w:tcPr>
                <w:p w14:paraId="5D539719">
                  <w:pPr>
                    <w:pStyle w:val="20"/>
                    <w:keepNext w:val="0"/>
                    <w:keepLines w:val="0"/>
                    <w:pageBreakBefore w:val="0"/>
                    <w:widowControl/>
                    <w:kinsoku w:val="0"/>
                    <w:overflowPunct/>
                    <w:topLinePunct w:val="0"/>
                    <w:autoSpaceDE/>
                    <w:autoSpaceDN/>
                    <w:bidi w:val="0"/>
                    <w:adjustRightInd/>
                    <w:snapToGrid/>
                    <w:textAlignment w:val="auto"/>
                    <w:rPr>
                      <w:b/>
                      <w:bCs/>
                      <w:color w:val="auto"/>
                      <w:highlight w:val="none"/>
                    </w:rPr>
                  </w:pPr>
                  <w:r>
                    <w:rPr>
                      <w:rFonts w:hint="eastAsia"/>
                      <w:b/>
                      <w:bCs/>
                      <w:color w:val="auto"/>
                      <w:highlight w:val="none"/>
                    </w:rPr>
                    <w:t>发生频次</w:t>
                  </w:r>
                </w:p>
              </w:tc>
              <w:tc>
                <w:tcPr>
                  <w:tcW w:w="482" w:type="pct"/>
                  <w:tcMar>
                    <w:top w:w="0" w:type="dxa"/>
                    <w:left w:w="57" w:type="dxa"/>
                    <w:bottom w:w="0" w:type="dxa"/>
                    <w:right w:w="57" w:type="dxa"/>
                  </w:tcMar>
                  <w:vAlign w:val="center"/>
                </w:tcPr>
                <w:p w14:paraId="30DFA1F8">
                  <w:pPr>
                    <w:pStyle w:val="20"/>
                    <w:keepNext w:val="0"/>
                    <w:keepLines w:val="0"/>
                    <w:pageBreakBefore w:val="0"/>
                    <w:widowControl/>
                    <w:kinsoku w:val="0"/>
                    <w:overflowPunct/>
                    <w:topLinePunct w:val="0"/>
                    <w:autoSpaceDE/>
                    <w:autoSpaceDN/>
                    <w:bidi w:val="0"/>
                    <w:adjustRightInd/>
                    <w:snapToGrid/>
                    <w:textAlignment w:val="auto"/>
                    <w:rPr>
                      <w:b/>
                      <w:bCs/>
                      <w:color w:val="auto"/>
                      <w:highlight w:val="none"/>
                    </w:rPr>
                  </w:pPr>
                  <w:r>
                    <w:rPr>
                      <w:rFonts w:hint="eastAsia"/>
                      <w:b/>
                      <w:bCs/>
                      <w:color w:val="auto"/>
                      <w:highlight w:val="none"/>
                    </w:rPr>
                    <w:t>应对措施</w:t>
                  </w:r>
                </w:p>
              </w:tc>
            </w:tr>
            <w:tr w14:paraId="3FD6A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42" w:type="pct"/>
                  <w:vMerge w:val="restart"/>
                  <w:shd w:val="clear" w:color="auto" w:fill="auto"/>
                  <w:tcMar>
                    <w:top w:w="0" w:type="dxa"/>
                    <w:left w:w="57" w:type="dxa"/>
                    <w:bottom w:w="0" w:type="dxa"/>
                    <w:right w:w="57" w:type="dxa"/>
                  </w:tcMar>
                  <w:vAlign w:val="center"/>
                </w:tcPr>
                <w:p w14:paraId="72BAE1F0">
                  <w:pPr>
                    <w:pStyle w:val="20"/>
                    <w:keepNext w:val="0"/>
                    <w:keepLines w:val="0"/>
                    <w:pageBreakBefore w:val="0"/>
                    <w:widowControl/>
                    <w:kinsoku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rPr>
                    <w:t>DA001</w:t>
                  </w:r>
                </w:p>
              </w:tc>
              <w:tc>
                <w:tcPr>
                  <w:tcW w:w="348" w:type="pct"/>
                  <w:vMerge w:val="restart"/>
                  <w:shd w:val="clear" w:color="auto" w:fill="auto"/>
                  <w:tcMar>
                    <w:top w:w="0" w:type="dxa"/>
                    <w:left w:w="57" w:type="dxa"/>
                    <w:bottom w:w="0" w:type="dxa"/>
                    <w:right w:w="57" w:type="dxa"/>
                  </w:tcMar>
                  <w:vAlign w:val="center"/>
                </w:tcPr>
                <w:p w14:paraId="31F8826F">
                  <w:pPr>
                    <w:pStyle w:val="20"/>
                    <w:keepNext w:val="0"/>
                    <w:keepLines w:val="0"/>
                    <w:pageBreakBefore w:val="0"/>
                    <w:widowControl/>
                    <w:kinsoku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注塑废气+脱模、清洗剂废气</w:t>
                  </w:r>
                </w:p>
              </w:tc>
              <w:tc>
                <w:tcPr>
                  <w:tcW w:w="945" w:type="pct"/>
                  <w:shd w:val="clear" w:color="auto" w:fill="auto"/>
                  <w:tcMar>
                    <w:top w:w="0" w:type="dxa"/>
                    <w:left w:w="57" w:type="dxa"/>
                    <w:bottom w:w="0" w:type="dxa"/>
                    <w:right w:w="57" w:type="dxa"/>
                  </w:tcMar>
                  <w:vAlign w:val="center"/>
                </w:tcPr>
                <w:p w14:paraId="1EAD0615">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lang w:val="en-US" w:eastAsia="zh-CN"/>
                    </w:rPr>
                  </w:pPr>
                  <w:r>
                    <w:rPr>
                      <w:rFonts w:hint="eastAsia"/>
                      <w:color w:val="auto"/>
                      <w:highlight w:val="none"/>
                      <w:lang w:val="en-US" w:eastAsia="zh-CN"/>
                    </w:rPr>
                    <w:t>非甲烷总烃</w:t>
                  </w:r>
                </w:p>
              </w:tc>
              <w:tc>
                <w:tcPr>
                  <w:tcW w:w="349" w:type="pct"/>
                  <w:vMerge w:val="restart"/>
                  <w:tcMar>
                    <w:top w:w="0" w:type="dxa"/>
                    <w:left w:w="57" w:type="dxa"/>
                    <w:bottom w:w="0" w:type="dxa"/>
                    <w:right w:w="57" w:type="dxa"/>
                  </w:tcMar>
                  <w:vAlign w:val="center"/>
                </w:tcPr>
                <w:p w14:paraId="244172D4">
                  <w:pPr>
                    <w:pStyle w:val="20"/>
                    <w:keepNext w:val="0"/>
                    <w:keepLines w:val="0"/>
                    <w:pageBreakBefore w:val="0"/>
                    <w:widowControl/>
                    <w:kinsoku w:val="0"/>
                    <w:overflowPunct/>
                    <w:topLinePunct w:val="0"/>
                    <w:autoSpaceDE/>
                    <w:autoSpaceDN/>
                    <w:bidi w:val="0"/>
                    <w:adjustRightInd/>
                    <w:snapToGrid/>
                    <w:jc w:val="center"/>
                    <w:textAlignment w:val="auto"/>
                    <w:rPr>
                      <w:color w:val="auto"/>
                      <w:highlight w:val="none"/>
                    </w:rPr>
                  </w:pPr>
                  <w:r>
                    <w:rPr>
                      <w:rFonts w:hint="eastAsia"/>
                      <w:color w:val="auto"/>
                      <w:highlight w:val="none"/>
                    </w:rPr>
                    <w:t>0</w:t>
                  </w:r>
                </w:p>
              </w:tc>
              <w:tc>
                <w:tcPr>
                  <w:tcW w:w="527" w:type="pct"/>
                  <w:shd w:val="clear" w:color="auto" w:fill="auto"/>
                  <w:tcMar>
                    <w:top w:w="0" w:type="dxa"/>
                    <w:left w:w="57" w:type="dxa"/>
                    <w:bottom w:w="0" w:type="dxa"/>
                    <w:right w:w="57" w:type="dxa"/>
                  </w:tcMar>
                  <w:vAlign w:val="center"/>
                </w:tcPr>
                <w:p w14:paraId="65FD4BE6">
                  <w:pPr>
                    <w:pStyle w:val="20"/>
                    <w:bidi w:val="0"/>
                    <w:rPr>
                      <w:rFonts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0.224</w:t>
                  </w:r>
                </w:p>
              </w:tc>
              <w:tc>
                <w:tcPr>
                  <w:tcW w:w="561" w:type="pct"/>
                  <w:shd w:val="clear" w:color="auto" w:fill="auto"/>
                  <w:tcMar>
                    <w:top w:w="0" w:type="dxa"/>
                    <w:left w:w="57" w:type="dxa"/>
                    <w:bottom w:w="0" w:type="dxa"/>
                    <w:right w:w="57" w:type="dxa"/>
                  </w:tcMar>
                  <w:vAlign w:val="center"/>
                </w:tcPr>
                <w:p w14:paraId="307EEB81">
                  <w:pPr>
                    <w:pStyle w:val="20"/>
                    <w:bidi w:val="0"/>
                    <w:rPr>
                      <w:rFonts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11.206</w:t>
                  </w:r>
                </w:p>
              </w:tc>
              <w:tc>
                <w:tcPr>
                  <w:tcW w:w="596" w:type="pct"/>
                  <w:tcMar>
                    <w:top w:w="0" w:type="dxa"/>
                    <w:left w:w="57" w:type="dxa"/>
                    <w:bottom w:w="0" w:type="dxa"/>
                    <w:right w:w="57" w:type="dxa"/>
                  </w:tcMar>
                  <w:vAlign w:val="center"/>
                </w:tcPr>
                <w:p w14:paraId="1866AA22">
                  <w:pPr>
                    <w:pStyle w:val="20"/>
                    <w:keepNext w:val="0"/>
                    <w:keepLines w:val="0"/>
                    <w:pageBreakBefore w:val="0"/>
                    <w:widowControl/>
                    <w:kinsoku w:val="0"/>
                    <w:overflowPunct/>
                    <w:topLinePunct w:val="0"/>
                    <w:autoSpaceDE/>
                    <w:autoSpaceDN/>
                    <w:bidi w:val="0"/>
                    <w:adjustRightInd/>
                    <w:snapToGrid/>
                    <w:jc w:val="center"/>
                    <w:textAlignment w:val="auto"/>
                    <w:rPr>
                      <w:rFonts w:hint="default"/>
                      <w:color w:val="auto"/>
                      <w:highlight w:val="none"/>
                      <w:lang w:val="en-US" w:eastAsia="zh-CN"/>
                    </w:rPr>
                  </w:pPr>
                  <w:r>
                    <w:rPr>
                      <w:color w:val="auto"/>
                      <w:highlight w:val="none"/>
                    </w:rPr>
                    <w:t>60</w:t>
                  </w:r>
                </w:p>
              </w:tc>
              <w:tc>
                <w:tcPr>
                  <w:tcW w:w="412" w:type="pct"/>
                  <w:vMerge w:val="restart"/>
                  <w:tcMar>
                    <w:top w:w="0" w:type="dxa"/>
                    <w:left w:w="57" w:type="dxa"/>
                    <w:bottom w:w="0" w:type="dxa"/>
                    <w:right w:w="57" w:type="dxa"/>
                  </w:tcMar>
                  <w:vAlign w:val="center"/>
                </w:tcPr>
                <w:p w14:paraId="605BD251">
                  <w:pPr>
                    <w:pStyle w:val="20"/>
                    <w:keepNext w:val="0"/>
                    <w:keepLines w:val="0"/>
                    <w:pageBreakBefore w:val="0"/>
                    <w:widowControl/>
                    <w:kinsoku w:val="0"/>
                    <w:overflowPunct/>
                    <w:topLinePunct w:val="0"/>
                    <w:autoSpaceDE/>
                    <w:autoSpaceDN/>
                    <w:bidi w:val="0"/>
                    <w:adjustRightInd/>
                    <w:snapToGrid/>
                    <w:textAlignment w:val="auto"/>
                    <w:rPr>
                      <w:color w:val="auto"/>
                      <w:highlight w:val="none"/>
                    </w:rPr>
                  </w:pPr>
                  <w:r>
                    <w:rPr>
                      <w:rFonts w:hint="eastAsia"/>
                      <w:color w:val="auto"/>
                      <w:highlight w:val="none"/>
                    </w:rPr>
                    <w:t>1</w:t>
                  </w:r>
                </w:p>
              </w:tc>
              <w:tc>
                <w:tcPr>
                  <w:tcW w:w="333" w:type="pct"/>
                  <w:vMerge w:val="restart"/>
                  <w:tcMar>
                    <w:top w:w="0" w:type="dxa"/>
                    <w:left w:w="57" w:type="dxa"/>
                    <w:bottom w:w="0" w:type="dxa"/>
                    <w:right w:w="57" w:type="dxa"/>
                  </w:tcMar>
                  <w:vAlign w:val="center"/>
                </w:tcPr>
                <w:p w14:paraId="406F6C21">
                  <w:pPr>
                    <w:pStyle w:val="20"/>
                    <w:keepNext w:val="0"/>
                    <w:keepLines w:val="0"/>
                    <w:pageBreakBefore w:val="0"/>
                    <w:widowControl/>
                    <w:kinsoku w:val="0"/>
                    <w:overflowPunct/>
                    <w:topLinePunct w:val="0"/>
                    <w:autoSpaceDE/>
                    <w:autoSpaceDN/>
                    <w:bidi w:val="0"/>
                    <w:adjustRightInd/>
                    <w:snapToGrid/>
                    <w:textAlignment w:val="auto"/>
                    <w:rPr>
                      <w:color w:val="auto"/>
                      <w:highlight w:val="none"/>
                    </w:rPr>
                  </w:pPr>
                  <w:r>
                    <w:rPr>
                      <w:rFonts w:hint="eastAsia"/>
                      <w:color w:val="auto"/>
                      <w:highlight w:val="none"/>
                    </w:rPr>
                    <w:t>1</w:t>
                  </w:r>
                </w:p>
              </w:tc>
              <w:tc>
                <w:tcPr>
                  <w:tcW w:w="482" w:type="pct"/>
                  <w:vMerge w:val="restart"/>
                  <w:tcMar>
                    <w:top w:w="0" w:type="dxa"/>
                    <w:left w:w="57" w:type="dxa"/>
                    <w:bottom w:w="0" w:type="dxa"/>
                    <w:right w:w="57" w:type="dxa"/>
                  </w:tcMar>
                  <w:vAlign w:val="center"/>
                </w:tcPr>
                <w:p w14:paraId="64FCCC40">
                  <w:pPr>
                    <w:pStyle w:val="20"/>
                    <w:keepNext w:val="0"/>
                    <w:keepLines w:val="0"/>
                    <w:pageBreakBefore w:val="0"/>
                    <w:widowControl/>
                    <w:kinsoku/>
                    <w:wordWrap/>
                    <w:overflowPunct/>
                    <w:topLinePunct w:val="0"/>
                    <w:autoSpaceDE/>
                    <w:autoSpaceDN/>
                    <w:bidi w:val="0"/>
                    <w:adjustRightInd/>
                    <w:snapToGrid/>
                    <w:textAlignment w:val="auto"/>
                    <w:rPr>
                      <w:rFonts w:hint="default"/>
                      <w:color w:val="auto"/>
                      <w:highlight w:val="none"/>
                      <w:lang w:val="en-US" w:eastAsia="zh-CN"/>
                    </w:rPr>
                  </w:pPr>
                  <w:r>
                    <w:rPr>
                      <w:rFonts w:hint="eastAsia"/>
                      <w:color w:val="auto"/>
                      <w:highlight w:val="none"/>
                    </w:rPr>
                    <w:t>生产启动前检查废气处理设施，发现故障后立即停止生产工作，安排检修</w:t>
                  </w:r>
                  <w:r>
                    <w:rPr>
                      <w:rFonts w:hint="eastAsia"/>
                      <w:color w:val="auto"/>
                      <w:highlight w:val="none"/>
                      <w:lang w:eastAsia="zh-CN"/>
                    </w:rPr>
                    <w:t>。</w:t>
                  </w:r>
                  <w:r>
                    <w:rPr>
                      <w:rFonts w:hint="eastAsia"/>
                      <w:color w:val="auto"/>
                      <w:highlight w:val="none"/>
                      <w:lang w:val="en-US" w:eastAsia="zh-CN"/>
                    </w:rPr>
                    <w:t>加强设备维护。</w:t>
                  </w:r>
                </w:p>
              </w:tc>
            </w:tr>
            <w:tr w14:paraId="7F652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42" w:type="pct"/>
                  <w:vMerge w:val="continue"/>
                  <w:tcMar>
                    <w:top w:w="0" w:type="dxa"/>
                    <w:left w:w="57" w:type="dxa"/>
                    <w:bottom w:w="0" w:type="dxa"/>
                    <w:right w:w="57" w:type="dxa"/>
                  </w:tcMar>
                  <w:vAlign w:val="center"/>
                </w:tcPr>
                <w:p w14:paraId="6265B54E">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rPr>
                  </w:pPr>
                </w:p>
              </w:tc>
              <w:tc>
                <w:tcPr>
                  <w:tcW w:w="348" w:type="pct"/>
                  <w:vMerge w:val="continue"/>
                  <w:tcMar>
                    <w:top w:w="0" w:type="dxa"/>
                    <w:left w:w="57" w:type="dxa"/>
                    <w:bottom w:w="0" w:type="dxa"/>
                    <w:right w:w="57" w:type="dxa"/>
                  </w:tcMar>
                  <w:vAlign w:val="center"/>
                </w:tcPr>
                <w:p w14:paraId="41583BF6">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945" w:type="pct"/>
                  <w:shd w:val="clear" w:color="auto" w:fill="auto"/>
                  <w:tcMar>
                    <w:top w:w="0" w:type="dxa"/>
                    <w:left w:w="57" w:type="dxa"/>
                    <w:bottom w:w="0" w:type="dxa"/>
                    <w:right w:w="57" w:type="dxa"/>
                  </w:tcMar>
                  <w:vAlign w:val="center"/>
                </w:tcPr>
                <w:p w14:paraId="378ECE91">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lang w:val="en-US" w:eastAsia="zh-CN"/>
                    </w:rPr>
                  </w:pPr>
                  <w:r>
                    <w:rPr>
                      <w:rFonts w:hint="eastAsia"/>
                      <w:color w:val="auto"/>
                      <w:highlight w:val="none"/>
                      <w:lang w:val="en-US" w:eastAsia="zh-CN"/>
                    </w:rPr>
                    <w:t>丙烯腈</w:t>
                  </w:r>
                </w:p>
              </w:tc>
              <w:tc>
                <w:tcPr>
                  <w:tcW w:w="349" w:type="pct"/>
                  <w:vMerge w:val="continue"/>
                  <w:tcMar>
                    <w:top w:w="0" w:type="dxa"/>
                    <w:left w:w="57" w:type="dxa"/>
                    <w:bottom w:w="0" w:type="dxa"/>
                    <w:right w:w="57" w:type="dxa"/>
                  </w:tcMar>
                  <w:vAlign w:val="center"/>
                </w:tcPr>
                <w:p w14:paraId="1481F6AE">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527" w:type="pct"/>
                  <w:shd w:val="clear" w:color="auto" w:fill="auto"/>
                  <w:tcMar>
                    <w:top w:w="0" w:type="dxa"/>
                    <w:left w:w="57" w:type="dxa"/>
                    <w:bottom w:w="0" w:type="dxa"/>
                    <w:right w:w="57" w:type="dxa"/>
                  </w:tcMar>
                  <w:vAlign w:val="center"/>
                </w:tcPr>
                <w:p w14:paraId="146B1CB7">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0.002</w:t>
                  </w:r>
                </w:p>
              </w:tc>
              <w:tc>
                <w:tcPr>
                  <w:tcW w:w="561" w:type="pct"/>
                  <w:shd w:val="clear" w:color="auto" w:fill="auto"/>
                  <w:tcMar>
                    <w:top w:w="0" w:type="dxa"/>
                    <w:left w:w="57" w:type="dxa"/>
                    <w:bottom w:w="0" w:type="dxa"/>
                    <w:right w:w="57" w:type="dxa"/>
                  </w:tcMar>
                  <w:vAlign w:val="center"/>
                </w:tcPr>
                <w:p w14:paraId="037779B5">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0.117</w:t>
                  </w:r>
                </w:p>
              </w:tc>
              <w:tc>
                <w:tcPr>
                  <w:tcW w:w="596" w:type="pct"/>
                  <w:tcMar>
                    <w:top w:w="0" w:type="dxa"/>
                    <w:left w:w="57" w:type="dxa"/>
                    <w:bottom w:w="0" w:type="dxa"/>
                    <w:right w:w="57" w:type="dxa"/>
                  </w:tcMar>
                  <w:vAlign w:val="center"/>
                </w:tcPr>
                <w:p w14:paraId="6DEB6BA0">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lang w:val="en-US" w:eastAsia="zh-CN"/>
                    </w:rPr>
                  </w:pPr>
                  <w:r>
                    <w:rPr>
                      <w:rFonts w:hint="eastAsia"/>
                      <w:color w:val="auto"/>
                      <w:highlight w:val="none"/>
                      <w:lang w:val="en-US" w:eastAsia="zh-CN"/>
                    </w:rPr>
                    <w:t>0.5</w:t>
                  </w:r>
                </w:p>
              </w:tc>
              <w:tc>
                <w:tcPr>
                  <w:tcW w:w="412" w:type="pct"/>
                  <w:vMerge w:val="continue"/>
                  <w:tcMar>
                    <w:top w:w="0" w:type="dxa"/>
                    <w:left w:w="57" w:type="dxa"/>
                    <w:bottom w:w="0" w:type="dxa"/>
                    <w:right w:w="57" w:type="dxa"/>
                  </w:tcMar>
                  <w:vAlign w:val="center"/>
                </w:tcPr>
                <w:p w14:paraId="1D760B89">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333" w:type="pct"/>
                  <w:vMerge w:val="continue"/>
                  <w:tcMar>
                    <w:top w:w="0" w:type="dxa"/>
                    <w:left w:w="57" w:type="dxa"/>
                    <w:bottom w:w="0" w:type="dxa"/>
                    <w:right w:w="57" w:type="dxa"/>
                  </w:tcMar>
                  <w:vAlign w:val="center"/>
                </w:tcPr>
                <w:p w14:paraId="2B950F7F">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482" w:type="pct"/>
                  <w:vMerge w:val="continue"/>
                  <w:tcMar>
                    <w:top w:w="0" w:type="dxa"/>
                    <w:left w:w="57" w:type="dxa"/>
                    <w:bottom w:w="0" w:type="dxa"/>
                    <w:right w:w="57" w:type="dxa"/>
                  </w:tcMar>
                  <w:vAlign w:val="center"/>
                </w:tcPr>
                <w:p w14:paraId="128D3EB7">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r>
            <w:tr w14:paraId="5444A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42" w:type="pct"/>
                  <w:vMerge w:val="continue"/>
                  <w:tcMar>
                    <w:top w:w="0" w:type="dxa"/>
                    <w:left w:w="57" w:type="dxa"/>
                    <w:bottom w:w="0" w:type="dxa"/>
                    <w:right w:w="57" w:type="dxa"/>
                  </w:tcMar>
                  <w:vAlign w:val="center"/>
                </w:tcPr>
                <w:p w14:paraId="102AD2A7">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rPr>
                  </w:pPr>
                </w:p>
              </w:tc>
              <w:tc>
                <w:tcPr>
                  <w:tcW w:w="348" w:type="pct"/>
                  <w:vMerge w:val="continue"/>
                  <w:tcMar>
                    <w:top w:w="0" w:type="dxa"/>
                    <w:left w:w="57" w:type="dxa"/>
                    <w:bottom w:w="0" w:type="dxa"/>
                    <w:right w:w="57" w:type="dxa"/>
                  </w:tcMar>
                  <w:vAlign w:val="center"/>
                </w:tcPr>
                <w:p w14:paraId="216903B1">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945" w:type="pct"/>
                  <w:shd w:val="clear" w:color="auto" w:fill="auto"/>
                  <w:tcMar>
                    <w:top w:w="0" w:type="dxa"/>
                    <w:left w:w="57" w:type="dxa"/>
                    <w:bottom w:w="0" w:type="dxa"/>
                    <w:right w:w="57" w:type="dxa"/>
                  </w:tcMar>
                  <w:vAlign w:val="center"/>
                </w:tcPr>
                <w:p w14:paraId="7B3DF2F5">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lang w:val="en-US" w:eastAsia="zh-CN"/>
                    </w:rPr>
                  </w:pPr>
                  <w:r>
                    <w:rPr>
                      <w:rFonts w:hint="eastAsia"/>
                      <w:color w:val="auto"/>
                      <w:highlight w:val="none"/>
                      <w:lang w:val="en-US" w:eastAsia="zh-CN"/>
                    </w:rPr>
                    <w:t>1,3-丁二烯</w:t>
                  </w:r>
                </w:p>
              </w:tc>
              <w:tc>
                <w:tcPr>
                  <w:tcW w:w="349" w:type="pct"/>
                  <w:vMerge w:val="continue"/>
                  <w:tcMar>
                    <w:top w:w="0" w:type="dxa"/>
                    <w:left w:w="57" w:type="dxa"/>
                    <w:bottom w:w="0" w:type="dxa"/>
                    <w:right w:w="57" w:type="dxa"/>
                  </w:tcMar>
                  <w:vAlign w:val="center"/>
                </w:tcPr>
                <w:p w14:paraId="74914838">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527" w:type="pct"/>
                  <w:shd w:val="clear" w:color="auto" w:fill="auto"/>
                  <w:tcMar>
                    <w:top w:w="0" w:type="dxa"/>
                    <w:left w:w="57" w:type="dxa"/>
                    <w:bottom w:w="0" w:type="dxa"/>
                    <w:right w:w="57" w:type="dxa"/>
                  </w:tcMar>
                  <w:vAlign w:val="center"/>
                </w:tcPr>
                <w:p w14:paraId="32D2BFCD">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0.000</w:t>
                  </w:r>
                </w:p>
              </w:tc>
              <w:tc>
                <w:tcPr>
                  <w:tcW w:w="561" w:type="pct"/>
                  <w:shd w:val="clear" w:color="auto" w:fill="auto"/>
                  <w:tcMar>
                    <w:top w:w="0" w:type="dxa"/>
                    <w:left w:w="57" w:type="dxa"/>
                    <w:bottom w:w="0" w:type="dxa"/>
                    <w:right w:w="57" w:type="dxa"/>
                  </w:tcMar>
                  <w:vAlign w:val="center"/>
                </w:tcPr>
                <w:p w14:paraId="2C97DA84">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0.006</w:t>
                  </w:r>
                </w:p>
              </w:tc>
              <w:tc>
                <w:tcPr>
                  <w:tcW w:w="596" w:type="pct"/>
                  <w:tcMar>
                    <w:top w:w="0" w:type="dxa"/>
                    <w:left w:w="57" w:type="dxa"/>
                    <w:bottom w:w="0" w:type="dxa"/>
                    <w:right w:w="57" w:type="dxa"/>
                  </w:tcMar>
                  <w:vAlign w:val="center"/>
                </w:tcPr>
                <w:p w14:paraId="528BF76C">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lang w:val="en-US" w:eastAsia="zh-CN"/>
                    </w:rPr>
                  </w:pPr>
                  <w:r>
                    <w:rPr>
                      <w:rFonts w:hint="eastAsia"/>
                      <w:color w:val="auto"/>
                      <w:highlight w:val="none"/>
                      <w:lang w:val="en-US" w:eastAsia="zh-CN"/>
                    </w:rPr>
                    <w:t>1</w:t>
                  </w:r>
                </w:p>
              </w:tc>
              <w:tc>
                <w:tcPr>
                  <w:tcW w:w="412" w:type="pct"/>
                  <w:vMerge w:val="continue"/>
                  <w:tcMar>
                    <w:top w:w="0" w:type="dxa"/>
                    <w:left w:w="57" w:type="dxa"/>
                    <w:bottom w:w="0" w:type="dxa"/>
                    <w:right w:w="57" w:type="dxa"/>
                  </w:tcMar>
                  <w:vAlign w:val="center"/>
                </w:tcPr>
                <w:p w14:paraId="5791DC89">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333" w:type="pct"/>
                  <w:vMerge w:val="continue"/>
                  <w:tcMar>
                    <w:top w:w="0" w:type="dxa"/>
                    <w:left w:w="57" w:type="dxa"/>
                    <w:bottom w:w="0" w:type="dxa"/>
                    <w:right w:w="57" w:type="dxa"/>
                  </w:tcMar>
                  <w:vAlign w:val="center"/>
                </w:tcPr>
                <w:p w14:paraId="76ABFF8E">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482" w:type="pct"/>
                  <w:vMerge w:val="continue"/>
                  <w:tcMar>
                    <w:top w:w="0" w:type="dxa"/>
                    <w:left w:w="57" w:type="dxa"/>
                    <w:bottom w:w="0" w:type="dxa"/>
                    <w:right w:w="57" w:type="dxa"/>
                  </w:tcMar>
                  <w:vAlign w:val="center"/>
                </w:tcPr>
                <w:p w14:paraId="2488AD5A">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r>
            <w:tr w14:paraId="2891F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42" w:type="pct"/>
                  <w:vMerge w:val="continue"/>
                  <w:tcMar>
                    <w:top w:w="0" w:type="dxa"/>
                    <w:left w:w="57" w:type="dxa"/>
                    <w:bottom w:w="0" w:type="dxa"/>
                    <w:right w:w="57" w:type="dxa"/>
                  </w:tcMar>
                  <w:vAlign w:val="center"/>
                </w:tcPr>
                <w:p w14:paraId="6A4D15F2">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rPr>
                  </w:pPr>
                </w:p>
              </w:tc>
              <w:tc>
                <w:tcPr>
                  <w:tcW w:w="348" w:type="pct"/>
                  <w:vMerge w:val="continue"/>
                  <w:tcMar>
                    <w:top w:w="0" w:type="dxa"/>
                    <w:left w:w="57" w:type="dxa"/>
                    <w:bottom w:w="0" w:type="dxa"/>
                    <w:right w:w="57" w:type="dxa"/>
                  </w:tcMar>
                  <w:vAlign w:val="center"/>
                </w:tcPr>
                <w:p w14:paraId="145A3326">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945" w:type="pct"/>
                  <w:shd w:val="clear" w:color="auto" w:fill="auto"/>
                  <w:tcMar>
                    <w:top w:w="0" w:type="dxa"/>
                    <w:left w:w="57" w:type="dxa"/>
                    <w:bottom w:w="0" w:type="dxa"/>
                    <w:right w:w="57" w:type="dxa"/>
                  </w:tcMar>
                  <w:vAlign w:val="center"/>
                </w:tcPr>
                <w:p w14:paraId="7967C2E4">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lang w:val="en-US" w:eastAsia="zh-CN"/>
                    </w:rPr>
                  </w:pPr>
                  <w:r>
                    <w:rPr>
                      <w:rFonts w:hint="eastAsia"/>
                      <w:color w:val="auto"/>
                      <w:highlight w:val="none"/>
                      <w:lang w:val="en-US" w:eastAsia="zh-CN"/>
                    </w:rPr>
                    <w:t>苯乙烯</w:t>
                  </w:r>
                </w:p>
              </w:tc>
              <w:tc>
                <w:tcPr>
                  <w:tcW w:w="349" w:type="pct"/>
                  <w:vMerge w:val="continue"/>
                  <w:tcMar>
                    <w:top w:w="0" w:type="dxa"/>
                    <w:left w:w="57" w:type="dxa"/>
                    <w:bottom w:w="0" w:type="dxa"/>
                    <w:right w:w="57" w:type="dxa"/>
                  </w:tcMar>
                  <w:vAlign w:val="center"/>
                </w:tcPr>
                <w:p w14:paraId="29003134">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527" w:type="pct"/>
                  <w:shd w:val="clear" w:color="auto" w:fill="auto"/>
                  <w:tcMar>
                    <w:top w:w="0" w:type="dxa"/>
                    <w:left w:w="57" w:type="dxa"/>
                    <w:bottom w:w="0" w:type="dxa"/>
                    <w:right w:w="57" w:type="dxa"/>
                  </w:tcMar>
                  <w:vAlign w:val="center"/>
                </w:tcPr>
                <w:p w14:paraId="3366485C">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0.052</w:t>
                  </w:r>
                </w:p>
              </w:tc>
              <w:tc>
                <w:tcPr>
                  <w:tcW w:w="561" w:type="pct"/>
                  <w:shd w:val="clear" w:color="auto" w:fill="auto"/>
                  <w:tcMar>
                    <w:top w:w="0" w:type="dxa"/>
                    <w:left w:w="57" w:type="dxa"/>
                    <w:bottom w:w="0" w:type="dxa"/>
                    <w:right w:w="57" w:type="dxa"/>
                  </w:tcMar>
                  <w:vAlign w:val="center"/>
                </w:tcPr>
                <w:p w14:paraId="350A322C">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2.594</w:t>
                  </w:r>
                </w:p>
              </w:tc>
              <w:tc>
                <w:tcPr>
                  <w:tcW w:w="596" w:type="pct"/>
                  <w:tcMar>
                    <w:top w:w="0" w:type="dxa"/>
                    <w:left w:w="57" w:type="dxa"/>
                    <w:bottom w:w="0" w:type="dxa"/>
                    <w:right w:w="57" w:type="dxa"/>
                  </w:tcMar>
                  <w:vAlign w:val="center"/>
                </w:tcPr>
                <w:p w14:paraId="3A8492FF">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lang w:val="en-US" w:eastAsia="zh-CN"/>
                    </w:rPr>
                  </w:pPr>
                  <w:r>
                    <w:rPr>
                      <w:rFonts w:hint="eastAsia"/>
                      <w:color w:val="auto"/>
                      <w:highlight w:val="none"/>
                      <w:lang w:val="en-US" w:eastAsia="zh-CN"/>
                    </w:rPr>
                    <w:t>20</w:t>
                  </w:r>
                </w:p>
              </w:tc>
              <w:tc>
                <w:tcPr>
                  <w:tcW w:w="412" w:type="pct"/>
                  <w:vMerge w:val="continue"/>
                  <w:tcMar>
                    <w:top w:w="0" w:type="dxa"/>
                    <w:left w:w="57" w:type="dxa"/>
                    <w:bottom w:w="0" w:type="dxa"/>
                    <w:right w:w="57" w:type="dxa"/>
                  </w:tcMar>
                  <w:vAlign w:val="center"/>
                </w:tcPr>
                <w:p w14:paraId="524B8EED">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333" w:type="pct"/>
                  <w:vMerge w:val="continue"/>
                  <w:tcMar>
                    <w:top w:w="0" w:type="dxa"/>
                    <w:left w:w="57" w:type="dxa"/>
                    <w:bottom w:w="0" w:type="dxa"/>
                    <w:right w:w="57" w:type="dxa"/>
                  </w:tcMar>
                  <w:vAlign w:val="center"/>
                </w:tcPr>
                <w:p w14:paraId="527D401F">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482" w:type="pct"/>
                  <w:vMerge w:val="continue"/>
                  <w:tcMar>
                    <w:top w:w="0" w:type="dxa"/>
                    <w:left w:w="57" w:type="dxa"/>
                    <w:bottom w:w="0" w:type="dxa"/>
                    <w:right w:w="57" w:type="dxa"/>
                  </w:tcMar>
                  <w:vAlign w:val="center"/>
                </w:tcPr>
                <w:p w14:paraId="0ACE5655">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r>
            <w:tr w14:paraId="2B4D2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42" w:type="pct"/>
                  <w:vMerge w:val="continue"/>
                </w:tcPr>
                <w:p w14:paraId="3FB496C3">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rPr>
                  </w:pPr>
                </w:p>
              </w:tc>
              <w:tc>
                <w:tcPr>
                  <w:tcW w:w="348" w:type="pct"/>
                  <w:vMerge w:val="continue"/>
                </w:tcPr>
                <w:p w14:paraId="6AA3ED6D">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945" w:type="pct"/>
                  <w:shd w:val="clear" w:color="auto" w:fill="auto"/>
                  <w:vAlign w:val="center"/>
                </w:tcPr>
                <w:p w14:paraId="3A41DA7D">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lang w:val="en-US" w:eastAsia="zh-CN"/>
                    </w:rPr>
                  </w:pPr>
                  <w:r>
                    <w:rPr>
                      <w:rFonts w:hint="eastAsia"/>
                      <w:color w:val="auto"/>
                      <w:highlight w:val="none"/>
                      <w:lang w:val="en-US" w:eastAsia="zh-CN"/>
                    </w:rPr>
                    <w:t>甲苯</w:t>
                  </w:r>
                </w:p>
              </w:tc>
              <w:tc>
                <w:tcPr>
                  <w:tcW w:w="349" w:type="pct"/>
                  <w:vMerge w:val="continue"/>
                  <w:vAlign w:val="center"/>
                </w:tcPr>
                <w:p w14:paraId="03BA46B1">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527" w:type="pct"/>
                  <w:shd w:val="clear" w:color="auto" w:fill="auto"/>
                  <w:vAlign w:val="center"/>
                </w:tcPr>
                <w:p w14:paraId="0D475E45">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0.001</w:t>
                  </w:r>
                </w:p>
              </w:tc>
              <w:tc>
                <w:tcPr>
                  <w:tcW w:w="561" w:type="pct"/>
                  <w:shd w:val="clear" w:color="auto" w:fill="auto"/>
                  <w:vAlign w:val="center"/>
                </w:tcPr>
                <w:p w14:paraId="6D037575">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0.072</w:t>
                  </w:r>
                </w:p>
              </w:tc>
              <w:tc>
                <w:tcPr>
                  <w:tcW w:w="596" w:type="pct"/>
                  <w:vAlign w:val="center"/>
                </w:tcPr>
                <w:p w14:paraId="2633FA99">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lang w:val="en-US" w:eastAsia="zh-CN"/>
                    </w:rPr>
                  </w:pPr>
                  <w:r>
                    <w:rPr>
                      <w:rFonts w:hint="eastAsia"/>
                      <w:color w:val="auto"/>
                      <w:highlight w:val="none"/>
                      <w:lang w:val="en-US" w:eastAsia="zh-CN"/>
                    </w:rPr>
                    <w:t>8</w:t>
                  </w:r>
                </w:p>
              </w:tc>
              <w:tc>
                <w:tcPr>
                  <w:tcW w:w="412" w:type="pct"/>
                  <w:vMerge w:val="continue"/>
                </w:tcPr>
                <w:p w14:paraId="117C7FC6">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333" w:type="pct"/>
                  <w:vMerge w:val="continue"/>
                </w:tcPr>
                <w:p w14:paraId="3EBB64B8">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482" w:type="pct"/>
                  <w:vMerge w:val="continue"/>
                </w:tcPr>
                <w:p w14:paraId="306F043E">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r>
            <w:tr w14:paraId="0461C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42" w:type="pct"/>
                  <w:vMerge w:val="continue"/>
                </w:tcPr>
                <w:p w14:paraId="73D2953A">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rPr>
                  </w:pPr>
                </w:p>
              </w:tc>
              <w:tc>
                <w:tcPr>
                  <w:tcW w:w="348" w:type="pct"/>
                  <w:vMerge w:val="continue"/>
                </w:tcPr>
                <w:p w14:paraId="665E885F">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945" w:type="pct"/>
                  <w:shd w:val="clear" w:color="auto" w:fill="auto"/>
                  <w:vAlign w:val="center"/>
                </w:tcPr>
                <w:p w14:paraId="616486E7">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lang w:val="en-US" w:eastAsia="zh-CN"/>
                    </w:rPr>
                  </w:pPr>
                  <w:r>
                    <w:rPr>
                      <w:rFonts w:hint="eastAsia"/>
                      <w:color w:val="auto"/>
                      <w:highlight w:val="none"/>
                      <w:lang w:val="en-US" w:eastAsia="zh-CN"/>
                    </w:rPr>
                    <w:t>乙苯</w:t>
                  </w:r>
                </w:p>
              </w:tc>
              <w:tc>
                <w:tcPr>
                  <w:tcW w:w="349" w:type="pct"/>
                  <w:vMerge w:val="continue"/>
                  <w:vAlign w:val="center"/>
                </w:tcPr>
                <w:p w14:paraId="5C485FE4">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527" w:type="pct"/>
                  <w:shd w:val="clear" w:color="auto" w:fill="auto"/>
                  <w:vAlign w:val="center"/>
                </w:tcPr>
                <w:p w14:paraId="452CD8FB">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0.006</w:t>
                  </w:r>
                </w:p>
              </w:tc>
              <w:tc>
                <w:tcPr>
                  <w:tcW w:w="561" w:type="pct"/>
                  <w:shd w:val="clear" w:color="auto" w:fill="auto"/>
                  <w:vAlign w:val="center"/>
                </w:tcPr>
                <w:p w14:paraId="618A9D50">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0.306</w:t>
                  </w:r>
                </w:p>
              </w:tc>
              <w:tc>
                <w:tcPr>
                  <w:tcW w:w="596" w:type="pct"/>
                  <w:vAlign w:val="center"/>
                </w:tcPr>
                <w:p w14:paraId="3B4F34AF">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lang w:val="en-US" w:eastAsia="zh-CN"/>
                    </w:rPr>
                  </w:pPr>
                  <w:r>
                    <w:rPr>
                      <w:rFonts w:hint="eastAsia"/>
                      <w:color w:val="auto"/>
                      <w:highlight w:val="none"/>
                      <w:lang w:val="en-US" w:eastAsia="zh-CN"/>
                    </w:rPr>
                    <w:t>50</w:t>
                  </w:r>
                </w:p>
              </w:tc>
              <w:tc>
                <w:tcPr>
                  <w:tcW w:w="412" w:type="pct"/>
                  <w:vMerge w:val="continue"/>
                </w:tcPr>
                <w:p w14:paraId="24EB0EB4">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333" w:type="pct"/>
                  <w:vMerge w:val="continue"/>
                </w:tcPr>
                <w:p w14:paraId="45D7CD41">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482" w:type="pct"/>
                  <w:vMerge w:val="continue"/>
                </w:tcPr>
                <w:p w14:paraId="7D257B74">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r>
            <w:tr w14:paraId="5C89E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42" w:type="pct"/>
                  <w:vMerge w:val="continue"/>
                </w:tcPr>
                <w:p w14:paraId="5CB98EFE">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rPr>
                  </w:pPr>
                </w:p>
              </w:tc>
              <w:tc>
                <w:tcPr>
                  <w:tcW w:w="348" w:type="pct"/>
                  <w:vMerge w:val="continue"/>
                </w:tcPr>
                <w:p w14:paraId="1468D112">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945" w:type="pct"/>
                  <w:shd w:val="clear" w:color="auto" w:fill="auto"/>
                  <w:vAlign w:val="center"/>
                </w:tcPr>
                <w:p w14:paraId="042BAD20">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lang w:val="en-US" w:eastAsia="zh-CN"/>
                    </w:rPr>
                  </w:pPr>
                  <w:r>
                    <w:rPr>
                      <w:rFonts w:hint="eastAsia"/>
                      <w:color w:val="auto"/>
                      <w:highlight w:val="none"/>
                      <w:lang w:val="en-US" w:eastAsia="zh-CN"/>
                    </w:rPr>
                    <w:t>甲基丙烯酸甲酯</w:t>
                  </w:r>
                </w:p>
              </w:tc>
              <w:tc>
                <w:tcPr>
                  <w:tcW w:w="349" w:type="pct"/>
                  <w:vMerge w:val="continue"/>
                  <w:vAlign w:val="center"/>
                </w:tcPr>
                <w:p w14:paraId="07912441">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527" w:type="pct"/>
                  <w:shd w:val="clear" w:color="auto" w:fill="auto"/>
                  <w:vAlign w:val="center"/>
                </w:tcPr>
                <w:p w14:paraId="2D1620A4">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0.025</w:t>
                  </w:r>
                </w:p>
              </w:tc>
              <w:tc>
                <w:tcPr>
                  <w:tcW w:w="561" w:type="pct"/>
                  <w:shd w:val="clear" w:color="auto" w:fill="auto"/>
                  <w:vAlign w:val="center"/>
                </w:tcPr>
                <w:p w14:paraId="3FA88D02">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1.256</w:t>
                  </w:r>
                </w:p>
              </w:tc>
              <w:tc>
                <w:tcPr>
                  <w:tcW w:w="596" w:type="pct"/>
                  <w:vAlign w:val="center"/>
                </w:tcPr>
                <w:p w14:paraId="7663C5B5">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lang w:val="en-US" w:eastAsia="zh-CN"/>
                    </w:rPr>
                  </w:pPr>
                  <w:r>
                    <w:rPr>
                      <w:rFonts w:hint="eastAsia"/>
                      <w:color w:val="auto"/>
                      <w:highlight w:val="none"/>
                      <w:lang w:val="en-US" w:eastAsia="zh-CN"/>
                    </w:rPr>
                    <w:t>50</w:t>
                  </w:r>
                </w:p>
              </w:tc>
              <w:tc>
                <w:tcPr>
                  <w:tcW w:w="412" w:type="pct"/>
                  <w:vMerge w:val="continue"/>
                </w:tcPr>
                <w:p w14:paraId="4CAF05BD">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333" w:type="pct"/>
                  <w:vMerge w:val="continue"/>
                </w:tcPr>
                <w:p w14:paraId="61646608">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482" w:type="pct"/>
                  <w:vMerge w:val="continue"/>
                </w:tcPr>
                <w:p w14:paraId="25E86554">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r>
            <w:tr w14:paraId="367C3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42" w:type="pct"/>
                  <w:vMerge w:val="continue"/>
                </w:tcPr>
                <w:p w14:paraId="62695E6B">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rPr>
                  </w:pPr>
                </w:p>
              </w:tc>
              <w:tc>
                <w:tcPr>
                  <w:tcW w:w="348" w:type="pct"/>
                  <w:vMerge w:val="continue"/>
                </w:tcPr>
                <w:p w14:paraId="309C74A0">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945" w:type="pct"/>
                  <w:shd w:val="clear" w:color="auto" w:fill="auto"/>
                  <w:vAlign w:val="center"/>
                </w:tcPr>
                <w:p w14:paraId="3A8C8033">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lang w:val="en-US" w:eastAsia="zh-CN"/>
                    </w:rPr>
                  </w:pPr>
                  <w:r>
                    <w:rPr>
                      <w:rFonts w:hint="eastAsia"/>
                      <w:color w:val="auto"/>
                      <w:highlight w:val="none"/>
                      <w:lang w:val="en-US" w:eastAsia="zh-CN"/>
                    </w:rPr>
                    <w:t>丙烯酸甲酯</w:t>
                  </w:r>
                </w:p>
              </w:tc>
              <w:tc>
                <w:tcPr>
                  <w:tcW w:w="349" w:type="pct"/>
                  <w:vMerge w:val="continue"/>
                  <w:vAlign w:val="center"/>
                </w:tcPr>
                <w:p w14:paraId="21C14C71">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527" w:type="pct"/>
                  <w:shd w:val="clear" w:color="auto" w:fill="auto"/>
                  <w:vAlign w:val="center"/>
                </w:tcPr>
                <w:p w14:paraId="51850DCD">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0.001</w:t>
                  </w:r>
                </w:p>
              </w:tc>
              <w:tc>
                <w:tcPr>
                  <w:tcW w:w="561" w:type="pct"/>
                  <w:shd w:val="clear" w:color="auto" w:fill="auto"/>
                  <w:vAlign w:val="center"/>
                </w:tcPr>
                <w:p w14:paraId="289D474C">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0.033</w:t>
                  </w:r>
                </w:p>
              </w:tc>
              <w:tc>
                <w:tcPr>
                  <w:tcW w:w="596" w:type="pct"/>
                  <w:vAlign w:val="center"/>
                </w:tcPr>
                <w:p w14:paraId="2FBD885C">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lang w:val="en-US" w:eastAsia="zh-CN"/>
                    </w:rPr>
                  </w:pPr>
                  <w:r>
                    <w:rPr>
                      <w:rFonts w:hint="eastAsia"/>
                      <w:color w:val="auto"/>
                      <w:highlight w:val="none"/>
                      <w:lang w:val="en-US" w:eastAsia="zh-CN"/>
                    </w:rPr>
                    <w:t>20</w:t>
                  </w:r>
                </w:p>
              </w:tc>
              <w:tc>
                <w:tcPr>
                  <w:tcW w:w="412" w:type="pct"/>
                  <w:vMerge w:val="continue"/>
                </w:tcPr>
                <w:p w14:paraId="0F87E07D">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333" w:type="pct"/>
                  <w:vMerge w:val="continue"/>
                </w:tcPr>
                <w:p w14:paraId="086DA6CA">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482" w:type="pct"/>
                  <w:vMerge w:val="continue"/>
                </w:tcPr>
                <w:p w14:paraId="31F3D277">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r>
            <w:tr w14:paraId="626DF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42" w:type="pct"/>
                  <w:vMerge w:val="continue"/>
                </w:tcPr>
                <w:p w14:paraId="53AA7CF3">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rPr>
                  </w:pPr>
                </w:p>
              </w:tc>
              <w:tc>
                <w:tcPr>
                  <w:tcW w:w="348" w:type="pct"/>
                  <w:vMerge w:val="continue"/>
                </w:tcPr>
                <w:p w14:paraId="1B2AFBCE">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945" w:type="pct"/>
                  <w:shd w:val="clear" w:color="auto" w:fill="auto"/>
                  <w:vAlign w:val="center"/>
                </w:tcPr>
                <w:p w14:paraId="2BA245E5">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lang w:val="en-US" w:eastAsia="zh-CN"/>
                    </w:rPr>
                  </w:pPr>
                  <w:r>
                    <w:rPr>
                      <w:rFonts w:hint="eastAsia"/>
                      <w:color w:val="auto"/>
                      <w:highlight w:val="none"/>
                      <w:lang w:val="en-US" w:eastAsia="zh-CN"/>
                    </w:rPr>
                    <w:t>丙烯酸</w:t>
                  </w:r>
                </w:p>
              </w:tc>
              <w:tc>
                <w:tcPr>
                  <w:tcW w:w="349" w:type="pct"/>
                  <w:vMerge w:val="continue"/>
                  <w:vAlign w:val="center"/>
                </w:tcPr>
                <w:p w14:paraId="11C0CEED">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527" w:type="pct"/>
                  <w:shd w:val="clear" w:color="auto" w:fill="auto"/>
                  <w:vAlign w:val="center"/>
                </w:tcPr>
                <w:p w14:paraId="18635521">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0.009</w:t>
                  </w:r>
                </w:p>
              </w:tc>
              <w:tc>
                <w:tcPr>
                  <w:tcW w:w="561" w:type="pct"/>
                  <w:shd w:val="clear" w:color="auto" w:fill="auto"/>
                  <w:vAlign w:val="center"/>
                </w:tcPr>
                <w:p w14:paraId="31F1E907">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0.461</w:t>
                  </w:r>
                </w:p>
              </w:tc>
              <w:tc>
                <w:tcPr>
                  <w:tcW w:w="596" w:type="pct"/>
                  <w:vAlign w:val="center"/>
                </w:tcPr>
                <w:p w14:paraId="472B7E33">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lang w:val="en-US" w:eastAsia="zh-CN"/>
                    </w:rPr>
                  </w:pPr>
                  <w:r>
                    <w:rPr>
                      <w:rFonts w:hint="eastAsia"/>
                      <w:color w:val="auto"/>
                      <w:highlight w:val="none"/>
                      <w:lang w:val="en-US" w:eastAsia="zh-CN"/>
                    </w:rPr>
                    <w:t>10</w:t>
                  </w:r>
                </w:p>
              </w:tc>
              <w:tc>
                <w:tcPr>
                  <w:tcW w:w="412" w:type="pct"/>
                  <w:vMerge w:val="continue"/>
                </w:tcPr>
                <w:p w14:paraId="4F7EF919">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333" w:type="pct"/>
                  <w:vMerge w:val="continue"/>
                </w:tcPr>
                <w:p w14:paraId="0E8B9140">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482" w:type="pct"/>
                  <w:vMerge w:val="continue"/>
                </w:tcPr>
                <w:p w14:paraId="014F9A42">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r>
            <w:tr w14:paraId="77AEA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442" w:type="pct"/>
                  <w:vMerge w:val="continue"/>
                </w:tcPr>
                <w:p w14:paraId="0DAF0154">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rPr>
                  </w:pPr>
                </w:p>
              </w:tc>
              <w:tc>
                <w:tcPr>
                  <w:tcW w:w="348" w:type="pct"/>
                  <w:vMerge w:val="continue"/>
                </w:tcPr>
                <w:p w14:paraId="434496A7">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945" w:type="pct"/>
                  <w:shd w:val="clear" w:color="auto" w:fill="auto"/>
                  <w:vAlign w:val="center"/>
                </w:tcPr>
                <w:p w14:paraId="6C928BA9">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lang w:val="en-US" w:eastAsia="zh-CN"/>
                    </w:rPr>
                  </w:pPr>
                  <w:r>
                    <w:rPr>
                      <w:rFonts w:hint="eastAsia"/>
                      <w:color w:val="auto"/>
                      <w:highlight w:val="none"/>
                      <w:lang w:val="en-US" w:eastAsia="zh-CN"/>
                    </w:rPr>
                    <w:t>丙烯酸丁酯</w:t>
                  </w:r>
                </w:p>
              </w:tc>
              <w:tc>
                <w:tcPr>
                  <w:tcW w:w="349" w:type="pct"/>
                  <w:vMerge w:val="continue"/>
                  <w:vAlign w:val="center"/>
                </w:tcPr>
                <w:p w14:paraId="4FD1FE75">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527" w:type="pct"/>
                  <w:shd w:val="clear" w:color="auto" w:fill="auto"/>
                  <w:vAlign w:val="center"/>
                </w:tcPr>
                <w:p w14:paraId="409C6FEB">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0.046</w:t>
                  </w:r>
                </w:p>
              </w:tc>
              <w:tc>
                <w:tcPr>
                  <w:tcW w:w="561" w:type="pct"/>
                  <w:shd w:val="clear" w:color="auto" w:fill="auto"/>
                  <w:vAlign w:val="center"/>
                </w:tcPr>
                <w:p w14:paraId="2FA6F7D6">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2.306</w:t>
                  </w:r>
                </w:p>
              </w:tc>
              <w:tc>
                <w:tcPr>
                  <w:tcW w:w="596" w:type="pct"/>
                  <w:vAlign w:val="center"/>
                </w:tcPr>
                <w:p w14:paraId="267F70D7">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lang w:val="en-US" w:eastAsia="zh-CN"/>
                    </w:rPr>
                  </w:pPr>
                  <w:r>
                    <w:rPr>
                      <w:rFonts w:hint="eastAsia"/>
                      <w:color w:val="auto"/>
                      <w:highlight w:val="none"/>
                      <w:lang w:val="en-US" w:eastAsia="zh-CN"/>
                    </w:rPr>
                    <w:t>20</w:t>
                  </w:r>
                </w:p>
              </w:tc>
              <w:tc>
                <w:tcPr>
                  <w:tcW w:w="412" w:type="pct"/>
                  <w:vMerge w:val="continue"/>
                </w:tcPr>
                <w:p w14:paraId="21C87C1C">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333" w:type="pct"/>
                  <w:vMerge w:val="continue"/>
                </w:tcPr>
                <w:p w14:paraId="15E023B5">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482" w:type="pct"/>
                  <w:vMerge w:val="continue"/>
                </w:tcPr>
                <w:p w14:paraId="63D15710">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r>
          </w:tbl>
          <w:p w14:paraId="09834782">
            <w:pPr>
              <w:pStyle w:val="18"/>
              <w:rPr>
                <w:color w:val="auto"/>
                <w:highlight w:val="none"/>
              </w:rPr>
            </w:pPr>
            <w:r>
              <w:rPr>
                <w:rFonts w:hint="eastAsia"/>
                <w:color w:val="auto"/>
                <w:highlight w:val="none"/>
              </w:rPr>
              <w:t>保证污染治理设施正常运行是建设单位的义务，企业需采取必要措施防止非正常工况的出现。建设单位应加强废气处理装置、设施的维修保养，及时发现处理设备的隐患，确保废气处理系统正常运行；定期检查废气处理设施的处理效率，确保废气稳定达标排放；建立健全的环保机构，对管理人员和技术人员进行岗位培训；若出现非正常工况，建设单位必须立即停止生产，及时检修更换废气</w:t>
            </w:r>
            <w:r>
              <w:rPr>
                <w:rFonts w:hint="eastAsia"/>
                <w:color w:val="auto"/>
                <w:highlight w:val="none"/>
                <w:lang w:val="en-US" w:eastAsia="zh-CN"/>
              </w:rPr>
              <w:t>设施</w:t>
            </w:r>
            <w:r>
              <w:rPr>
                <w:rFonts w:hint="eastAsia"/>
                <w:color w:val="auto"/>
                <w:highlight w:val="none"/>
              </w:rPr>
              <w:t>，避免污染物随大气扩散对周边环境空气造成不良影响。</w:t>
            </w:r>
          </w:p>
          <w:p w14:paraId="0B755F0A">
            <w:pPr>
              <w:pStyle w:val="3"/>
              <w:ind w:firstLine="482"/>
              <w:rPr>
                <w:color w:val="auto"/>
                <w:highlight w:val="none"/>
              </w:rPr>
            </w:pPr>
            <w:r>
              <w:rPr>
                <w:rFonts w:hint="eastAsia"/>
                <w:color w:val="auto"/>
                <w:highlight w:val="none"/>
              </w:rPr>
              <w:t>5）大气环境影响分析</w:t>
            </w:r>
          </w:p>
          <w:p w14:paraId="5C44ADA5">
            <w:pPr>
              <w:pStyle w:val="18"/>
              <w:rPr>
                <w:color w:val="auto"/>
                <w:highlight w:val="none"/>
              </w:rPr>
            </w:pPr>
            <w:r>
              <w:rPr>
                <w:rFonts w:hint="eastAsia"/>
                <w:color w:val="auto"/>
                <w:highlight w:val="none"/>
              </w:rPr>
              <w:t>根据项目所在区域环境空气现状监测数据以及</w:t>
            </w:r>
            <w:r>
              <w:rPr>
                <w:rFonts w:hint="default"/>
                <w:color w:val="auto"/>
                <w:highlight w:val="none"/>
                <w:lang w:val="en-US" w:eastAsia="zh-CN"/>
              </w:rPr>
              <w:t>202</w:t>
            </w:r>
            <w:r>
              <w:rPr>
                <w:rFonts w:hint="eastAsia"/>
                <w:color w:val="auto"/>
                <w:highlight w:val="none"/>
                <w:lang w:val="en-US" w:eastAsia="zh-CN"/>
              </w:rPr>
              <w:t>5</w:t>
            </w:r>
            <w:r>
              <w:rPr>
                <w:rFonts w:hint="default"/>
                <w:color w:val="auto"/>
                <w:highlight w:val="none"/>
                <w:lang w:val="en-US" w:eastAsia="zh-CN"/>
              </w:rPr>
              <w:t>年</w:t>
            </w:r>
            <w:r>
              <w:rPr>
                <w:rFonts w:hint="eastAsia"/>
                <w:color w:val="auto"/>
                <w:highlight w:val="none"/>
                <w:lang w:val="en-US" w:eastAsia="zh-CN"/>
              </w:rPr>
              <w:t>5</w:t>
            </w:r>
            <w:r>
              <w:rPr>
                <w:rFonts w:hint="default"/>
                <w:color w:val="auto"/>
                <w:highlight w:val="none"/>
                <w:lang w:val="en-US" w:eastAsia="zh-CN"/>
              </w:rPr>
              <w:t>月</w:t>
            </w:r>
            <w:r>
              <w:rPr>
                <w:rFonts w:hint="eastAsia"/>
                <w:color w:val="auto"/>
                <w:highlight w:val="none"/>
                <w:lang w:val="en-US" w:eastAsia="zh-CN"/>
              </w:rPr>
              <w:t>30日</w:t>
            </w:r>
            <w:r>
              <w:rPr>
                <w:rFonts w:hint="default"/>
                <w:color w:val="auto"/>
                <w:highlight w:val="none"/>
                <w:lang w:val="en-US" w:eastAsia="zh-CN"/>
              </w:rPr>
              <w:t>发布的《202</w:t>
            </w:r>
            <w:r>
              <w:rPr>
                <w:rFonts w:hint="eastAsia"/>
                <w:color w:val="auto"/>
                <w:highlight w:val="none"/>
                <w:lang w:val="en-US" w:eastAsia="zh-CN"/>
              </w:rPr>
              <w:t>4</w:t>
            </w:r>
            <w:r>
              <w:rPr>
                <w:rFonts w:hint="default"/>
                <w:color w:val="auto"/>
                <w:highlight w:val="none"/>
                <w:lang w:val="en-US" w:eastAsia="zh-CN"/>
              </w:rPr>
              <w:t>年重庆市生态环境状况公报》</w:t>
            </w:r>
            <w:r>
              <w:rPr>
                <w:color w:val="auto"/>
                <w:highlight w:val="none"/>
              </w:rPr>
              <w:t>中九龙坡区</w:t>
            </w:r>
            <w:r>
              <w:rPr>
                <w:rFonts w:hint="eastAsia"/>
                <w:color w:val="auto"/>
                <w:highlight w:val="none"/>
              </w:rPr>
              <w:t>环境空气质量现状数据，项目所在区域属空气质量达标区，空气质量较好。</w:t>
            </w:r>
            <w:r>
              <w:rPr>
                <w:rFonts w:hint="eastAsia"/>
                <w:color w:val="auto"/>
                <w:highlight w:val="none"/>
                <w:lang w:eastAsia="zh-CN"/>
              </w:rPr>
              <w:t>扩建项目</w:t>
            </w:r>
            <w:r>
              <w:rPr>
                <w:rFonts w:hint="eastAsia"/>
                <w:color w:val="auto"/>
                <w:highlight w:val="none"/>
              </w:rPr>
              <w:t>生产过程中产生的废气经可行性技术措施治理后排放，排放浓度能够满足排放标准要求，</w:t>
            </w:r>
            <w:r>
              <w:rPr>
                <w:rFonts w:hint="eastAsia"/>
                <w:color w:val="auto"/>
                <w:highlight w:val="none"/>
                <w:lang w:eastAsia="zh-CN"/>
              </w:rPr>
              <w:t>扩建项目</w:t>
            </w:r>
            <w:r>
              <w:rPr>
                <w:rFonts w:hint="eastAsia"/>
                <w:color w:val="auto"/>
                <w:highlight w:val="none"/>
              </w:rPr>
              <w:t>运营期排放的废气对环境影响较小。</w:t>
            </w:r>
          </w:p>
          <w:p w14:paraId="32251ABB">
            <w:pPr>
              <w:pStyle w:val="3"/>
              <w:ind w:firstLine="482"/>
              <w:rPr>
                <w:color w:val="auto"/>
                <w:highlight w:val="none"/>
              </w:rPr>
            </w:pPr>
            <w:r>
              <w:rPr>
                <w:rFonts w:hint="eastAsia"/>
                <w:color w:val="auto"/>
                <w:highlight w:val="none"/>
              </w:rPr>
              <w:t>6）监测要求</w:t>
            </w:r>
          </w:p>
          <w:p w14:paraId="3751F2AF">
            <w:pPr>
              <w:pStyle w:val="18"/>
              <w:rPr>
                <w:color w:val="auto"/>
                <w:highlight w:val="none"/>
              </w:rPr>
            </w:pPr>
            <w:r>
              <w:rPr>
                <w:rFonts w:hint="eastAsia"/>
                <w:color w:val="auto"/>
                <w:sz w:val="24"/>
                <w:highlight w:val="none"/>
              </w:rPr>
              <w:t>根据《</w:t>
            </w:r>
            <w:r>
              <w:rPr>
                <w:color w:val="auto"/>
                <w:sz w:val="24"/>
                <w:highlight w:val="none"/>
              </w:rPr>
              <w:t>排污单位自行监测技术指南 橡胶和塑料制品</w:t>
            </w:r>
            <w:r>
              <w:rPr>
                <w:rFonts w:hint="eastAsia"/>
                <w:color w:val="auto"/>
                <w:sz w:val="24"/>
                <w:highlight w:val="none"/>
              </w:rPr>
              <w:t>》</w:t>
            </w:r>
            <w:r>
              <w:rPr>
                <w:color w:val="auto"/>
                <w:sz w:val="24"/>
                <w:highlight w:val="none"/>
              </w:rPr>
              <w:t>（</w:t>
            </w:r>
            <w:r>
              <w:rPr>
                <w:rFonts w:hint="eastAsia"/>
                <w:color w:val="auto"/>
                <w:sz w:val="24"/>
                <w:highlight w:val="none"/>
              </w:rPr>
              <w:t>HJ 1207-2021</w:t>
            </w:r>
            <w:r>
              <w:rPr>
                <w:color w:val="auto"/>
                <w:sz w:val="24"/>
                <w:highlight w:val="none"/>
              </w:rPr>
              <w:t>）要求</w:t>
            </w:r>
            <w:r>
              <w:rPr>
                <w:rFonts w:hint="eastAsia"/>
                <w:color w:val="auto"/>
                <w:sz w:val="24"/>
                <w:highlight w:val="none"/>
              </w:rPr>
              <w:t>，</w:t>
            </w:r>
            <w:r>
              <w:rPr>
                <w:rFonts w:hint="eastAsia"/>
                <w:color w:val="auto"/>
                <w:highlight w:val="none"/>
              </w:rPr>
              <w:t>制定出运营期废气监测计划，详见</w:t>
            </w:r>
            <w:r>
              <w:rPr>
                <w:rFonts w:hint="eastAsia"/>
                <w:color w:val="auto"/>
                <w:highlight w:val="none"/>
              </w:rPr>
              <w:fldChar w:fldCharType="begin"/>
            </w:r>
            <w:r>
              <w:rPr>
                <w:rFonts w:hint="eastAsia"/>
                <w:color w:val="auto"/>
                <w:highlight w:val="none"/>
              </w:rPr>
              <w:instrText xml:space="preserve"> REF _Ref20790 \h </w:instrText>
            </w:r>
            <w:r>
              <w:rPr>
                <w:rFonts w:hint="eastAsia"/>
                <w:color w:val="auto"/>
                <w:highlight w:val="none"/>
              </w:rPr>
              <w:fldChar w:fldCharType="separate"/>
            </w:r>
            <w:r>
              <w:rPr>
                <w:color w:val="auto"/>
                <w:highlight w:val="none"/>
              </w:rPr>
              <w:t>表4-9</w:t>
            </w:r>
            <w:r>
              <w:rPr>
                <w:rFonts w:hint="eastAsia"/>
                <w:color w:val="auto"/>
                <w:highlight w:val="none"/>
              </w:rPr>
              <w:fldChar w:fldCharType="end"/>
            </w:r>
            <w:r>
              <w:rPr>
                <w:rFonts w:hint="eastAsia"/>
                <w:color w:val="auto"/>
                <w:highlight w:val="none"/>
              </w:rPr>
              <w:t>。</w:t>
            </w:r>
          </w:p>
          <w:p w14:paraId="3DAA707E">
            <w:pPr>
              <w:pStyle w:val="19"/>
              <w:spacing w:before="156"/>
              <w:rPr>
                <w:color w:val="auto"/>
                <w:highlight w:val="none"/>
              </w:rPr>
            </w:pPr>
            <w:bookmarkStart w:id="39" w:name="_Ref20790"/>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9</w:t>
            </w:r>
            <w:r>
              <w:rPr>
                <w:color w:val="auto"/>
                <w:highlight w:val="none"/>
              </w:rPr>
              <w:fldChar w:fldCharType="end"/>
            </w:r>
            <w:bookmarkEnd w:id="39"/>
            <w:r>
              <w:rPr>
                <w:rFonts w:hint="eastAsia"/>
                <w:color w:val="auto"/>
                <w:highlight w:val="none"/>
              </w:rPr>
              <w:t xml:space="preserve">  环境监测计划</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49"/>
              <w:gridCol w:w="787"/>
              <w:gridCol w:w="753"/>
              <w:gridCol w:w="2557"/>
              <w:gridCol w:w="612"/>
              <w:gridCol w:w="3048"/>
            </w:tblGrid>
            <w:tr w14:paraId="5695B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386" w:type="pct"/>
                  <w:tcMar>
                    <w:top w:w="0" w:type="dxa"/>
                    <w:left w:w="57" w:type="dxa"/>
                    <w:bottom w:w="0" w:type="dxa"/>
                    <w:right w:w="57" w:type="dxa"/>
                  </w:tcMar>
                  <w:vAlign w:val="center"/>
                </w:tcPr>
                <w:p w14:paraId="54EE90A2">
                  <w:pPr>
                    <w:pStyle w:val="20"/>
                    <w:spacing w:before="31"/>
                    <w:rPr>
                      <w:b/>
                      <w:bCs/>
                      <w:color w:val="auto"/>
                      <w:highlight w:val="none"/>
                    </w:rPr>
                  </w:pPr>
                  <w:r>
                    <w:rPr>
                      <w:rFonts w:hint="eastAsia"/>
                      <w:b/>
                      <w:bCs/>
                      <w:color w:val="auto"/>
                      <w:highlight w:val="none"/>
                    </w:rPr>
                    <w:t>监测项目</w:t>
                  </w:r>
                </w:p>
              </w:tc>
              <w:tc>
                <w:tcPr>
                  <w:tcW w:w="468" w:type="pct"/>
                  <w:tcMar>
                    <w:top w:w="0" w:type="dxa"/>
                    <w:left w:w="57" w:type="dxa"/>
                    <w:bottom w:w="0" w:type="dxa"/>
                    <w:right w:w="57" w:type="dxa"/>
                  </w:tcMar>
                  <w:vAlign w:val="center"/>
                </w:tcPr>
                <w:p w14:paraId="5FF9FA11">
                  <w:pPr>
                    <w:pStyle w:val="20"/>
                    <w:spacing w:before="31"/>
                    <w:rPr>
                      <w:rFonts w:hint="eastAsia" w:ascii="Times New Roman" w:hAnsi="Times New Roman" w:eastAsia="宋体" w:cs="宋体"/>
                      <w:b/>
                      <w:bCs/>
                      <w:color w:val="auto"/>
                      <w:kern w:val="2"/>
                      <w:sz w:val="21"/>
                      <w:szCs w:val="21"/>
                      <w:highlight w:val="none"/>
                      <w:lang w:val="en-US" w:eastAsia="zh-CN" w:bidi="ar-SA"/>
                    </w:rPr>
                  </w:pPr>
                  <w:r>
                    <w:rPr>
                      <w:rFonts w:hint="eastAsia"/>
                      <w:b/>
                      <w:bCs/>
                      <w:color w:val="auto"/>
                      <w:highlight w:val="none"/>
                      <w:lang w:val="en-US" w:eastAsia="zh-CN"/>
                    </w:rPr>
                    <w:t>排气筒</w:t>
                  </w:r>
                </w:p>
              </w:tc>
              <w:tc>
                <w:tcPr>
                  <w:tcW w:w="447" w:type="pct"/>
                  <w:tcMar>
                    <w:top w:w="0" w:type="dxa"/>
                    <w:left w:w="57" w:type="dxa"/>
                    <w:bottom w:w="0" w:type="dxa"/>
                    <w:right w:w="57" w:type="dxa"/>
                  </w:tcMar>
                  <w:vAlign w:val="center"/>
                </w:tcPr>
                <w:p w14:paraId="75340BFC">
                  <w:pPr>
                    <w:pStyle w:val="20"/>
                    <w:spacing w:before="31"/>
                    <w:rPr>
                      <w:rFonts w:hint="default" w:ascii="Times New Roman" w:hAnsi="Times New Roman" w:eastAsia="宋体" w:cs="宋体"/>
                      <w:b/>
                      <w:bCs/>
                      <w:color w:val="auto"/>
                      <w:kern w:val="2"/>
                      <w:sz w:val="21"/>
                      <w:szCs w:val="21"/>
                      <w:highlight w:val="none"/>
                      <w:lang w:val="en-US" w:eastAsia="zh-CN" w:bidi="ar-SA"/>
                    </w:rPr>
                  </w:pPr>
                  <w:r>
                    <w:rPr>
                      <w:rFonts w:hint="eastAsia"/>
                      <w:b/>
                      <w:bCs/>
                      <w:color w:val="auto"/>
                      <w:highlight w:val="none"/>
                    </w:rPr>
                    <w:t>污染源</w:t>
                  </w:r>
                </w:p>
              </w:tc>
              <w:tc>
                <w:tcPr>
                  <w:tcW w:w="1521" w:type="pct"/>
                  <w:tcMar>
                    <w:top w:w="0" w:type="dxa"/>
                    <w:left w:w="57" w:type="dxa"/>
                    <w:bottom w:w="0" w:type="dxa"/>
                    <w:right w:w="57" w:type="dxa"/>
                  </w:tcMar>
                  <w:vAlign w:val="center"/>
                </w:tcPr>
                <w:p w14:paraId="2CCB5ED6">
                  <w:pPr>
                    <w:pStyle w:val="20"/>
                    <w:spacing w:before="31"/>
                    <w:rPr>
                      <w:rFonts w:ascii="Times New Roman" w:hAnsi="Times New Roman" w:eastAsia="宋体" w:cs="宋体"/>
                      <w:b/>
                      <w:bCs/>
                      <w:color w:val="auto"/>
                      <w:kern w:val="2"/>
                      <w:sz w:val="21"/>
                      <w:szCs w:val="21"/>
                      <w:highlight w:val="none"/>
                      <w:lang w:val="en-US" w:eastAsia="zh-CN" w:bidi="ar-SA"/>
                    </w:rPr>
                  </w:pPr>
                  <w:r>
                    <w:rPr>
                      <w:b/>
                      <w:bCs/>
                      <w:color w:val="auto"/>
                      <w:highlight w:val="none"/>
                    </w:rPr>
                    <w:t>污染物</w:t>
                  </w:r>
                </w:p>
              </w:tc>
              <w:tc>
                <w:tcPr>
                  <w:tcW w:w="364" w:type="pct"/>
                  <w:tcMar>
                    <w:top w:w="0" w:type="dxa"/>
                    <w:left w:w="57" w:type="dxa"/>
                    <w:bottom w:w="0" w:type="dxa"/>
                    <w:right w:w="57" w:type="dxa"/>
                  </w:tcMar>
                  <w:vAlign w:val="center"/>
                </w:tcPr>
                <w:p w14:paraId="4D6604AA">
                  <w:pPr>
                    <w:pStyle w:val="20"/>
                    <w:spacing w:before="31"/>
                    <w:rPr>
                      <w:b/>
                      <w:bCs/>
                      <w:color w:val="auto"/>
                      <w:highlight w:val="none"/>
                    </w:rPr>
                  </w:pPr>
                  <w:r>
                    <w:rPr>
                      <w:rFonts w:hint="eastAsia"/>
                      <w:b/>
                      <w:bCs/>
                      <w:color w:val="auto"/>
                      <w:highlight w:val="none"/>
                    </w:rPr>
                    <w:t>监测频率</w:t>
                  </w:r>
                </w:p>
              </w:tc>
              <w:tc>
                <w:tcPr>
                  <w:tcW w:w="1811" w:type="pct"/>
                  <w:tcMar>
                    <w:top w:w="0" w:type="dxa"/>
                    <w:left w:w="57" w:type="dxa"/>
                    <w:bottom w:w="0" w:type="dxa"/>
                    <w:right w:w="57" w:type="dxa"/>
                  </w:tcMar>
                  <w:vAlign w:val="center"/>
                </w:tcPr>
                <w:p w14:paraId="77443BD1">
                  <w:pPr>
                    <w:pStyle w:val="20"/>
                    <w:spacing w:before="31"/>
                    <w:rPr>
                      <w:b/>
                      <w:bCs/>
                      <w:color w:val="auto"/>
                      <w:highlight w:val="none"/>
                    </w:rPr>
                  </w:pPr>
                  <w:r>
                    <w:rPr>
                      <w:rFonts w:hint="eastAsia"/>
                      <w:b/>
                      <w:bCs/>
                      <w:color w:val="auto"/>
                      <w:highlight w:val="none"/>
                    </w:rPr>
                    <w:t>执行标准</w:t>
                  </w:r>
                </w:p>
              </w:tc>
            </w:tr>
            <w:tr w14:paraId="1CE23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86" w:type="pct"/>
                  <w:vMerge w:val="restart"/>
                  <w:tcMar>
                    <w:top w:w="0" w:type="dxa"/>
                    <w:left w:w="57" w:type="dxa"/>
                    <w:bottom w:w="0" w:type="dxa"/>
                    <w:right w:w="57" w:type="dxa"/>
                  </w:tcMar>
                  <w:vAlign w:val="center"/>
                </w:tcPr>
                <w:p w14:paraId="17897982">
                  <w:pPr>
                    <w:pStyle w:val="20"/>
                    <w:spacing w:before="31"/>
                    <w:rPr>
                      <w:color w:val="auto"/>
                      <w:highlight w:val="none"/>
                    </w:rPr>
                  </w:pPr>
                  <w:r>
                    <w:rPr>
                      <w:rFonts w:hint="eastAsia"/>
                      <w:color w:val="auto"/>
                      <w:highlight w:val="none"/>
                    </w:rPr>
                    <w:t>有组织废气</w:t>
                  </w:r>
                </w:p>
              </w:tc>
              <w:tc>
                <w:tcPr>
                  <w:tcW w:w="468" w:type="pct"/>
                  <w:vMerge w:val="restart"/>
                  <w:tcMar>
                    <w:top w:w="0" w:type="dxa"/>
                    <w:left w:w="57" w:type="dxa"/>
                    <w:bottom w:w="0" w:type="dxa"/>
                    <w:right w:w="57" w:type="dxa"/>
                  </w:tcMar>
                  <w:vAlign w:val="center"/>
                </w:tcPr>
                <w:p w14:paraId="584DBEED">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DA001</w:t>
                  </w:r>
                </w:p>
              </w:tc>
              <w:tc>
                <w:tcPr>
                  <w:tcW w:w="447" w:type="pct"/>
                  <w:vMerge w:val="restart"/>
                  <w:tcMar>
                    <w:top w:w="0" w:type="dxa"/>
                    <w:left w:w="57" w:type="dxa"/>
                    <w:bottom w:w="0" w:type="dxa"/>
                    <w:right w:w="57" w:type="dxa"/>
                  </w:tcMar>
                  <w:vAlign w:val="center"/>
                </w:tcPr>
                <w:p w14:paraId="5FE8FB00">
                  <w:pPr>
                    <w:pStyle w:val="20"/>
                    <w:bidi w:val="0"/>
                    <w:jc w:val="center"/>
                    <w:rPr>
                      <w:rFonts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注塑废气+脱模清洗剂废气</w:t>
                  </w:r>
                </w:p>
              </w:tc>
              <w:tc>
                <w:tcPr>
                  <w:tcW w:w="1521" w:type="pct"/>
                  <w:tcMar>
                    <w:top w:w="0" w:type="dxa"/>
                    <w:left w:w="57" w:type="dxa"/>
                    <w:bottom w:w="0" w:type="dxa"/>
                    <w:right w:w="57" w:type="dxa"/>
                  </w:tcMar>
                  <w:vAlign w:val="center"/>
                </w:tcPr>
                <w:p w14:paraId="5AABF51F">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非甲烷总烃</w:t>
                  </w:r>
                </w:p>
              </w:tc>
              <w:tc>
                <w:tcPr>
                  <w:tcW w:w="364" w:type="pct"/>
                  <w:tcMar>
                    <w:top w:w="0" w:type="dxa"/>
                    <w:left w:w="57" w:type="dxa"/>
                    <w:bottom w:w="0" w:type="dxa"/>
                    <w:right w:w="57" w:type="dxa"/>
                  </w:tcMar>
                  <w:vAlign w:val="center"/>
                </w:tcPr>
                <w:p w14:paraId="1F3CEB52">
                  <w:pPr>
                    <w:pStyle w:val="20"/>
                    <w:spacing w:before="31"/>
                    <w:rPr>
                      <w:color w:val="auto"/>
                      <w:highlight w:val="none"/>
                    </w:rPr>
                  </w:pPr>
                  <w:r>
                    <w:rPr>
                      <w:color w:val="auto"/>
                      <w:highlight w:val="none"/>
                    </w:rPr>
                    <w:t>1次/</w:t>
                  </w:r>
                  <w:r>
                    <w:rPr>
                      <w:rFonts w:hint="eastAsia"/>
                      <w:color w:val="auto"/>
                      <w:highlight w:val="none"/>
                    </w:rPr>
                    <w:t>半</w:t>
                  </w:r>
                  <w:r>
                    <w:rPr>
                      <w:color w:val="auto"/>
                      <w:highlight w:val="none"/>
                    </w:rPr>
                    <w:t>年</w:t>
                  </w:r>
                </w:p>
              </w:tc>
              <w:tc>
                <w:tcPr>
                  <w:tcW w:w="1811" w:type="pct"/>
                  <w:vMerge w:val="restart"/>
                  <w:tcMar>
                    <w:top w:w="0" w:type="dxa"/>
                    <w:left w:w="57" w:type="dxa"/>
                    <w:bottom w:w="0" w:type="dxa"/>
                    <w:right w:w="57" w:type="dxa"/>
                  </w:tcMar>
                  <w:vAlign w:val="center"/>
                </w:tcPr>
                <w:p w14:paraId="14202C20">
                  <w:pPr>
                    <w:pStyle w:val="20"/>
                    <w:spacing w:before="31"/>
                    <w:rPr>
                      <w:rFonts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《合成树脂工业污染物排放标准》（GB31572-2015，含2024年修改单）中表5特别排放限值</w:t>
                  </w:r>
                </w:p>
              </w:tc>
            </w:tr>
            <w:tr w14:paraId="1AB0B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86" w:type="pct"/>
                  <w:vMerge w:val="continue"/>
                  <w:tcMar>
                    <w:top w:w="0" w:type="dxa"/>
                    <w:left w:w="57" w:type="dxa"/>
                    <w:bottom w:w="0" w:type="dxa"/>
                    <w:right w:w="57" w:type="dxa"/>
                  </w:tcMar>
                  <w:vAlign w:val="center"/>
                </w:tcPr>
                <w:p w14:paraId="061EB0DB">
                  <w:pPr>
                    <w:pStyle w:val="20"/>
                    <w:spacing w:before="31"/>
                    <w:rPr>
                      <w:rFonts w:hint="eastAsia"/>
                      <w:color w:val="auto"/>
                      <w:highlight w:val="none"/>
                    </w:rPr>
                  </w:pPr>
                </w:p>
              </w:tc>
              <w:tc>
                <w:tcPr>
                  <w:tcW w:w="468" w:type="pct"/>
                  <w:vMerge w:val="continue"/>
                  <w:tcMar>
                    <w:top w:w="0" w:type="dxa"/>
                    <w:left w:w="57" w:type="dxa"/>
                    <w:bottom w:w="0" w:type="dxa"/>
                    <w:right w:w="57" w:type="dxa"/>
                  </w:tcMar>
                  <w:vAlign w:val="center"/>
                </w:tcPr>
                <w:p w14:paraId="0F6D785D">
                  <w:pPr>
                    <w:pStyle w:val="20"/>
                    <w:bidi w:val="0"/>
                    <w:jc w:val="center"/>
                    <w:rPr>
                      <w:rFonts w:hint="eastAsia"/>
                      <w:color w:val="auto"/>
                      <w:highlight w:val="none"/>
                    </w:rPr>
                  </w:pPr>
                </w:p>
              </w:tc>
              <w:tc>
                <w:tcPr>
                  <w:tcW w:w="447" w:type="pct"/>
                  <w:vMerge w:val="continue"/>
                  <w:tcMar>
                    <w:top w:w="0" w:type="dxa"/>
                    <w:left w:w="57" w:type="dxa"/>
                    <w:bottom w:w="0" w:type="dxa"/>
                    <w:right w:w="57" w:type="dxa"/>
                  </w:tcMar>
                  <w:vAlign w:val="center"/>
                </w:tcPr>
                <w:p w14:paraId="6D135A7F">
                  <w:pPr>
                    <w:pStyle w:val="20"/>
                    <w:bidi w:val="0"/>
                    <w:jc w:val="center"/>
                    <w:rPr>
                      <w:rFonts w:hint="eastAsia"/>
                      <w:color w:val="auto"/>
                      <w:highlight w:val="none"/>
                      <w:lang w:val="en-US" w:eastAsia="zh-CN"/>
                    </w:rPr>
                  </w:pPr>
                </w:p>
              </w:tc>
              <w:tc>
                <w:tcPr>
                  <w:tcW w:w="1521" w:type="pct"/>
                  <w:tcMar>
                    <w:top w:w="0" w:type="dxa"/>
                    <w:left w:w="57" w:type="dxa"/>
                    <w:bottom w:w="0" w:type="dxa"/>
                    <w:right w:w="57" w:type="dxa"/>
                  </w:tcMar>
                  <w:vAlign w:val="center"/>
                </w:tcPr>
                <w:p w14:paraId="5B381A68">
                  <w:pPr>
                    <w:pStyle w:val="20"/>
                    <w:bidi w:val="0"/>
                    <w:jc w:val="center"/>
                    <w:rPr>
                      <w:rFonts w:hint="default" w:eastAsia="宋体"/>
                      <w:color w:val="auto"/>
                      <w:highlight w:val="none"/>
                      <w:lang w:val="en-US" w:eastAsia="zh-CN"/>
                    </w:rPr>
                  </w:pPr>
                  <w:r>
                    <w:rPr>
                      <w:rFonts w:hint="eastAsia"/>
                      <w:color w:val="auto"/>
                      <w:highlight w:val="none"/>
                    </w:rPr>
                    <w:t>丙烯腈</w:t>
                  </w:r>
                  <w:r>
                    <w:rPr>
                      <w:rFonts w:hint="eastAsia"/>
                      <w:color w:val="auto"/>
                      <w:highlight w:val="none"/>
                      <w:lang w:eastAsia="zh-CN"/>
                    </w:rPr>
                    <w:t>、</w:t>
                  </w:r>
                  <w:r>
                    <w:rPr>
                      <w:rFonts w:hint="eastAsia"/>
                      <w:color w:val="auto"/>
                      <w:highlight w:val="none"/>
                    </w:rPr>
                    <w:t>1,3-丁二烯</w:t>
                  </w:r>
                  <w:r>
                    <w:rPr>
                      <w:rFonts w:hint="eastAsia"/>
                      <w:color w:val="auto"/>
                      <w:highlight w:val="none"/>
                      <w:vertAlign w:val="superscript"/>
                    </w:rPr>
                    <w:t>（1）</w:t>
                  </w:r>
                  <w:r>
                    <w:rPr>
                      <w:rFonts w:hint="eastAsia"/>
                      <w:color w:val="auto"/>
                      <w:highlight w:val="none"/>
                      <w:lang w:eastAsia="zh-CN"/>
                    </w:rPr>
                    <w:t>、</w:t>
                  </w:r>
                  <w:r>
                    <w:rPr>
                      <w:rFonts w:hint="eastAsia"/>
                      <w:color w:val="auto"/>
                      <w:highlight w:val="none"/>
                    </w:rPr>
                    <w:t>苯乙烯</w:t>
                  </w:r>
                  <w:r>
                    <w:rPr>
                      <w:rFonts w:hint="eastAsia"/>
                      <w:color w:val="auto"/>
                      <w:highlight w:val="none"/>
                      <w:lang w:eastAsia="zh-CN"/>
                    </w:rPr>
                    <w:t>、</w:t>
                  </w:r>
                  <w:r>
                    <w:rPr>
                      <w:rFonts w:hint="eastAsia"/>
                      <w:color w:val="auto"/>
                      <w:highlight w:val="none"/>
                    </w:rPr>
                    <w:t>甲苯</w:t>
                  </w:r>
                  <w:r>
                    <w:rPr>
                      <w:rFonts w:hint="eastAsia"/>
                      <w:color w:val="auto"/>
                      <w:highlight w:val="none"/>
                      <w:lang w:eastAsia="zh-CN"/>
                    </w:rPr>
                    <w:t>、</w:t>
                  </w:r>
                  <w:r>
                    <w:rPr>
                      <w:rFonts w:hint="eastAsia"/>
                      <w:color w:val="auto"/>
                      <w:highlight w:val="none"/>
                    </w:rPr>
                    <w:t>乙苯</w:t>
                  </w:r>
                  <w:r>
                    <w:rPr>
                      <w:rFonts w:hint="eastAsia"/>
                      <w:color w:val="auto"/>
                      <w:highlight w:val="none"/>
                      <w:lang w:eastAsia="zh-CN"/>
                    </w:rPr>
                    <w:t>、</w:t>
                  </w:r>
                  <w:r>
                    <w:rPr>
                      <w:rFonts w:hint="eastAsia"/>
                      <w:color w:val="auto"/>
                      <w:highlight w:val="none"/>
                    </w:rPr>
                    <w:t>甲基丙烯酸甲酯</w:t>
                  </w:r>
                  <w:r>
                    <w:rPr>
                      <w:rFonts w:hint="eastAsia"/>
                      <w:color w:val="auto"/>
                      <w:highlight w:val="none"/>
                      <w:lang w:eastAsia="zh-CN"/>
                    </w:rPr>
                    <w:t>、</w:t>
                  </w:r>
                  <w:r>
                    <w:rPr>
                      <w:rFonts w:hint="eastAsia"/>
                      <w:color w:val="auto"/>
                      <w:highlight w:val="none"/>
                    </w:rPr>
                    <w:t>丙烯酸甲酯</w:t>
                  </w:r>
                  <w:r>
                    <w:rPr>
                      <w:rFonts w:hint="eastAsia"/>
                      <w:color w:val="auto"/>
                      <w:highlight w:val="none"/>
                      <w:lang w:eastAsia="zh-CN"/>
                    </w:rPr>
                    <w:t>、</w:t>
                  </w:r>
                  <w:r>
                    <w:rPr>
                      <w:rFonts w:hint="eastAsia"/>
                      <w:color w:val="auto"/>
                      <w:highlight w:val="none"/>
                    </w:rPr>
                    <w:t>丙烯酸</w:t>
                  </w:r>
                  <w:r>
                    <w:rPr>
                      <w:rFonts w:hint="eastAsia"/>
                      <w:color w:val="auto"/>
                      <w:highlight w:val="none"/>
                      <w:lang w:eastAsia="zh-CN"/>
                    </w:rPr>
                    <w:t>、</w:t>
                  </w:r>
                  <w:r>
                    <w:rPr>
                      <w:rFonts w:hint="eastAsia"/>
                      <w:color w:val="auto"/>
                      <w:highlight w:val="none"/>
                    </w:rPr>
                    <w:t>丙烯酸丁酯</w:t>
                  </w:r>
                  <w:r>
                    <w:rPr>
                      <w:rFonts w:hint="eastAsia"/>
                      <w:color w:val="auto"/>
                      <w:highlight w:val="none"/>
                      <w:lang w:eastAsia="zh-CN"/>
                    </w:rPr>
                    <w:t>、</w:t>
                  </w:r>
                  <w:r>
                    <w:rPr>
                      <w:rFonts w:hint="eastAsia"/>
                      <w:color w:val="auto"/>
                      <w:highlight w:val="none"/>
                      <w:lang w:val="en-US" w:eastAsia="zh-CN"/>
                    </w:rPr>
                    <w:t>颗粒物</w:t>
                  </w:r>
                </w:p>
              </w:tc>
              <w:tc>
                <w:tcPr>
                  <w:tcW w:w="364" w:type="pct"/>
                  <w:vMerge w:val="restart"/>
                  <w:tcMar>
                    <w:top w:w="0" w:type="dxa"/>
                    <w:left w:w="57" w:type="dxa"/>
                    <w:bottom w:w="0" w:type="dxa"/>
                    <w:right w:w="57" w:type="dxa"/>
                  </w:tcMar>
                  <w:vAlign w:val="center"/>
                </w:tcPr>
                <w:p w14:paraId="2C576BA9">
                  <w:pPr>
                    <w:pStyle w:val="20"/>
                    <w:spacing w:before="31"/>
                    <w:rPr>
                      <w:color w:val="auto"/>
                      <w:highlight w:val="none"/>
                    </w:rPr>
                  </w:pPr>
                  <w:r>
                    <w:rPr>
                      <w:color w:val="auto"/>
                      <w:highlight w:val="none"/>
                    </w:rPr>
                    <w:t>1次/年</w:t>
                  </w:r>
                </w:p>
              </w:tc>
              <w:tc>
                <w:tcPr>
                  <w:tcW w:w="1811" w:type="pct"/>
                  <w:vMerge w:val="continue"/>
                  <w:tcMar>
                    <w:top w:w="0" w:type="dxa"/>
                    <w:left w:w="57" w:type="dxa"/>
                    <w:bottom w:w="0" w:type="dxa"/>
                    <w:right w:w="57" w:type="dxa"/>
                  </w:tcMar>
                  <w:vAlign w:val="center"/>
                </w:tcPr>
                <w:p w14:paraId="33FC1C08">
                  <w:pPr>
                    <w:pStyle w:val="20"/>
                    <w:spacing w:before="31"/>
                    <w:rPr>
                      <w:rFonts w:hint="eastAsia"/>
                      <w:color w:val="auto"/>
                      <w:highlight w:val="none"/>
                    </w:rPr>
                  </w:pPr>
                </w:p>
              </w:tc>
            </w:tr>
            <w:tr w14:paraId="48BE2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86" w:type="pct"/>
                  <w:vMerge w:val="continue"/>
                  <w:tcMar>
                    <w:top w:w="0" w:type="dxa"/>
                    <w:left w:w="57" w:type="dxa"/>
                    <w:bottom w:w="0" w:type="dxa"/>
                    <w:right w:w="57" w:type="dxa"/>
                  </w:tcMar>
                  <w:vAlign w:val="center"/>
                </w:tcPr>
                <w:p w14:paraId="1C95CB5D">
                  <w:pPr>
                    <w:pStyle w:val="20"/>
                    <w:spacing w:before="31"/>
                    <w:rPr>
                      <w:rFonts w:hint="eastAsia"/>
                      <w:color w:val="auto"/>
                      <w:highlight w:val="none"/>
                    </w:rPr>
                  </w:pPr>
                </w:p>
              </w:tc>
              <w:tc>
                <w:tcPr>
                  <w:tcW w:w="468" w:type="pct"/>
                  <w:vMerge w:val="continue"/>
                  <w:tcMar>
                    <w:top w:w="0" w:type="dxa"/>
                    <w:left w:w="57" w:type="dxa"/>
                    <w:bottom w:w="0" w:type="dxa"/>
                    <w:right w:w="57" w:type="dxa"/>
                  </w:tcMar>
                  <w:vAlign w:val="center"/>
                </w:tcPr>
                <w:p w14:paraId="7EFCDE9D">
                  <w:pPr>
                    <w:pStyle w:val="20"/>
                    <w:bidi w:val="0"/>
                    <w:jc w:val="center"/>
                    <w:rPr>
                      <w:rFonts w:hint="eastAsia"/>
                      <w:color w:val="auto"/>
                      <w:highlight w:val="none"/>
                    </w:rPr>
                  </w:pPr>
                </w:p>
              </w:tc>
              <w:tc>
                <w:tcPr>
                  <w:tcW w:w="447" w:type="pct"/>
                  <w:vMerge w:val="continue"/>
                  <w:tcMar>
                    <w:top w:w="0" w:type="dxa"/>
                    <w:left w:w="57" w:type="dxa"/>
                    <w:bottom w:w="0" w:type="dxa"/>
                    <w:right w:w="57" w:type="dxa"/>
                  </w:tcMar>
                  <w:vAlign w:val="center"/>
                </w:tcPr>
                <w:p w14:paraId="5638D9AE">
                  <w:pPr>
                    <w:pStyle w:val="20"/>
                    <w:bidi w:val="0"/>
                    <w:jc w:val="center"/>
                    <w:rPr>
                      <w:rFonts w:hint="eastAsia"/>
                      <w:color w:val="auto"/>
                      <w:highlight w:val="none"/>
                      <w:lang w:val="en-US" w:eastAsia="zh-CN"/>
                    </w:rPr>
                  </w:pPr>
                </w:p>
              </w:tc>
              <w:tc>
                <w:tcPr>
                  <w:tcW w:w="1521" w:type="pct"/>
                  <w:tcMar>
                    <w:top w:w="0" w:type="dxa"/>
                    <w:left w:w="57" w:type="dxa"/>
                    <w:bottom w:w="0" w:type="dxa"/>
                    <w:right w:w="57" w:type="dxa"/>
                  </w:tcMar>
                  <w:vAlign w:val="center"/>
                </w:tcPr>
                <w:p w14:paraId="18897993">
                  <w:pPr>
                    <w:pStyle w:val="20"/>
                    <w:bidi w:val="0"/>
                    <w:jc w:val="center"/>
                    <w:rPr>
                      <w:rFonts w:hint="default"/>
                      <w:color w:val="auto"/>
                      <w:highlight w:val="none"/>
                      <w:lang w:val="en-US" w:eastAsia="zh-CN"/>
                    </w:rPr>
                  </w:pPr>
                  <w:r>
                    <w:rPr>
                      <w:rFonts w:hint="eastAsia"/>
                      <w:color w:val="auto"/>
                      <w:highlight w:val="none"/>
                      <w:lang w:val="en-US" w:eastAsia="zh-CN"/>
                    </w:rPr>
                    <w:t>臭气浓度</w:t>
                  </w:r>
                </w:p>
              </w:tc>
              <w:tc>
                <w:tcPr>
                  <w:tcW w:w="364" w:type="pct"/>
                  <w:vMerge w:val="continue"/>
                  <w:tcMar>
                    <w:top w:w="0" w:type="dxa"/>
                    <w:left w:w="57" w:type="dxa"/>
                    <w:bottom w:w="0" w:type="dxa"/>
                    <w:right w:w="57" w:type="dxa"/>
                  </w:tcMar>
                  <w:vAlign w:val="center"/>
                </w:tcPr>
                <w:p w14:paraId="01134D89">
                  <w:pPr>
                    <w:pStyle w:val="20"/>
                    <w:spacing w:before="31"/>
                    <w:rPr>
                      <w:color w:val="auto"/>
                      <w:highlight w:val="none"/>
                    </w:rPr>
                  </w:pPr>
                </w:p>
              </w:tc>
              <w:tc>
                <w:tcPr>
                  <w:tcW w:w="1811" w:type="pct"/>
                  <w:tcMar>
                    <w:top w:w="0" w:type="dxa"/>
                    <w:left w:w="57" w:type="dxa"/>
                    <w:bottom w:w="0" w:type="dxa"/>
                    <w:right w:w="57" w:type="dxa"/>
                  </w:tcMar>
                  <w:vAlign w:val="center"/>
                </w:tcPr>
                <w:p w14:paraId="5E6FAF92">
                  <w:pPr>
                    <w:pStyle w:val="20"/>
                    <w:spacing w:before="31"/>
                    <w:rPr>
                      <w:rFonts w:hint="eastAsia"/>
                      <w:color w:val="auto"/>
                      <w:highlight w:val="none"/>
                    </w:rPr>
                  </w:pPr>
                  <w:r>
                    <w:rPr>
                      <w:rFonts w:hint="eastAsia"/>
                      <w:color w:val="auto"/>
                      <w:highlight w:val="none"/>
                      <w:lang w:val="en-US" w:eastAsia="zh-CN"/>
                    </w:rPr>
                    <w:t>《恶臭污染物排放标准》（GB14554-93）</w:t>
                  </w:r>
                </w:p>
              </w:tc>
            </w:tr>
            <w:tr w14:paraId="6898C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86" w:type="pct"/>
                  <w:vMerge w:val="restart"/>
                  <w:vAlign w:val="center"/>
                </w:tcPr>
                <w:p w14:paraId="745DD5BB">
                  <w:pPr>
                    <w:pStyle w:val="20"/>
                    <w:spacing w:before="31"/>
                    <w:rPr>
                      <w:color w:val="auto"/>
                      <w:highlight w:val="none"/>
                    </w:rPr>
                  </w:pPr>
                  <w:r>
                    <w:rPr>
                      <w:rFonts w:hint="eastAsia"/>
                      <w:color w:val="auto"/>
                      <w:highlight w:val="none"/>
                    </w:rPr>
                    <w:t>无组织废气</w:t>
                  </w:r>
                </w:p>
              </w:tc>
              <w:tc>
                <w:tcPr>
                  <w:tcW w:w="916" w:type="pct"/>
                  <w:gridSpan w:val="2"/>
                  <w:vAlign w:val="center"/>
                </w:tcPr>
                <w:p w14:paraId="0B8AD6B3">
                  <w:pPr>
                    <w:pStyle w:val="20"/>
                    <w:spacing w:before="31"/>
                    <w:rPr>
                      <w:color w:val="auto"/>
                      <w:highlight w:val="none"/>
                    </w:rPr>
                  </w:pPr>
                  <w:r>
                    <w:rPr>
                      <w:rFonts w:hint="eastAsia"/>
                      <w:color w:val="auto"/>
                      <w:highlight w:val="none"/>
                    </w:rPr>
                    <w:t>厂房外</w:t>
                  </w:r>
                </w:p>
              </w:tc>
              <w:tc>
                <w:tcPr>
                  <w:tcW w:w="1521" w:type="pct"/>
                  <w:vAlign w:val="center"/>
                </w:tcPr>
                <w:p w14:paraId="3C6C9665">
                  <w:pPr>
                    <w:pStyle w:val="20"/>
                    <w:spacing w:before="31"/>
                    <w:rPr>
                      <w:color w:val="auto"/>
                      <w:highlight w:val="none"/>
                    </w:rPr>
                  </w:pPr>
                  <w:r>
                    <w:rPr>
                      <w:rFonts w:hint="eastAsia"/>
                      <w:color w:val="auto"/>
                      <w:highlight w:val="none"/>
                    </w:rPr>
                    <w:t>非甲烷总烃</w:t>
                  </w:r>
                </w:p>
              </w:tc>
              <w:tc>
                <w:tcPr>
                  <w:tcW w:w="364" w:type="pct"/>
                  <w:vAlign w:val="center"/>
                </w:tcPr>
                <w:p w14:paraId="5ED6A5C8">
                  <w:pPr>
                    <w:pStyle w:val="20"/>
                    <w:spacing w:before="31"/>
                    <w:rPr>
                      <w:color w:val="auto"/>
                      <w:highlight w:val="none"/>
                    </w:rPr>
                  </w:pPr>
                  <w:r>
                    <w:rPr>
                      <w:color w:val="auto"/>
                      <w:highlight w:val="none"/>
                    </w:rPr>
                    <w:t>1次/年</w:t>
                  </w:r>
                </w:p>
              </w:tc>
              <w:tc>
                <w:tcPr>
                  <w:tcW w:w="1811" w:type="pct"/>
                  <w:vAlign w:val="center"/>
                </w:tcPr>
                <w:p w14:paraId="4ED4022C">
                  <w:pPr>
                    <w:pStyle w:val="20"/>
                    <w:spacing w:before="31"/>
                    <w:rPr>
                      <w:color w:val="auto"/>
                      <w:highlight w:val="none"/>
                    </w:rPr>
                  </w:pPr>
                  <w:r>
                    <w:rPr>
                      <w:rFonts w:hint="eastAsia"/>
                      <w:color w:val="auto"/>
                      <w:highlight w:val="none"/>
                    </w:rPr>
                    <w:t>《挥发性有机物无组织排放控制标准》（GB 37822-2019）</w:t>
                  </w:r>
                </w:p>
              </w:tc>
            </w:tr>
            <w:tr w14:paraId="1628A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86" w:type="pct"/>
                  <w:vMerge w:val="continue"/>
                  <w:vAlign w:val="center"/>
                </w:tcPr>
                <w:p w14:paraId="12DACDEF">
                  <w:pPr>
                    <w:pStyle w:val="20"/>
                    <w:spacing w:before="31"/>
                    <w:rPr>
                      <w:color w:val="auto"/>
                      <w:highlight w:val="none"/>
                    </w:rPr>
                  </w:pPr>
                </w:p>
              </w:tc>
              <w:tc>
                <w:tcPr>
                  <w:tcW w:w="916" w:type="pct"/>
                  <w:gridSpan w:val="2"/>
                  <w:vMerge w:val="restart"/>
                  <w:vAlign w:val="center"/>
                </w:tcPr>
                <w:p w14:paraId="3A8E7D52">
                  <w:pPr>
                    <w:pStyle w:val="20"/>
                    <w:spacing w:before="31"/>
                    <w:rPr>
                      <w:color w:val="auto"/>
                      <w:highlight w:val="none"/>
                    </w:rPr>
                  </w:pPr>
                  <w:r>
                    <w:rPr>
                      <w:rFonts w:hint="eastAsia"/>
                      <w:color w:val="auto"/>
                      <w:highlight w:val="none"/>
                    </w:rPr>
                    <w:t>厂界</w:t>
                  </w:r>
                </w:p>
              </w:tc>
              <w:tc>
                <w:tcPr>
                  <w:tcW w:w="1521" w:type="pct"/>
                  <w:vAlign w:val="center"/>
                </w:tcPr>
                <w:p w14:paraId="0686C8B3">
                  <w:pPr>
                    <w:pStyle w:val="20"/>
                    <w:spacing w:before="31"/>
                    <w:rPr>
                      <w:rFonts w:hint="default"/>
                      <w:color w:val="auto"/>
                      <w:highlight w:val="none"/>
                      <w:lang w:val="en-US"/>
                    </w:rPr>
                  </w:pPr>
                  <w:r>
                    <w:rPr>
                      <w:rFonts w:hint="eastAsia"/>
                      <w:color w:val="auto"/>
                      <w:highlight w:val="none"/>
                      <w:lang w:val="en-US" w:eastAsia="zh-CN"/>
                    </w:rPr>
                    <w:t>非甲烷总烃、甲苯、颗粒物</w:t>
                  </w:r>
                </w:p>
              </w:tc>
              <w:tc>
                <w:tcPr>
                  <w:tcW w:w="364" w:type="pct"/>
                  <w:vMerge w:val="restart"/>
                  <w:vAlign w:val="center"/>
                </w:tcPr>
                <w:p w14:paraId="75620183">
                  <w:pPr>
                    <w:pStyle w:val="20"/>
                    <w:spacing w:before="31"/>
                    <w:rPr>
                      <w:color w:val="auto"/>
                      <w:highlight w:val="none"/>
                    </w:rPr>
                  </w:pPr>
                  <w:r>
                    <w:rPr>
                      <w:color w:val="auto"/>
                      <w:highlight w:val="none"/>
                    </w:rPr>
                    <w:t>1次/年</w:t>
                  </w:r>
                </w:p>
              </w:tc>
              <w:tc>
                <w:tcPr>
                  <w:tcW w:w="1811" w:type="pct"/>
                  <w:vAlign w:val="center"/>
                </w:tcPr>
                <w:p w14:paraId="36C56BF3">
                  <w:pPr>
                    <w:pStyle w:val="20"/>
                    <w:spacing w:before="31"/>
                    <w:rPr>
                      <w:color w:val="auto"/>
                      <w:highlight w:val="none"/>
                    </w:rPr>
                  </w:pPr>
                  <w:r>
                    <w:rPr>
                      <w:rFonts w:hint="default"/>
                      <w:color w:val="auto"/>
                      <w:highlight w:val="none"/>
                      <w:lang w:val="en-US" w:eastAsia="zh-CN"/>
                    </w:rPr>
                    <w:t>《合成树脂工业污染物排放标准》（GB31572-2015，含2024年修改单）中表5特别排放限值</w:t>
                  </w:r>
                </w:p>
              </w:tc>
            </w:tr>
            <w:tr w14:paraId="201FC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86" w:type="pct"/>
                  <w:vMerge w:val="continue"/>
                  <w:vAlign w:val="center"/>
                </w:tcPr>
                <w:p w14:paraId="6AEE4B76">
                  <w:pPr>
                    <w:pStyle w:val="20"/>
                    <w:spacing w:before="31"/>
                    <w:rPr>
                      <w:color w:val="auto"/>
                      <w:highlight w:val="none"/>
                    </w:rPr>
                  </w:pPr>
                </w:p>
              </w:tc>
              <w:tc>
                <w:tcPr>
                  <w:tcW w:w="916" w:type="pct"/>
                  <w:gridSpan w:val="2"/>
                  <w:vMerge w:val="continue"/>
                  <w:vAlign w:val="center"/>
                </w:tcPr>
                <w:p w14:paraId="360CECAE">
                  <w:pPr>
                    <w:pStyle w:val="20"/>
                    <w:spacing w:before="31"/>
                    <w:rPr>
                      <w:color w:val="auto"/>
                      <w:highlight w:val="none"/>
                    </w:rPr>
                  </w:pPr>
                </w:p>
              </w:tc>
              <w:tc>
                <w:tcPr>
                  <w:tcW w:w="1521" w:type="pct"/>
                  <w:vAlign w:val="center"/>
                </w:tcPr>
                <w:p w14:paraId="5EEEFD8D">
                  <w:pPr>
                    <w:pStyle w:val="20"/>
                    <w:spacing w:before="31"/>
                    <w:rPr>
                      <w:color w:val="auto"/>
                      <w:highlight w:val="none"/>
                    </w:rPr>
                  </w:pPr>
                  <w:r>
                    <w:rPr>
                      <w:rFonts w:hint="eastAsia"/>
                      <w:color w:val="auto"/>
                      <w:highlight w:val="none"/>
                      <w:lang w:val="en-US" w:eastAsia="zh-CN"/>
                    </w:rPr>
                    <w:t>臭气浓度</w:t>
                  </w:r>
                </w:p>
              </w:tc>
              <w:tc>
                <w:tcPr>
                  <w:tcW w:w="364" w:type="pct"/>
                  <w:vMerge w:val="continue"/>
                  <w:vAlign w:val="center"/>
                </w:tcPr>
                <w:p w14:paraId="7320C7D3">
                  <w:pPr>
                    <w:pStyle w:val="20"/>
                    <w:spacing w:before="31"/>
                    <w:rPr>
                      <w:color w:val="auto"/>
                      <w:highlight w:val="none"/>
                    </w:rPr>
                  </w:pPr>
                </w:p>
              </w:tc>
              <w:tc>
                <w:tcPr>
                  <w:tcW w:w="1811" w:type="pct"/>
                  <w:vAlign w:val="center"/>
                </w:tcPr>
                <w:p w14:paraId="10D63545">
                  <w:pPr>
                    <w:pStyle w:val="20"/>
                    <w:spacing w:before="31"/>
                    <w:rPr>
                      <w:color w:val="auto"/>
                      <w:highlight w:val="none"/>
                    </w:rPr>
                  </w:pPr>
                  <w:r>
                    <w:rPr>
                      <w:rFonts w:hint="eastAsia"/>
                      <w:color w:val="auto"/>
                      <w:highlight w:val="none"/>
                      <w:lang w:val="en-US" w:eastAsia="zh-CN"/>
                    </w:rPr>
                    <w:t>《恶臭污染物排放标准》（GB14554-93）</w:t>
                  </w:r>
                </w:p>
              </w:tc>
            </w:tr>
            <w:tr w14:paraId="715D2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000" w:type="pct"/>
                  <w:gridSpan w:val="6"/>
                  <w:vAlign w:val="center"/>
                </w:tcPr>
                <w:p w14:paraId="438F6087">
                  <w:pPr>
                    <w:pStyle w:val="20"/>
                    <w:spacing w:before="31"/>
                    <w:jc w:val="both"/>
                    <w:rPr>
                      <w:rFonts w:hint="eastAsia"/>
                      <w:color w:val="auto"/>
                      <w:highlight w:val="none"/>
                      <w:lang w:eastAsia="zh-CN"/>
                    </w:rPr>
                  </w:pPr>
                  <w:r>
                    <w:rPr>
                      <w:rFonts w:hint="eastAsia"/>
                      <w:color w:val="auto"/>
                      <w:szCs w:val="21"/>
                      <w:highlight w:val="none"/>
                    </w:rPr>
                    <w:t>注：“</w:t>
                  </w:r>
                  <w:r>
                    <w:rPr>
                      <w:rFonts w:hint="eastAsia"/>
                      <w:color w:val="auto"/>
                      <w:szCs w:val="21"/>
                      <w:highlight w:val="none"/>
                      <w:vertAlign w:val="superscript"/>
                    </w:rPr>
                    <w:t>（1）</w:t>
                  </w:r>
                  <w:r>
                    <w:rPr>
                      <w:rFonts w:hint="eastAsia"/>
                      <w:color w:val="auto"/>
                      <w:szCs w:val="21"/>
                      <w:highlight w:val="none"/>
                    </w:rPr>
                    <w:t>”待国家污染物监测方法标准发布后实施。</w:t>
                  </w:r>
                </w:p>
              </w:tc>
            </w:tr>
          </w:tbl>
          <w:p w14:paraId="54B533CE">
            <w:pPr>
              <w:pStyle w:val="2"/>
              <w:numPr>
                <w:ilvl w:val="0"/>
                <w:numId w:val="10"/>
              </w:numPr>
              <w:spacing w:before="156"/>
              <w:rPr>
                <w:b/>
                <w:bCs/>
                <w:color w:val="auto"/>
                <w:highlight w:val="none"/>
              </w:rPr>
            </w:pPr>
            <w:r>
              <w:rPr>
                <w:rFonts w:hint="eastAsia"/>
                <w:b/>
                <w:bCs/>
                <w:color w:val="auto"/>
                <w:highlight w:val="none"/>
              </w:rPr>
              <w:t>废水</w:t>
            </w:r>
          </w:p>
          <w:p w14:paraId="26045393">
            <w:pPr>
              <w:pStyle w:val="18"/>
              <w:ind w:firstLine="482"/>
              <w:rPr>
                <w:b/>
                <w:bCs/>
                <w:color w:val="auto"/>
                <w:highlight w:val="none"/>
              </w:rPr>
            </w:pPr>
            <w:r>
              <w:rPr>
                <w:rFonts w:hint="eastAsia"/>
                <w:b/>
                <w:bCs/>
                <w:color w:val="auto"/>
                <w:highlight w:val="none"/>
              </w:rPr>
              <w:t>1）废水污染源核算结果及相关参数</w:t>
            </w:r>
          </w:p>
          <w:p w14:paraId="36CAB930">
            <w:pPr>
              <w:pStyle w:val="18"/>
              <w:bidi w:val="0"/>
              <w:rPr>
                <w:rFonts w:hint="eastAsia"/>
                <w:color w:val="auto"/>
                <w:highlight w:val="none"/>
                <w:lang w:val="en-US" w:eastAsia="zh-CN"/>
              </w:rPr>
            </w:pPr>
            <w:r>
              <w:rPr>
                <w:rFonts w:hint="eastAsia"/>
                <w:color w:val="auto"/>
                <w:highlight w:val="none"/>
                <w:lang w:val="en-US" w:eastAsia="zh-CN"/>
              </w:rPr>
              <w:t>根据前文水平衡分析及工艺流程产污环</w:t>
            </w:r>
          </w:p>
          <w:p w14:paraId="594C460F">
            <w:pPr>
              <w:pStyle w:val="18"/>
              <w:bidi w:val="0"/>
              <w:rPr>
                <w:rFonts w:hint="default" w:eastAsia="宋体"/>
                <w:color w:val="auto"/>
                <w:highlight w:val="none"/>
                <w:lang w:val="en-US" w:eastAsia="zh-CN"/>
              </w:rPr>
            </w:pPr>
            <w:r>
              <w:rPr>
                <w:rFonts w:hint="eastAsia"/>
                <w:color w:val="auto"/>
                <w:highlight w:val="none"/>
                <w:lang w:val="en-US" w:eastAsia="zh-CN"/>
              </w:rPr>
              <w:t>项目</w:t>
            </w:r>
            <w:r>
              <w:rPr>
                <w:rFonts w:hint="eastAsia"/>
                <w:color w:val="auto"/>
                <w:highlight w:val="none"/>
              </w:rPr>
              <w:t>员工生活产生生活污水，废水排放量为</w:t>
            </w:r>
            <w:r>
              <w:rPr>
                <w:rFonts w:hint="eastAsia"/>
                <w:bCs/>
                <w:color w:val="auto"/>
                <w:szCs w:val="21"/>
                <w:highlight w:val="none"/>
                <w:lang w:val="en-US" w:eastAsia="zh-CN"/>
              </w:rPr>
              <w:t>810</w:t>
            </w:r>
            <w:r>
              <w:rPr>
                <w:rFonts w:hint="default" w:ascii="Times New Roman" w:hAnsi="Times New Roman"/>
                <w:bCs/>
                <w:color w:val="auto"/>
                <w:szCs w:val="21"/>
                <w:highlight w:val="none"/>
                <w:lang w:val="en-US" w:eastAsia="zh-CN"/>
              </w:rPr>
              <w:t>m</w:t>
            </w:r>
            <w:r>
              <w:rPr>
                <w:rFonts w:hint="default" w:ascii="Times New Roman" w:hAnsi="Times New Roman"/>
                <w:bCs/>
                <w:color w:val="auto"/>
                <w:szCs w:val="21"/>
                <w:highlight w:val="none"/>
                <w:vertAlign w:val="superscript"/>
                <w:lang w:val="en-US" w:eastAsia="zh-CN"/>
              </w:rPr>
              <w:t>3</w:t>
            </w:r>
            <w:r>
              <w:rPr>
                <w:rFonts w:hint="default" w:ascii="Times New Roman" w:hAnsi="Times New Roman"/>
                <w:bCs/>
                <w:color w:val="auto"/>
                <w:szCs w:val="21"/>
                <w:highlight w:val="none"/>
                <w:lang w:val="en-US" w:eastAsia="zh-CN"/>
              </w:rPr>
              <w:t>/a</w:t>
            </w:r>
            <w:r>
              <w:rPr>
                <w:rFonts w:hint="eastAsia"/>
                <w:color w:val="auto"/>
                <w:highlight w:val="none"/>
                <w:lang w:eastAsia="zh-CN"/>
              </w:rPr>
              <w:t>，</w:t>
            </w:r>
            <w:r>
              <w:rPr>
                <w:rFonts w:hint="eastAsia" w:cs="Times New Roman"/>
                <w:color w:val="auto"/>
                <w:highlight w:val="none"/>
              </w:rPr>
              <w:t>主要污染物为pH、COD、</w:t>
            </w:r>
            <w:r>
              <w:rPr>
                <w:rFonts w:hint="eastAsia"/>
                <w:color w:val="auto"/>
                <w:highlight w:val="none"/>
              </w:rPr>
              <w:t>BOD</w:t>
            </w:r>
            <w:r>
              <w:rPr>
                <w:rFonts w:hint="eastAsia"/>
                <w:color w:val="auto"/>
                <w:highlight w:val="none"/>
                <w:vertAlign w:val="subscript"/>
              </w:rPr>
              <w:t>5</w:t>
            </w:r>
            <w:r>
              <w:rPr>
                <w:rFonts w:hint="eastAsia"/>
                <w:color w:val="auto"/>
                <w:highlight w:val="none"/>
              </w:rPr>
              <w:t>、SS、氨氮</w:t>
            </w:r>
            <w:r>
              <w:rPr>
                <w:rFonts w:hint="eastAsia"/>
                <w:color w:val="auto"/>
                <w:highlight w:val="none"/>
                <w:lang w:eastAsia="zh-CN"/>
              </w:rPr>
              <w:t>、</w:t>
            </w:r>
            <w:r>
              <w:rPr>
                <w:rFonts w:hint="eastAsia"/>
                <w:color w:val="auto"/>
                <w:highlight w:val="none"/>
                <w:lang w:val="en-US" w:eastAsia="zh-CN"/>
              </w:rPr>
              <w:t>TP、TN</w:t>
            </w:r>
            <w:r>
              <w:rPr>
                <w:rFonts w:hint="eastAsia"/>
                <w:color w:val="auto"/>
                <w:highlight w:val="none"/>
              </w:rPr>
              <w:t>。地面清洁</w:t>
            </w:r>
            <w:r>
              <w:rPr>
                <w:rFonts w:hint="eastAsia"/>
                <w:color w:val="auto"/>
                <w:highlight w:val="none"/>
                <w:lang w:val="en-US" w:eastAsia="zh-CN"/>
              </w:rPr>
              <w:t>废水排放量为202.5</w:t>
            </w:r>
            <w:r>
              <w:rPr>
                <w:rFonts w:hint="eastAsia"/>
                <w:color w:val="auto"/>
                <w:highlight w:val="none"/>
                <w:lang w:eastAsia="zh-CN"/>
              </w:rPr>
              <w:t>m</w:t>
            </w:r>
            <w:r>
              <w:rPr>
                <w:rFonts w:hint="eastAsia"/>
                <w:color w:val="auto"/>
                <w:highlight w:val="none"/>
                <w:vertAlign w:val="superscript"/>
                <w:lang w:val="en-US" w:eastAsia="zh-CN"/>
              </w:rPr>
              <w:t>3</w:t>
            </w:r>
            <w:r>
              <w:rPr>
                <w:rFonts w:hint="eastAsia"/>
                <w:color w:val="auto"/>
                <w:highlight w:val="none"/>
                <w:lang w:eastAsia="zh-CN"/>
              </w:rPr>
              <w:t>/a，</w:t>
            </w:r>
            <w:r>
              <w:rPr>
                <w:rFonts w:hint="eastAsia"/>
                <w:color w:val="auto"/>
                <w:highlight w:val="none"/>
              </w:rPr>
              <w:t>主要污染物为COD、</w:t>
            </w:r>
            <w:r>
              <w:rPr>
                <w:rFonts w:hint="eastAsia"/>
                <w:color w:val="auto"/>
                <w:highlight w:val="none"/>
                <w:lang w:val="en-US" w:eastAsia="zh-CN"/>
              </w:rPr>
              <w:t>BOD</w:t>
            </w:r>
            <w:r>
              <w:rPr>
                <w:rFonts w:hint="eastAsia"/>
                <w:color w:val="auto"/>
                <w:highlight w:val="none"/>
                <w:vertAlign w:val="subscript"/>
                <w:lang w:val="en-US" w:eastAsia="zh-CN"/>
              </w:rPr>
              <w:t>5</w:t>
            </w:r>
            <w:r>
              <w:rPr>
                <w:rFonts w:hint="eastAsia"/>
                <w:color w:val="auto"/>
                <w:highlight w:val="none"/>
                <w:lang w:val="en-US" w:eastAsia="zh-CN"/>
              </w:rPr>
              <w:t>、</w:t>
            </w:r>
            <w:r>
              <w:rPr>
                <w:rFonts w:hint="eastAsia"/>
                <w:color w:val="auto"/>
                <w:highlight w:val="none"/>
              </w:rPr>
              <w:t>SS</w:t>
            </w:r>
            <w:r>
              <w:rPr>
                <w:rFonts w:hint="eastAsia"/>
                <w:color w:val="auto"/>
                <w:highlight w:val="none"/>
                <w:lang w:eastAsia="zh-CN"/>
              </w:rPr>
              <w:t>、</w:t>
            </w:r>
            <w:r>
              <w:rPr>
                <w:rFonts w:hint="eastAsia"/>
                <w:color w:val="auto"/>
                <w:highlight w:val="none"/>
                <w:lang w:val="en-US" w:eastAsia="zh-CN"/>
              </w:rPr>
              <w:t>石油类，循环冷却池日常废水排放量为459.264</w:t>
            </w:r>
            <w:r>
              <w:rPr>
                <w:rFonts w:hint="eastAsia"/>
                <w:color w:val="auto"/>
                <w:highlight w:val="none"/>
                <w:lang w:eastAsia="zh-CN"/>
              </w:rPr>
              <w:t>m</w:t>
            </w:r>
            <w:r>
              <w:rPr>
                <w:rFonts w:hint="eastAsia"/>
                <w:color w:val="auto"/>
                <w:highlight w:val="none"/>
                <w:vertAlign w:val="superscript"/>
                <w:lang w:val="en-US" w:eastAsia="zh-CN"/>
              </w:rPr>
              <w:t>3</w:t>
            </w:r>
            <w:r>
              <w:rPr>
                <w:rFonts w:hint="eastAsia"/>
                <w:color w:val="auto"/>
                <w:highlight w:val="none"/>
                <w:lang w:eastAsia="zh-CN"/>
              </w:rPr>
              <w:t>/a，</w:t>
            </w:r>
            <w:r>
              <w:rPr>
                <w:rFonts w:hint="eastAsia"/>
                <w:color w:val="auto"/>
                <w:highlight w:val="none"/>
                <w:lang w:val="en-US" w:eastAsia="zh-CN"/>
              </w:rPr>
              <w:t>更换废水排放量为25m</w:t>
            </w:r>
            <w:r>
              <w:rPr>
                <w:rFonts w:hint="eastAsia"/>
                <w:color w:val="auto"/>
                <w:highlight w:val="none"/>
                <w:vertAlign w:val="superscript"/>
                <w:lang w:val="en-US" w:eastAsia="zh-CN"/>
              </w:rPr>
              <w:t>3</w:t>
            </w:r>
            <w:r>
              <w:rPr>
                <w:rFonts w:hint="eastAsia"/>
                <w:color w:val="auto"/>
                <w:highlight w:val="none"/>
                <w:lang w:val="en-US" w:eastAsia="zh-CN"/>
              </w:rPr>
              <w:t>，总计484.264</w:t>
            </w:r>
            <w:r>
              <w:rPr>
                <w:rFonts w:hint="eastAsia"/>
                <w:color w:val="auto"/>
                <w:highlight w:val="none"/>
                <w:lang w:eastAsia="zh-CN"/>
              </w:rPr>
              <w:t>m</w:t>
            </w:r>
            <w:r>
              <w:rPr>
                <w:rFonts w:hint="eastAsia"/>
                <w:color w:val="auto"/>
                <w:highlight w:val="none"/>
                <w:vertAlign w:val="superscript"/>
                <w:lang w:val="en-US" w:eastAsia="zh-CN"/>
              </w:rPr>
              <w:t>3</w:t>
            </w:r>
            <w:r>
              <w:rPr>
                <w:rFonts w:hint="eastAsia"/>
                <w:color w:val="auto"/>
                <w:highlight w:val="none"/>
                <w:lang w:eastAsia="zh-CN"/>
              </w:rPr>
              <w:t>/a，</w:t>
            </w:r>
            <w:r>
              <w:rPr>
                <w:rFonts w:hint="eastAsia"/>
                <w:color w:val="auto"/>
                <w:highlight w:val="none"/>
              </w:rPr>
              <w:t>主要污染物为</w:t>
            </w:r>
            <w:r>
              <w:rPr>
                <w:rFonts w:hint="eastAsia"/>
                <w:color w:val="auto"/>
                <w:highlight w:val="none"/>
                <w:lang w:val="en-US" w:eastAsia="zh-CN"/>
              </w:rPr>
              <w:t>SS。</w:t>
            </w:r>
          </w:p>
          <w:p w14:paraId="450D163B">
            <w:pPr>
              <w:pStyle w:val="18"/>
              <w:bidi w:val="0"/>
              <w:rPr>
                <w:rFonts w:hint="eastAsia"/>
                <w:color w:val="auto"/>
                <w:highlight w:val="none"/>
                <w:lang w:val="en-US" w:eastAsia="zh-CN"/>
              </w:rPr>
            </w:pPr>
            <w:r>
              <w:rPr>
                <w:rFonts w:hint="eastAsia"/>
                <w:color w:val="auto"/>
                <w:highlight w:val="none"/>
                <w:lang w:val="en-US" w:eastAsia="zh-CN"/>
              </w:rPr>
              <w:t>项目生活废水、地面清洁废水进入已建生化池处理达标后，同循环冷却水经厂区废水排放口进入市政污水管网，进入</w:t>
            </w:r>
            <w:r>
              <w:rPr>
                <w:rFonts w:hint="eastAsia"/>
                <w:color w:val="auto"/>
                <w:highlight w:val="none"/>
              </w:rPr>
              <w:t>西彭工业园区污水处理厂处理达标后排入桥头河，最终汇入长江。</w:t>
            </w:r>
            <w:r>
              <w:rPr>
                <w:rFonts w:hint="eastAsia"/>
                <w:color w:val="auto"/>
                <w:highlight w:val="none"/>
                <w:lang w:val="en-US" w:eastAsia="zh-CN"/>
              </w:rPr>
              <w:t>类比调查同类项目的废水污染物种类及浓度，废水污染物产生情况如下：</w:t>
            </w:r>
          </w:p>
          <w:p w14:paraId="600E08A9">
            <w:pPr>
              <w:pStyle w:val="19"/>
              <w:spacing w:before="156"/>
              <w:rPr>
                <w:rFonts w:hint="default"/>
                <w:color w:val="auto"/>
                <w:highlight w:val="none"/>
                <w:lang w:val="en-US" w:eastAsia="zh-CN"/>
              </w:rPr>
            </w:pPr>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10</w:t>
            </w:r>
            <w:r>
              <w:rPr>
                <w:color w:val="auto"/>
                <w:highlight w:val="none"/>
              </w:rPr>
              <w:fldChar w:fldCharType="end"/>
            </w:r>
            <w:r>
              <w:rPr>
                <w:rFonts w:hint="eastAsia"/>
                <w:color w:val="auto"/>
                <w:highlight w:val="none"/>
              </w:rPr>
              <w:t xml:space="preserve">  废水</w:t>
            </w:r>
            <w:r>
              <w:rPr>
                <w:rFonts w:hint="eastAsia"/>
                <w:color w:val="auto"/>
                <w:highlight w:val="none"/>
                <w:lang w:val="en-US" w:eastAsia="zh-CN"/>
              </w:rPr>
              <w:t>污染物产生情况一览</w:t>
            </w:r>
            <w:r>
              <w:rPr>
                <w:rFonts w:hint="eastAsia"/>
                <w:color w:val="auto"/>
                <w:highlight w:val="none"/>
              </w:rPr>
              <w:t>表</w:t>
            </w:r>
          </w:p>
          <w:tbl>
            <w:tblPr>
              <w:tblStyle w:val="13"/>
              <w:tblW w:w="841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90"/>
              <w:gridCol w:w="899"/>
              <w:gridCol w:w="710"/>
              <w:gridCol w:w="1397"/>
              <w:gridCol w:w="1010"/>
              <w:gridCol w:w="1461"/>
              <w:gridCol w:w="1949"/>
            </w:tblGrid>
            <w:tr w14:paraId="39DE0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599" w:type="pct"/>
                  <w:vMerge w:val="restart"/>
                  <w:tcBorders>
                    <w:top w:val="single" w:color="auto" w:sz="4" w:space="0"/>
                    <w:left w:val="single" w:color="000000" w:sz="4" w:space="0"/>
                    <w:bottom w:val="single" w:color="auto" w:sz="4" w:space="0"/>
                    <w:right w:val="single" w:color="auto" w:sz="4" w:space="0"/>
                  </w:tcBorders>
                  <w:shd w:val="clear" w:color="auto" w:fill="auto"/>
                  <w:vAlign w:val="center"/>
                </w:tcPr>
                <w:p w14:paraId="329A9D41">
                  <w:pPr>
                    <w:pStyle w:val="20"/>
                    <w:bidi w:val="0"/>
                    <w:rPr>
                      <w:rFonts w:hint="eastAsia"/>
                      <w:b/>
                      <w:bCs/>
                      <w:color w:val="auto"/>
                      <w:highlight w:val="none"/>
                    </w:rPr>
                  </w:pPr>
                  <w:r>
                    <w:rPr>
                      <w:rFonts w:hint="eastAsia"/>
                      <w:b/>
                      <w:bCs/>
                      <w:color w:val="auto"/>
                      <w:highlight w:val="none"/>
                      <w:lang w:val="en-US" w:eastAsia="zh-CN"/>
                    </w:rPr>
                    <w:t>类别</w:t>
                  </w:r>
                </w:p>
              </w:tc>
              <w:tc>
                <w:tcPr>
                  <w:tcW w:w="46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1000A01">
                  <w:pPr>
                    <w:pStyle w:val="20"/>
                    <w:bidi w:val="0"/>
                    <w:rPr>
                      <w:rFonts w:hint="eastAsia"/>
                      <w:b/>
                      <w:bCs/>
                      <w:color w:val="auto"/>
                      <w:highlight w:val="none"/>
                    </w:rPr>
                  </w:pPr>
                  <w:r>
                    <w:rPr>
                      <w:rFonts w:hint="eastAsia"/>
                      <w:b/>
                      <w:bCs/>
                      <w:color w:val="auto"/>
                      <w:highlight w:val="none"/>
                      <w:lang w:val="en-US" w:eastAsia="zh-CN"/>
                    </w:rPr>
                    <w:t>废水量</w:t>
                  </w:r>
                  <w:r>
                    <w:rPr>
                      <w:b/>
                      <w:bCs/>
                      <w:color w:val="auto"/>
                      <w:highlight w:val="none"/>
                      <w:lang w:val="en-US" w:eastAsia="zh-CN"/>
                    </w:rPr>
                    <w:t>t/a</w:t>
                  </w:r>
                </w:p>
              </w:tc>
              <w:tc>
                <w:tcPr>
                  <w:tcW w:w="43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20A1B5B">
                  <w:pPr>
                    <w:pStyle w:val="20"/>
                    <w:bidi w:val="0"/>
                    <w:rPr>
                      <w:rFonts w:hint="eastAsia"/>
                      <w:b/>
                      <w:bCs/>
                      <w:color w:val="auto"/>
                      <w:highlight w:val="none"/>
                    </w:rPr>
                  </w:pPr>
                  <w:r>
                    <w:rPr>
                      <w:rFonts w:hint="eastAsia"/>
                      <w:b/>
                      <w:bCs/>
                      <w:color w:val="auto"/>
                      <w:highlight w:val="none"/>
                      <w:lang w:val="en-US" w:eastAsia="zh-CN"/>
                    </w:rPr>
                    <w:t>核算方法</w:t>
                  </w:r>
                </w:p>
              </w:tc>
              <w:tc>
                <w:tcPr>
                  <w:tcW w:w="2331"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6C77CE4B">
                  <w:pPr>
                    <w:pStyle w:val="20"/>
                    <w:bidi w:val="0"/>
                    <w:rPr>
                      <w:rFonts w:hint="eastAsia"/>
                      <w:b/>
                      <w:bCs/>
                      <w:color w:val="auto"/>
                      <w:highlight w:val="none"/>
                    </w:rPr>
                  </w:pPr>
                  <w:r>
                    <w:rPr>
                      <w:rFonts w:hint="eastAsia"/>
                      <w:b/>
                      <w:bCs/>
                      <w:color w:val="auto"/>
                      <w:highlight w:val="none"/>
                      <w:lang w:val="en-US" w:eastAsia="zh-CN"/>
                    </w:rPr>
                    <w:t>产生情况</w:t>
                  </w:r>
                </w:p>
              </w:tc>
              <w:tc>
                <w:tcPr>
                  <w:tcW w:w="116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A7E9A1B">
                  <w:pPr>
                    <w:pStyle w:val="20"/>
                    <w:bidi w:val="0"/>
                    <w:rPr>
                      <w:rFonts w:hint="default"/>
                      <w:b/>
                      <w:bCs/>
                      <w:color w:val="auto"/>
                      <w:highlight w:val="none"/>
                      <w:lang w:val="en-US" w:eastAsia="zh-CN"/>
                    </w:rPr>
                  </w:pPr>
                  <w:r>
                    <w:rPr>
                      <w:rFonts w:hint="eastAsia"/>
                      <w:b/>
                      <w:bCs/>
                      <w:color w:val="auto"/>
                      <w:highlight w:val="none"/>
                      <w:lang w:val="en-US" w:eastAsia="zh-CN"/>
                    </w:rPr>
                    <w:t>废水去向</w:t>
                  </w:r>
                </w:p>
              </w:tc>
            </w:tr>
            <w:tr w14:paraId="798BA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9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E24237C">
                  <w:pPr>
                    <w:pStyle w:val="20"/>
                    <w:bidi w:val="0"/>
                    <w:rPr>
                      <w:rFonts w:hint="eastAsia"/>
                      <w:color w:val="auto"/>
                      <w:highlight w:val="none"/>
                    </w:rPr>
                  </w:pPr>
                </w:p>
              </w:tc>
              <w:tc>
                <w:tcPr>
                  <w:tcW w:w="4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DD5FA46">
                  <w:pPr>
                    <w:pStyle w:val="20"/>
                    <w:bidi w:val="0"/>
                    <w:rPr>
                      <w:rFonts w:hint="eastAsia"/>
                      <w:color w:val="auto"/>
                      <w:highlight w:val="none"/>
                    </w:rPr>
                  </w:pPr>
                </w:p>
              </w:tc>
              <w:tc>
                <w:tcPr>
                  <w:tcW w:w="43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F9DE11">
                  <w:pPr>
                    <w:pStyle w:val="20"/>
                    <w:bidi w:val="0"/>
                    <w:rPr>
                      <w:rFonts w:hint="eastAsia"/>
                      <w:color w:val="auto"/>
                      <w:highlight w:val="none"/>
                    </w:rPr>
                  </w:pPr>
                </w:p>
              </w:tc>
              <w:tc>
                <w:tcPr>
                  <w:tcW w:w="841" w:type="pct"/>
                  <w:tcBorders>
                    <w:top w:val="single" w:color="auto" w:sz="4" w:space="0"/>
                    <w:left w:val="single" w:color="auto" w:sz="4" w:space="0"/>
                    <w:bottom w:val="single" w:color="auto" w:sz="4" w:space="0"/>
                    <w:right w:val="single" w:color="auto" w:sz="4" w:space="0"/>
                  </w:tcBorders>
                  <w:shd w:val="clear" w:color="auto" w:fill="auto"/>
                  <w:vAlign w:val="center"/>
                </w:tcPr>
                <w:p w14:paraId="04D3A5DF">
                  <w:pPr>
                    <w:pStyle w:val="20"/>
                    <w:bidi w:val="0"/>
                    <w:rPr>
                      <w:rFonts w:hint="eastAsia"/>
                      <w:b/>
                      <w:bCs/>
                      <w:color w:val="auto"/>
                      <w:highlight w:val="none"/>
                    </w:rPr>
                  </w:pPr>
                  <w:r>
                    <w:rPr>
                      <w:rFonts w:hint="eastAsia"/>
                      <w:b/>
                      <w:bCs/>
                      <w:color w:val="auto"/>
                      <w:highlight w:val="none"/>
                      <w:lang w:val="en-US" w:eastAsia="zh-CN"/>
                    </w:rPr>
                    <w:t>污染物种类</w:t>
                  </w:r>
                </w:p>
              </w:tc>
              <w:tc>
                <w:tcPr>
                  <w:tcW w:w="611" w:type="pct"/>
                  <w:tcBorders>
                    <w:top w:val="single" w:color="auto" w:sz="4" w:space="0"/>
                    <w:left w:val="single" w:color="auto" w:sz="4" w:space="0"/>
                    <w:bottom w:val="single" w:color="auto" w:sz="4" w:space="0"/>
                    <w:right w:val="single" w:color="auto" w:sz="4" w:space="0"/>
                  </w:tcBorders>
                  <w:shd w:val="clear" w:color="auto" w:fill="auto"/>
                  <w:vAlign w:val="center"/>
                </w:tcPr>
                <w:p w14:paraId="1E163C5D">
                  <w:pPr>
                    <w:pStyle w:val="20"/>
                    <w:bidi w:val="0"/>
                    <w:rPr>
                      <w:rFonts w:hint="eastAsia"/>
                      <w:b/>
                      <w:bCs/>
                      <w:color w:val="auto"/>
                      <w:highlight w:val="none"/>
                    </w:rPr>
                  </w:pPr>
                  <w:r>
                    <w:rPr>
                      <w:rFonts w:hint="eastAsia"/>
                      <w:b/>
                      <w:bCs/>
                      <w:color w:val="auto"/>
                      <w:highlight w:val="none"/>
                      <w:lang w:val="en-US" w:eastAsia="zh-CN"/>
                    </w:rPr>
                    <w:t>产生浓度</w:t>
                  </w:r>
                  <w:r>
                    <w:rPr>
                      <w:b/>
                      <w:bCs/>
                      <w:color w:val="auto"/>
                      <w:highlight w:val="none"/>
                      <w:lang w:val="en-US" w:eastAsia="zh-CN"/>
                    </w:rPr>
                    <w:t>mg/L</w:t>
                  </w:r>
                </w:p>
              </w:tc>
              <w:tc>
                <w:tcPr>
                  <w:tcW w:w="879" w:type="pct"/>
                  <w:tcBorders>
                    <w:top w:val="single" w:color="auto" w:sz="4" w:space="0"/>
                    <w:left w:val="single" w:color="auto" w:sz="4" w:space="0"/>
                    <w:bottom w:val="single" w:color="auto" w:sz="4" w:space="0"/>
                    <w:right w:val="single" w:color="auto" w:sz="4" w:space="0"/>
                  </w:tcBorders>
                  <w:shd w:val="clear" w:color="auto" w:fill="auto"/>
                  <w:vAlign w:val="center"/>
                </w:tcPr>
                <w:p w14:paraId="0CCDD5BC">
                  <w:pPr>
                    <w:pStyle w:val="20"/>
                    <w:bidi w:val="0"/>
                    <w:rPr>
                      <w:rFonts w:hint="eastAsia"/>
                      <w:b/>
                      <w:bCs/>
                      <w:color w:val="auto"/>
                      <w:highlight w:val="none"/>
                    </w:rPr>
                  </w:pPr>
                  <w:r>
                    <w:rPr>
                      <w:rFonts w:hint="eastAsia"/>
                      <w:b/>
                      <w:bCs/>
                      <w:color w:val="auto"/>
                      <w:highlight w:val="none"/>
                      <w:lang w:val="en-US" w:eastAsia="zh-CN"/>
                    </w:rPr>
                    <w:t>产生量</w:t>
                  </w:r>
                  <w:r>
                    <w:rPr>
                      <w:b/>
                      <w:bCs/>
                      <w:color w:val="auto"/>
                      <w:highlight w:val="none"/>
                      <w:lang w:val="en-US" w:eastAsia="zh-CN"/>
                    </w:rPr>
                    <w:t>t/a</w:t>
                  </w:r>
                </w:p>
              </w:tc>
              <w:tc>
                <w:tcPr>
                  <w:tcW w:w="11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3F69F59">
                  <w:pPr>
                    <w:pStyle w:val="20"/>
                    <w:bidi w:val="0"/>
                    <w:rPr>
                      <w:rFonts w:hint="default"/>
                      <w:color w:val="auto"/>
                      <w:highlight w:val="none"/>
                      <w:lang w:val="en-US" w:eastAsia="zh-CN"/>
                    </w:rPr>
                  </w:pPr>
                </w:p>
              </w:tc>
            </w:tr>
            <w:tr w14:paraId="565F4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99" w:type="pct"/>
                  <w:vMerge w:val="restart"/>
                  <w:tcBorders>
                    <w:top w:val="single" w:color="auto" w:sz="4" w:space="0"/>
                    <w:left w:val="single" w:color="auto" w:sz="4" w:space="0"/>
                    <w:right w:val="single" w:color="auto" w:sz="4" w:space="0"/>
                  </w:tcBorders>
                  <w:shd w:val="clear" w:color="auto" w:fill="auto"/>
                  <w:vAlign w:val="center"/>
                </w:tcPr>
                <w:p w14:paraId="21C1F189">
                  <w:pPr>
                    <w:pStyle w:val="20"/>
                    <w:bidi w:val="0"/>
                    <w:rPr>
                      <w:rFonts w:hint="eastAsia"/>
                      <w:color w:val="auto"/>
                      <w:highlight w:val="none"/>
                    </w:rPr>
                  </w:pPr>
                  <w:r>
                    <w:rPr>
                      <w:rFonts w:hint="eastAsia"/>
                      <w:color w:val="auto"/>
                      <w:highlight w:val="none"/>
                      <w:lang w:val="en-US" w:eastAsia="zh-CN"/>
                    </w:rPr>
                    <w:t>生活污水</w:t>
                  </w:r>
                </w:p>
              </w:tc>
              <w:tc>
                <w:tcPr>
                  <w:tcW w:w="466" w:type="pct"/>
                  <w:vMerge w:val="restart"/>
                  <w:tcBorders>
                    <w:top w:val="single" w:color="auto" w:sz="4" w:space="0"/>
                    <w:left w:val="single" w:color="auto" w:sz="4" w:space="0"/>
                    <w:right w:val="single" w:color="auto" w:sz="4" w:space="0"/>
                  </w:tcBorders>
                  <w:shd w:val="clear" w:color="auto" w:fill="auto"/>
                  <w:vAlign w:val="center"/>
                </w:tcPr>
                <w:p w14:paraId="79FD9851">
                  <w:pPr>
                    <w:pStyle w:val="20"/>
                    <w:bidi w:val="0"/>
                    <w:rPr>
                      <w:rFonts w:hint="default"/>
                      <w:color w:val="auto"/>
                      <w:highlight w:val="none"/>
                    </w:rPr>
                  </w:pPr>
                  <w:r>
                    <w:rPr>
                      <w:rFonts w:hint="default"/>
                      <w:color w:val="auto"/>
                      <w:highlight w:val="none"/>
                      <w:lang w:val="en-US" w:eastAsia="zh-CN"/>
                    </w:rPr>
                    <w:t>810</w:t>
                  </w:r>
                </w:p>
              </w:tc>
              <w:tc>
                <w:tcPr>
                  <w:tcW w:w="433" w:type="pct"/>
                  <w:vMerge w:val="restart"/>
                  <w:tcBorders>
                    <w:top w:val="single" w:color="auto" w:sz="4" w:space="0"/>
                    <w:left w:val="single" w:color="auto" w:sz="4" w:space="0"/>
                    <w:right w:val="single" w:color="auto" w:sz="4" w:space="0"/>
                  </w:tcBorders>
                  <w:shd w:val="clear" w:color="auto" w:fill="auto"/>
                  <w:vAlign w:val="center"/>
                </w:tcPr>
                <w:p w14:paraId="57BAD765">
                  <w:pPr>
                    <w:pStyle w:val="20"/>
                    <w:bidi w:val="0"/>
                    <w:rPr>
                      <w:rFonts w:hint="eastAsia"/>
                      <w:color w:val="auto"/>
                      <w:highlight w:val="none"/>
                    </w:rPr>
                  </w:pPr>
                  <w:r>
                    <w:rPr>
                      <w:rFonts w:hint="eastAsia"/>
                      <w:color w:val="auto"/>
                      <w:highlight w:val="none"/>
                      <w:lang w:val="en-US" w:eastAsia="zh-CN"/>
                    </w:rPr>
                    <w:t>类比法</w:t>
                  </w:r>
                </w:p>
              </w:tc>
              <w:tc>
                <w:tcPr>
                  <w:tcW w:w="841" w:type="pct"/>
                  <w:tcBorders>
                    <w:top w:val="single" w:color="auto" w:sz="4" w:space="0"/>
                    <w:left w:val="single" w:color="auto" w:sz="4" w:space="0"/>
                    <w:bottom w:val="single" w:color="auto" w:sz="4" w:space="0"/>
                    <w:right w:val="single" w:color="auto" w:sz="4" w:space="0"/>
                  </w:tcBorders>
                  <w:shd w:val="clear" w:color="auto" w:fill="auto"/>
                  <w:vAlign w:val="center"/>
                </w:tcPr>
                <w:p w14:paraId="28AE3FC5">
                  <w:pPr>
                    <w:pStyle w:val="20"/>
                    <w:bidi w:val="0"/>
                    <w:rPr>
                      <w:rFonts w:hint="default"/>
                      <w:color w:val="auto"/>
                      <w:highlight w:val="none"/>
                    </w:rPr>
                  </w:pPr>
                  <w:r>
                    <w:rPr>
                      <w:rFonts w:hint="default"/>
                      <w:color w:val="auto"/>
                      <w:highlight w:val="none"/>
                      <w:lang w:val="en-US" w:eastAsia="zh-CN"/>
                    </w:rPr>
                    <w:t>pH</w:t>
                  </w:r>
                  <w:r>
                    <w:rPr>
                      <w:rFonts w:hint="eastAsia"/>
                      <w:color w:val="auto"/>
                      <w:highlight w:val="none"/>
                      <w:lang w:val="en-US" w:eastAsia="zh-CN"/>
                    </w:rPr>
                    <w:t>（无量纲）</w:t>
                  </w:r>
                </w:p>
              </w:tc>
              <w:tc>
                <w:tcPr>
                  <w:tcW w:w="611" w:type="pct"/>
                  <w:tcBorders>
                    <w:top w:val="single" w:color="auto" w:sz="4" w:space="0"/>
                    <w:left w:val="single" w:color="auto" w:sz="4" w:space="0"/>
                    <w:bottom w:val="single" w:color="auto" w:sz="4" w:space="0"/>
                    <w:right w:val="single" w:color="auto" w:sz="4" w:space="0"/>
                  </w:tcBorders>
                  <w:shd w:val="clear" w:color="auto" w:fill="auto"/>
                  <w:vAlign w:val="center"/>
                </w:tcPr>
                <w:p w14:paraId="62DFCB7D">
                  <w:pPr>
                    <w:pStyle w:val="20"/>
                    <w:bidi w:val="0"/>
                    <w:rPr>
                      <w:rFonts w:hint="default"/>
                      <w:color w:val="auto"/>
                      <w:highlight w:val="none"/>
                    </w:rPr>
                  </w:pPr>
                  <w:r>
                    <w:rPr>
                      <w:rFonts w:hint="default"/>
                      <w:color w:val="auto"/>
                      <w:highlight w:val="none"/>
                      <w:lang w:val="en-US" w:eastAsia="zh-CN"/>
                    </w:rPr>
                    <w:t>/</w:t>
                  </w:r>
                </w:p>
              </w:tc>
              <w:tc>
                <w:tcPr>
                  <w:tcW w:w="879" w:type="pct"/>
                  <w:tcBorders>
                    <w:top w:val="single" w:color="auto" w:sz="4" w:space="0"/>
                    <w:left w:val="single" w:color="auto" w:sz="4" w:space="0"/>
                    <w:bottom w:val="single" w:color="auto" w:sz="4" w:space="0"/>
                    <w:right w:val="single" w:color="auto" w:sz="4" w:space="0"/>
                  </w:tcBorders>
                  <w:shd w:val="clear" w:color="auto" w:fill="auto"/>
                  <w:vAlign w:val="center"/>
                </w:tcPr>
                <w:p w14:paraId="1302D0DD">
                  <w:pPr>
                    <w:pStyle w:val="20"/>
                    <w:bidi w:val="0"/>
                    <w:rPr>
                      <w:rFonts w:hint="default"/>
                      <w:color w:val="auto"/>
                      <w:highlight w:val="none"/>
                    </w:rPr>
                  </w:pPr>
                  <w:r>
                    <w:rPr>
                      <w:rFonts w:hint="default"/>
                      <w:color w:val="auto"/>
                      <w:highlight w:val="none"/>
                      <w:lang w:val="en-US" w:eastAsia="zh-CN"/>
                    </w:rPr>
                    <w:t>/</w:t>
                  </w:r>
                </w:p>
              </w:tc>
              <w:tc>
                <w:tcPr>
                  <w:tcW w:w="116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40DDF12">
                  <w:pPr>
                    <w:pStyle w:val="20"/>
                    <w:bidi w:val="0"/>
                    <w:rPr>
                      <w:rFonts w:hint="default"/>
                      <w:color w:val="auto"/>
                      <w:highlight w:val="none"/>
                      <w:lang w:val="en-US" w:eastAsia="zh-CN"/>
                    </w:rPr>
                  </w:pPr>
                  <w:r>
                    <w:rPr>
                      <w:rFonts w:hint="eastAsia"/>
                      <w:color w:val="auto"/>
                      <w:highlight w:val="none"/>
                      <w:lang w:val="en-US" w:eastAsia="zh-CN"/>
                    </w:rPr>
                    <w:t>已建厌氧生化池</w:t>
                  </w:r>
                </w:p>
              </w:tc>
            </w:tr>
            <w:tr w14:paraId="7C909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599" w:type="pct"/>
                  <w:vMerge w:val="continue"/>
                  <w:tcBorders>
                    <w:left w:val="single" w:color="auto" w:sz="4" w:space="0"/>
                    <w:right w:val="single" w:color="auto" w:sz="4" w:space="0"/>
                  </w:tcBorders>
                  <w:shd w:val="clear" w:color="auto" w:fill="auto"/>
                  <w:vAlign w:val="center"/>
                </w:tcPr>
                <w:p w14:paraId="1167D56C">
                  <w:pPr>
                    <w:pStyle w:val="20"/>
                    <w:bidi w:val="0"/>
                    <w:rPr>
                      <w:rFonts w:hint="eastAsia"/>
                      <w:color w:val="auto"/>
                      <w:highlight w:val="none"/>
                    </w:rPr>
                  </w:pPr>
                </w:p>
              </w:tc>
              <w:tc>
                <w:tcPr>
                  <w:tcW w:w="466" w:type="pct"/>
                  <w:vMerge w:val="continue"/>
                  <w:tcBorders>
                    <w:left w:val="single" w:color="auto" w:sz="4" w:space="0"/>
                    <w:right w:val="single" w:color="auto" w:sz="4" w:space="0"/>
                  </w:tcBorders>
                  <w:shd w:val="clear" w:color="auto" w:fill="auto"/>
                  <w:vAlign w:val="center"/>
                </w:tcPr>
                <w:p w14:paraId="78C6D737">
                  <w:pPr>
                    <w:pStyle w:val="20"/>
                    <w:bidi w:val="0"/>
                    <w:rPr>
                      <w:rFonts w:hint="default"/>
                      <w:color w:val="auto"/>
                      <w:highlight w:val="none"/>
                    </w:rPr>
                  </w:pPr>
                </w:p>
              </w:tc>
              <w:tc>
                <w:tcPr>
                  <w:tcW w:w="433" w:type="pct"/>
                  <w:vMerge w:val="continue"/>
                  <w:tcBorders>
                    <w:left w:val="single" w:color="auto" w:sz="4" w:space="0"/>
                    <w:right w:val="single" w:color="auto" w:sz="4" w:space="0"/>
                  </w:tcBorders>
                  <w:shd w:val="clear" w:color="auto" w:fill="auto"/>
                  <w:vAlign w:val="center"/>
                </w:tcPr>
                <w:p w14:paraId="7AAEEA64">
                  <w:pPr>
                    <w:pStyle w:val="20"/>
                    <w:bidi w:val="0"/>
                    <w:rPr>
                      <w:rFonts w:hint="eastAsia"/>
                      <w:color w:val="auto"/>
                      <w:highlight w:val="none"/>
                    </w:rPr>
                  </w:pPr>
                </w:p>
              </w:tc>
              <w:tc>
                <w:tcPr>
                  <w:tcW w:w="841" w:type="pct"/>
                  <w:tcBorders>
                    <w:top w:val="single" w:color="auto" w:sz="4" w:space="0"/>
                    <w:left w:val="single" w:color="auto" w:sz="4" w:space="0"/>
                    <w:bottom w:val="single" w:color="auto" w:sz="4" w:space="0"/>
                    <w:right w:val="single" w:color="auto" w:sz="4" w:space="0"/>
                  </w:tcBorders>
                  <w:shd w:val="clear" w:color="auto" w:fill="auto"/>
                  <w:vAlign w:val="center"/>
                </w:tcPr>
                <w:p w14:paraId="0E75FFD7">
                  <w:pPr>
                    <w:pStyle w:val="20"/>
                    <w:bidi w:val="0"/>
                    <w:rPr>
                      <w:rFonts w:hint="default"/>
                      <w:color w:val="auto"/>
                      <w:highlight w:val="none"/>
                    </w:rPr>
                  </w:pPr>
                  <w:r>
                    <w:rPr>
                      <w:rFonts w:hint="default"/>
                      <w:color w:val="auto"/>
                      <w:highlight w:val="none"/>
                      <w:lang w:val="en-US" w:eastAsia="zh-CN"/>
                    </w:rPr>
                    <w:t>COD</w:t>
                  </w:r>
                </w:p>
              </w:tc>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14:paraId="16445F2F">
                  <w:pPr>
                    <w:pStyle w:val="20"/>
                    <w:bidi w:val="0"/>
                    <w:rPr>
                      <w:rFonts w:hint="default"/>
                      <w:color w:val="auto"/>
                      <w:highlight w:val="none"/>
                      <w:lang w:val="en-US"/>
                    </w:rPr>
                  </w:pPr>
                  <w:r>
                    <w:rPr>
                      <w:rFonts w:hint="default"/>
                      <w:color w:val="auto"/>
                      <w:highlight w:val="none"/>
                      <w:lang w:val="en-US" w:eastAsia="zh-CN"/>
                    </w:rPr>
                    <w:t>500</w:t>
                  </w:r>
                </w:p>
              </w:tc>
              <w:tc>
                <w:tcPr>
                  <w:tcW w:w="1461" w:type="dxa"/>
                  <w:tcBorders>
                    <w:top w:val="single" w:color="auto" w:sz="4" w:space="0"/>
                    <w:left w:val="single" w:color="auto" w:sz="4" w:space="0"/>
                    <w:bottom w:val="single" w:color="auto" w:sz="4" w:space="0"/>
                    <w:right w:val="single" w:color="auto" w:sz="4" w:space="0"/>
                  </w:tcBorders>
                  <w:shd w:val="clear" w:color="auto" w:fill="auto"/>
                  <w:vAlign w:val="center"/>
                </w:tcPr>
                <w:p w14:paraId="3935600E">
                  <w:pPr>
                    <w:pStyle w:val="20"/>
                    <w:bidi w:val="0"/>
                    <w:rPr>
                      <w:rFonts w:hint="default"/>
                      <w:color w:val="auto"/>
                      <w:highlight w:val="none"/>
                    </w:rPr>
                  </w:pPr>
                  <w:r>
                    <w:rPr>
                      <w:rFonts w:hint="eastAsia"/>
                      <w:color w:val="auto"/>
                      <w:highlight w:val="none"/>
                      <w:lang w:val="en-US" w:eastAsia="zh-CN"/>
                    </w:rPr>
                    <w:t>0.405</w:t>
                  </w:r>
                </w:p>
              </w:tc>
              <w:tc>
                <w:tcPr>
                  <w:tcW w:w="11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66D40B3">
                  <w:pPr>
                    <w:pStyle w:val="20"/>
                    <w:bidi w:val="0"/>
                    <w:rPr>
                      <w:rFonts w:hint="default"/>
                      <w:color w:val="auto"/>
                      <w:highlight w:val="none"/>
                      <w:lang w:val="en-US" w:eastAsia="zh-CN"/>
                    </w:rPr>
                  </w:pPr>
                </w:p>
              </w:tc>
            </w:tr>
            <w:tr w14:paraId="6C9CD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599" w:type="pct"/>
                  <w:vMerge w:val="continue"/>
                  <w:tcBorders>
                    <w:left w:val="single" w:color="auto" w:sz="4" w:space="0"/>
                    <w:right w:val="single" w:color="auto" w:sz="4" w:space="0"/>
                  </w:tcBorders>
                  <w:shd w:val="clear" w:color="auto" w:fill="auto"/>
                  <w:vAlign w:val="center"/>
                </w:tcPr>
                <w:p w14:paraId="1AF80D44">
                  <w:pPr>
                    <w:pStyle w:val="20"/>
                    <w:bidi w:val="0"/>
                    <w:rPr>
                      <w:rFonts w:hint="eastAsia"/>
                      <w:color w:val="auto"/>
                      <w:highlight w:val="none"/>
                    </w:rPr>
                  </w:pPr>
                </w:p>
              </w:tc>
              <w:tc>
                <w:tcPr>
                  <w:tcW w:w="466" w:type="pct"/>
                  <w:vMerge w:val="continue"/>
                  <w:tcBorders>
                    <w:left w:val="single" w:color="auto" w:sz="4" w:space="0"/>
                    <w:right w:val="single" w:color="auto" w:sz="4" w:space="0"/>
                  </w:tcBorders>
                  <w:shd w:val="clear" w:color="auto" w:fill="auto"/>
                  <w:vAlign w:val="center"/>
                </w:tcPr>
                <w:p w14:paraId="50CAA199">
                  <w:pPr>
                    <w:pStyle w:val="20"/>
                    <w:bidi w:val="0"/>
                    <w:rPr>
                      <w:rFonts w:hint="default"/>
                      <w:color w:val="auto"/>
                      <w:highlight w:val="none"/>
                    </w:rPr>
                  </w:pPr>
                </w:p>
              </w:tc>
              <w:tc>
                <w:tcPr>
                  <w:tcW w:w="433" w:type="pct"/>
                  <w:vMerge w:val="continue"/>
                  <w:tcBorders>
                    <w:left w:val="single" w:color="auto" w:sz="4" w:space="0"/>
                    <w:right w:val="single" w:color="auto" w:sz="4" w:space="0"/>
                  </w:tcBorders>
                  <w:shd w:val="clear" w:color="auto" w:fill="auto"/>
                  <w:vAlign w:val="center"/>
                </w:tcPr>
                <w:p w14:paraId="342B05FB">
                  <w:pPr>
                    <w:pStyle w:val="20"/>
                    <w:bidi w:val="0"/>
                    <w:rPr>
                      <w:rFonts w:hint="eastAsia"/>
                      <w:color w:val="auto"/>
                      <w:highlight w:val="none"/>
                    </w:rPr>
                  </w:pPr>
                </w:p>
              </w:tc>
              <w:tc>
                <w:tcPr>
                  <w:tcW w:w="841" w:type="pct"/>
                  <w:tcBorders>
                    <w:top w:val="single" w:color="auto" w:sz="4" w:space="0"/>
                    <w:left w:val="single" w:color="auto" w:sz="4" w:space="0"/>
                    <w:bottom w:val="single" w:color="auto" w:sz="4" w:space="0"/>
                    <w:right w:val="single" w:color="auto" w:sz="4" w:space="0"/>
                  </w:tcBorders>
                  <w:shd w:val="clear" w:color="auto" w:fill="auto"/>
                  <w:vAlign w:val="center"/>
                </w:tcPr>
                <w:p w14:paraId="3C26D8F4">
                  <w:pPr>
                    <w:pStyle w:val="20"/>
                    <w:bidi w:val="0"/>
                    <w:rPr>
                      <w:rFonts w:hint="default"/>
                      <w:color w:val="auto"/>
                      <w:highlight w:val="none"/>
                    </w:rPr>
                  </w:pPr>
                  <w:r>
                    <w:rPr>
                      <w:rFonts w:hint="default"/>
                      <w:color w:val="auto"/>
                      <w:highlight w:val="none"/>
                      <w:lang w:val="en-US" w:eastAsia="zh-CN"/>
                    </w:rPr>
                    <w:t>BOD5</w:t>
                  </w:r>
                </w:p>
              </w:tc>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14:paraId="339E9AE1">
                  <w:pPr>
                    <w:pStyle w:val="20"/>
                    <w:bidi w:val="0"/>
                    <w:rPr>
                      <w:rFonts w:hint="default"/>
                      <w:color w:val="auto"/>
                      <w:highlight w:val="none"/>
                      <w:lang w:val="en-US"/>
                    </w:rPr>
                  </w:pPr>
                  <w:r>
                    <w:rPr>
                      <w:rFonts w:hint="default"/>
                      <w:color w:val="auto"/>
                      <w:highlight w:val="none"/>
                      <w:lang w:val="en-US" w:eastAsia="zh-CN"/>
                    </w:rPr>
                    <w:t>300</w:t>
                  </w:r>
                </w:p>
              </w:tc>
              <w:tc>
                <w:tcPr>
                  <w:tcW w:w="1461" w:type="dxa"/>
                  <w:tcBorders>
                    <w:top w:val="single" w:color="auto" w:sz="4" w:space="0"/>
                    <w:left w:val="single" w:color="auto" w:sz="4" w:space="0"/>
                    <w:bottom w:val="single" w:color="auto" w:sz="4" w:space="0"/>
                    <w:right w:val="single" w:color="auto" w:sz="4" w:space="0"/>
                  </w:tcBorders>
                  <w:shd w:val="clear" w:color="auto" w:fill="auto"/>
                  <w:vAlign w:val="center"/>
                </w:tcPr>
                <w:p w14:paraId="5F991B51">
                  <w:pPr>
                    <w:pStyle w:val="20"/>
                    <w:bidi w:val="0"/>
                    <w:rPr>
                      <w:rFonts w:hint="default"/>
                      <w:color w:val="auto"/>
                      <w:highlight w:val="none"/>
                    </w:rPr>
                  </w:pPr>
                  <w:r>
                    <w:rPr>
                      <w:rFonts w:hint="eastAsia"/>
                      <w:color w:val="auto"/>
                      <w:highlight w:val="none"/>
                      <w:lang w:val="en-US" w:eastAsia="zh-CN"/>
                    </w:rPr>
                    <w:t>0.243</w:t>
                  </w:r>
                </w:p>
              </w:tc>
              <w:tc>
                <w:tcPr>
                  <w:tcW w:w="11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0135F51">
                  <w:pPr>
                    <w:pStyle w:val="20"/>
                    <w:bidi w:val="0"/>
                    <w:rPr>
                      <w:rFonts w:hint="default"/>
                      <w:color w:val="auto"/>
                      <w:highlight w:val="none"/>
                      <w:lang w:val="en-US" w:eastAsia="zh-CN"/>
                    </w:rPr>
                  </w:pPr>
                </w:p>
              </w:tc>
            </w:tr>
            <w:tr w14:paraId="38BAE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99" w:type="pct"/>
                  <w:vMerge w:val="continue"/>
                  <w:tcBorders>
                    <w:left w:val="single" w:color="auto" w:sz="4" w:space="0"/>
                    <w:right w:val="single" w:color="auto" w:sz="4" w:space="0"/>
                  </w:tcBorders>
                  <w:shd w:val="clear" w:color="auto" w:fill="auto"/>
                  <w:vAlign w:val="center"/>
                </w:tcPr>
                <w:p w14:paraId="5BAAF770">
                  <w:pPr>
                    <w:pStyle w:val="20"/>
                    <w:bidi w:val="0"/>
                    <w:rPr>
                      <w:rFonts w:hint="eastAsia"/>
                      <w:color w:val="auto"/>
                      <w:highlight w:val="none"/>
                    </w:rPr>
                  </w:pPr>
                </w:p>
              </w:tc>
              <w:tc>
                <w:tcPr>
                  <w:tcW w:w="466" w:type="pct"/>
                  <w:vMerge w:val="continue"/>
                  <w:tcBorders>
                    <w:left w:val="single" w:color="auto" w:sz="4" w:space="0"/>
                    <w:right w:val="single" w:color="auto" w:sz="4" w:space="0"/>
                  </w:tcBorders>
                  <w:shd w:val="clear" w:color="auto" w:fill="auto"/>
                  <w:vAlign w:val="center"/>
                </w:tcPr>
                <w:p w14:paraId="0F5030EE">
                  <w:pPr>
                    <w:pStyle w:val="20"/>
                    <w:bidi w:val="0"/>
                    <w:rPr>
                      <w:rFonts w:hint="default"/>
                      <w:color w:val="auto"/>
                      <w:highlight w:val="none"/>
                    </w:rPr>
                  </w:pPr>
                </w:p>
              </w:tc>
              <w:tc>
                <w:tcPr>
                  <w:tcW w:w="433" w:type="pct"/>
                  <w:vMerge w:val="continue"/>
                  <w:tcBorders>
                    <w:left w:val="single" w:color="auto" w:sz="4" w:space="0"/>
                    <w:right w:val="single" w:color="auto" w:sz="4" w:space="0"/>
                  </w:tcBorders>
                  <w:shd w:val="clear" w:color="auto" w:fill="auto"/>
                  <w:vAlign w:val="center"/>
                </w:tcPr>
                <w:p w14:paraId="4EEA2A18">
                  <w:pPr>
                    <w:pStyle w:val="20"/>
                    <w:bidi w:val="0"/>
                    <w:rPr>
                      <w:rFonts w:hint="eastAsia"/>
                      <w:color w:val="auto"/>
                      <w:highlight w:val="none"/>
                    </w:rPr>
                  </w:pPr>
                </w:p>
              </w:tc>
              <w:tc>
                <w:tcPr>
                  <w:tcW w:w="841" w:type="pct"/>
                  <w:tcBorders>
                    <w:top w:val="single" w:color="auto" w:sz="4" w:space="0"/>
                    <w:left w:val="single" w:color="auto" w:sz="4" w:space="0"/>
                    <w:bottom w:val="single" w:color="auto" w:sz="4" w:space="0"/>
                    <w:right w:val="single" w:color="auto" w:sz="4" w:space="0"/>
                  </w:tcBorders>
                  <w:shd w:val="clear" w:color="auto" w:fill="auto"/>
                  <w:vAlign w:val="center"/>
                </w:tcPr>
                <w:p w14:paraId="2120B0FC">
                  <w:pPr>
                    <w:pStyle w:val="20"/>
                    <w:bidi w:val="0"/>
                    <w:rPr>
                      <w:rFonts w:hint="default"/>
                      <w:color w:val="auto"/>
                      <w:highlight w:val="none"/>
                    </w:rPr>
                  </w:pPr>
                  <w:r>
                    <w:rPr>
                      <w:rFonts w:hint="default"/>
                      <w:color w:val="auto"/>
                      <w:highlight w:val="none"/>
                      <w:lang w:val="en-US" w:eastAsia="zh-CN"/>
                    </w:rPr>
                    <w:t>SS</w:t>
                  </w:r>
                </w:p>
              </w:tc>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14:paraId="0D66CBAE">
                  <w:pPr>
                    <w:pStyle w:val="20"/>
                    <w:bidi w:val="0"/>
                    <w:rPr>
                      <w:rFonts w:hint="default"/>
                      <w:color w:val="auto"/>
                      <w:highlight w:val="none"/>
                      <w:lang w:val="en-US"/>
                    </w:rPr>
                  </w:pPr>
                  <w:r>
                    <w:rPr>
                      <w:rFonts w:hint="default"/>
                      <w:color w:val="auto"/>
                      <w:highlight w:val="none"/>
                      <w:lang w:val="en-US" w:eastAsia="zh-CN"/>
                    </w:rPr>
                    <w:t>350</w:t>
                  </w:r>
                </w:p>
              </w:tc>
              <w:tc>
                <w:tcPr>
                  <w:tcW w:w="1461" w:type="dxa"/>
                  <w:tcBorders>
                    <w:top w:val="single" w:color="auto" w:sz="4" w:space="0"/>
                    <w:left w:val="single" w:color="auto" w:sz="4" w:space="0"/>
                    <w:bottom w:val="single" w:color="auto" w:sz="4" w:space="0"/>
                    <w:right w:val="single" w:color="auto" w:sz="4" w:space="0"/>
                  </w:tcBorders>
                  <w:shd w:val="clear" w:color="auto" w:fill="auto"/>
                  <w:vAlign w:val="center"/>
                </w:tcPr>
                <w:p w14:paraId="4CB52A81">
                  <w:pPr>
                    <w:pStyle w:val="20"/>
                    <w:bidi w:val="0"/>
                    <w:rPr>
                      <w:rFonts w:hint="default"/>
                      <w:color w:val="auto"/>
                      <w:highlight w:val="none"/>
                    </w:rPr>
                  </w:pPr>
                  <w:r>
                    <w:rPr>
                      <w:rFonts w:hint="eastAsia"/>
                      <w:color w:val="auto"/>
                      <w:highlight w:val="none"/>
                      <w:lang w:val="en-US" w:eastAsia="zh-CN"/>
                    </w:rPr>
                    <w:t>0.284</w:t>
                  </w:r>
                </w:p>
              </w:tc>
              <w:tc>
                <w:tcPr>
                  <w:tcW w:w="11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8881520">
                  <w:pPr>
                    <w:pStyle w:val="20"/>
                    <w:bidi w:val="0"/>
                    <w:rPr>
                      <w:rFonts w:hint="default"/>
                      <w:color w:val="auto"/>
                      <w:highlight w:val="none"/>
                      <w:lang w:val="en-US" w:eastAsia="zh-CN"/>
                    </w:rPr>
                  </w:pPr>
                </w:p>
              </w:tc>
            </w:tr>
            <w:tr w14:paraId="50E08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599" w:type="pct"/>
                  <w:vMerge w:val="continue"/>
                  <w:tcBorders>
                    <w:left w:val="single" w:color="auto" w:sz="4" w:space="0"/>
                    <w:right w:val="single" w:color="auto" w:sz="4" w:space="0"/>
                  </w:tcBorders>
                  <w:shd w:val="clear" w:color="auto" w:fill="auto"/>
                  <w:vAlign w:val="center"/>
                </w:tcPr>
                <w:p w14:paraId="45BEBFC6">
                  <w:pPr>
                    <w:pStyle w:val="20"/>
                    <w:bidi w:val="0"/>
                    <w:rPr>
                      <w:rFonts w:hint="eastAsia"/>
                      <w:color w:val="auto"/>
                      <w:highlight w:val="none"/>
                    </w:rPr>
                  </w:pPr>
                </w:p>
              </w:tc>
              <w:tc>
                <w:tcPr>
                  <w:tcW w:w="466" w:type="pct"/>
                  <w:vMerge w:val="continue"/>
                  <w:tcBorders>
                    <w:left w:val="single" w:color="auto" w:sz="4" w:space="0"/>
                    <w:right w:val="single" w:color="auto" w:sz="4" w:space="0"/>
                  </w:tcBorders>
                  <w:shd w:val="clear" w:color="auto" w:fill="auto"/>
                  <w:vAlign w:val="center"/>
                </w:tcPr>
                <w:p w14:paraId="5FFE2F16">
                  <w:pPr>
                    <w:pStyle w:val="20"/>
                    <w:bidi w:val="0"/>
                    <w:rPr>
                      <w:rFonts w:hint="default"/>
                      <w:color w:val="auto"/>
                      <w:highlight w:val="none"/>
                    </w:rPr>
                  </w:pPr>
                </w:p>
              </w:tc>
              <w:tc>
                <w:tcPr>
                  <w:tcW w:w="433" w:type="pct"/>
                  <w:vMerge w:val="continue"/>
                  <w:tcBorders>
                    <w:left w:val="single" w:color="auto" w:sz="4" w:space="0"/>
                    <w:right w:val="single" w:color="auto" w:sz="4" w:space="0"/>
                  </w:tcBorders>
                  <w:shd w:val="clear" w:color="auto" w:fill="auto"/>
                  <w:vAlign w:val="center"/>
                </w:tcPr>
                <w:p w14:paraId="108A79DD">
                  <w:pPr>
                    <w:pStyle w:val="20"/>
                    <w:bidi w:val="0"/>
                    <w:rPr>
                      <w:rFonts w:hint="eastAsia"/>
                      <w:color w:val="auto"/>
                      <w:highlight w:val="none"/>
                    </w:rPr>
                  </w:pPr>
                </w:p>
              </w:tc>
              <w:tc>
                <w:tcPr>
                  <w:tcW w:w="841" w:type="pct"/>
                  <w:tcBorders>
                    <w:top w:val="single" w:color="auto" w:sz="4" w:space="0"/>
                    <w:left w:val="single" w:color="auto" w:sz="4" w:space="0"/>
                    <w:bottom w:val="single" w:color="auto" w:sz="4" w:space="0"/>
                    <w:right w:val="single" w:color="auto" w:sz="4" w:space="0"/>
                  </w:tcBorders>
                  <w:shd w:val="clear" w:color="auto" w:fill="auto"/>
                  <w:vAlign w:val="center"/>
                </w:tcPr>
                <w:p w14:paraId="666B9E1A">
                  <w:pPr>
                    <w:pStyle w:val="20"/>
                    <w:bidi w:val="0"/>
                    <w:rPr>
                      <w:rFonts w:hint="eastAsia"/>
                      <w:color w:val="auto"/>
                      <w:highlight w:val="none"/>
                    </w:rPr>
                  </w:pPr>
                  <w:r>
                    <w:rPr>
                      <w:rFonts w:hint="eastAsia"/>
                      <w:color w:val="auto"/>
                      <w:highlight w:val="none"/>
                      <w:lang w:val="en-US" w:eastAsia="zh-CN"/>
                    </w:rPr>
                    <w:t>氨氮</w:t>
                  </w:r>
                </w:p>
              </w:tc>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14:paraId="5FF70DB8">
                  <w:pPr>
                    <w:pStyle w:val="20"/>
                    <w:bidi w:val="0"/>
                    <w:rPr>
                      <w:rFonts w:hint="default"/>
                      <w:color w:val="auto"/>
                      <w:highlight w:val="none"/>
                      <w:lang w:val="en-US"/>
                    </w:rPr>
                  </w:pPr>
                  <w:r>
                    <w:rPr>
                      <w:rFonts w:hint="default"/>
                      <w:color w:val="auto"/>
                      <w:highlight w:val="none"/>
                      <w:lang w:val="en-US" w:eastAsia="zh-CN"/>
                    </w:rPr>
                    <w:t>40</w:t>
                  </w:r>
                </w:p>
              </w:tc>
              <w:tc>
                <w:tcPr>
                  <w:tcW w:w="1461" w:type="dxa"/>
                  <w:tcBorders>
                    <w:top w:val="single" w:color="auto" w:sz="4" w:space="0"/>
                    <w:left w:val="single" w:color="auto" w:sz="4" w:space="0"/>
                    <w:bottom w:val="single" w:color="auto" w:sz="4" w:space="0"/>
                    <w:right w:val="single" w:color="auto" w:sz="4" w:space="0"/>
                  </w:tcBorders>
                  <w:shd w:val="clear" w:color="auto" w:fill="auto"/>
                  <w:vAlign w:val="center"/>
                </w:tcPr>
                <w:p w14:paraId="0A79052D">
                  <w:pPr>
                    <w:pStyle w:val="20"/>
                    <w:bidi w:val="0"/>
                    <w:rPr>
                      <w:rFonts w:hint="default"/>
                      <w:color w:val="auto"/>
                      <w:highlight w:val="none"/>
                    </w:rPr>
                  </w:pPr>
                  <w:r>
                    <w:rPr>
                      <w:rFonts w:hint="eastAsia"/>
                      <w:color w:val="auto"/>
                      <w:highlight w:val="none"/>
                      <w:lang w:val="en-US" w:eastAsia="zh-CN"/>
                    </w:rPr>
                    <w:t>0.032</w:t>
                  </w:r>
                </w:p>
              </w:tc>
              <w:tc>
                <w:tcPr>
                  <w:tcW w:w="11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50EEE4F">
                  <w:pPr>
                    <w:pStyle w:val="20"/>
                    <w:bidi w:val="0"/>
                    <w:rPr>
                      <w:rFonts w:hint="default"/>
                      <w:color w:val="auto"/>
                      <w:highlight w:val="none"/>
                      <w:lang w:val="en-US" w:eastAsia="zh-CN"/>
                    </w:rPr>
                  </w:pPr>
                </w:p>
              </w:tc>
            </w:tr>
            <w:tr w14:paraId="63B3A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99" w:type="pct"/>
                  <w:vMerge w:val="continue"/>
                  <w:tcBorders>
                    <w:left w:val="single" w:color="auto" w:sz="4" w:space="0"/>
                    <w:right w:val="single" w:color="auto" w:sz="4" w:space="0"/>
                  </w:tcBorders>
                  <w:shd w:val="clear" w:color="auto" w:fill="auto"/>
                  <w:vAlign w:val="center"/>
                </w:tcPr>
                <w:p w14:paraId="27C85279">
                  <w:pPr>
                    <w:pStyle w:val="20"/>
                    <w:bidi w:val="0"/>
                    <w:rPr>
                      <w:rFonts w:hint="eastAsia"/>
                      <w:color w:val="auto"/>
                      <w:highlight w:val="none"/>
                    </w:rPr>
                  </w:pPr>
                </w:p>
              </w:tc>
              <w:tc>
                <w:tcPr>
                  <w:tcW w:w="466" w:type="pct"/>
                  <w:vMerge w:val="continue"/>
                  <w:tcBorders>
                    <w:left w:val="single" w:color="auto" w:sz="4" w:space="0"/>
                    <w:right w:val="single" w:color="auto" w:sz="4" w:space="0"/>
                  </w:tcBorders>
                  <w:shd w:val="clear" w:color="auto" w:fill="auto"/>
                  <w:vAlign w:val="center"/>
                </w:tcPr>
                <w:p w14:paraId="238102F1">
                  <w:pPr>
                    <w:pStyle w:val="20"/>
                    <w:bidi w:val="0"/>
                    <w:rPr>
                      <w:rFonts w:hint="default"/>
                      <w:color w:val="auto"/>
                      <w:highlight w:val="none"/>
                    </w:rPr>
                  </w:pPr>
                </w:p>
              </w:tc>
              <w:tc>
                <w:tcPr>
                  <w:tcW w:w="433" w:type="pct"/>
                  <w:vMerge w:val="continue"/>
                  <w:tcBorders>
                    <w:left w:val="single" w:color="auto" w:sz="4" w:space="0"/>
                    <w:right w:val="single" w:color="auto" w:sz="4" w:space="0"/>
                  </w:tcBorders>
                  <w:shd w:val="clear" w:color="auto" w:fill="auto"/>
                  <w:vAlign w:val="center"/>
                </w:tcPr>
                <w:p w14:paraId="75AB5C27">
                  <w:pPr>
                    <w:pStyle w:val="20"/>
                    <w:bidi w:val="0"/>
                    <w:rPr>
                      <w:rFonts w:hint="eastAsia"/>
                      <w:color w:val="auto"/>
                      <w:highlight w:val="none"/>
                    </w:rPr>
                  </w:pPr>
                </w:p>
              </w:tc>
              <w:tc>
                <w:tcPr>
                  <w:tcW w:w="841" w:type="pct"/>
                  <w:tcBorders>
                    <w:top w:val="single" w:color="auto" w:sz="4" w:space="0"/>
                    <w:left w:val="single" w:color="auto" w:sz="4" w:space="0"/>
                    <w:bottom w:val="single" w:color="auto" w:sz="4" w:space="0"/>
                    <w:right w:val="single" w:color="auto" w:sz="4" w:space="0"/>
                  </w:tcBorders>
                  <w:shd w:val="clear" w:color="auto" w:fill="auto"/>
                  <w:vAlign w:val="center"/>
                </w:tcPr>
                <w:p w14:paraId="6F9E7681">
                  <w:pPr>
                    <w:pStyle w:val="20"/>
                    <w:bidi w:val="0"/>
                    <w:rPr>
                      <w:rFonts w:hint="default"/>
                      <w:color w:val="auto"/>
                      <w:highlight w:val="none"/>
                    </w:rPr>
                  </w:pPr>
                  <w:r>
                    <w:rPr>
                      <w:rFonts w:hint="default"/>
                      <w:color w:val="auto"/>
                      <w:highlight w:val="none"/>
                      <w:lang w:val="en-US" w:eastAsia="zh-CN"/>
                    </w:rPr>
                    <w:t xml:space="preserve">TP </w:t>
                  </w:r>
                </w:p>
              </w:tc>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14:paraId="01775B6F">
                  <w:pPr>
                    <w:pStyle w:val="20"/>
                    <w:bidi w:val="0"/>
                    <w:rPr>
                      <w:rFonts w:hint="default"/>
                      <w:color w:val="auto"/>
                      <w:highlight w:val="none"/>
                    </w:rPr>
                  </w:pPr>
                  <w:r>
                    <w:rPr>
                      <w:rFonts w:hint="default"/>
                      <w:color w:val="auto"/>
                      <w:highlight w:val="none"/>
                      <w:lang w:val="en-US" w:eastAsia="zh-CN"/>
                    </w:rPr>
                    <w:t>10</w:t>
                  </w:r>
                </w:p>
              </w:tc>
              <w:tc>
                <w:tcPr>
                  <w:tcW w:w="1461" w:type="dxa"/>
                  <w:tcBorders>
                    <w:top w:val="single" w:color="auto" w:sz="4" w:space="0"/>
                    <w:left w:val="single" w:color="auto" w:sz="4" w:space="0"/>
                    <w:bottom w:val="single" w:color="auto" w:sz="4" w:space="0"/>
                    <w:right w:val="single" w:color="auto" w:sz="4" w:space="0"/>
                  </w:tcBorders>
                  <w:shd w:val="clear" w:color="auto" w:fill="auto"/>
                  <w:vAlign w:val="center"/>
                </w:tcPr>
                <w:p w14:paraId="307F2691">
                  <w:pPr>
                    <w:pStyle w:val="20"/>
                    <w:bidi w:val="0"/>
                    <w:rPr>
                      <w:rFonts w:hint="default"/>
                      <w:color w:val="auto"/>
                      <w:highlight w:val="none"/>
                    </w:rPr>
                  </w:pPr>
                  <w:r>
                    <w:rPr>
                      <w:rFonts w:hint="eastAsia"/>
                      <w:color w:val="auto"/>
                      <w:highlight w:val="none"/>
                      <w:lang w:val="en-US" w:eastAsia="zh-CN"/>
                    </w:rPr>
                    <w:t>0.008</w:t>
                  </w:r>
                </w:p>
              </w:tc>
              <w:tc>
                <w:tcPr>
                  <w:tcW w:w="11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69BBE8A">
                  <w:pPr>
                    <w:pStyle w:val="20"/>
                    <w:bidi w:val="0"/>
                    <w:rPr>
                      <w:rFonts w:hint="default"/>
                      <w:color w:val="auto"/>
                      <w:highlight w:val="none"/>
                      <w:lang w:val="en-US" w:eastAsia="zh-CN"/>
                    </w:rPr>
                  </w:pPr>
                </w:p>
              </w:tc>
            </w:tr>
            <w:tr w14:paraId="3EF1B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99" w:type="pct"/>
                  <w:vMerge w:val="continue"/>
                  <w:tcBorders>
                    <w:left w:val="single" w:color="auto" w:sz="4" w:space="0"/>
                    <w:bottom w:val="single" w:color="auto" w:sz="4" w:space="0"/>
                    <w:right w:val="single" w:color="auto" w:sz="4" w:space="0"/>
                  </w:tcBorders>
                  <w:shd w:val="clear" w:color="auto" w:fill="auto"/>
                  <w:vAlign w:val="center"/>
                </w:tcPr>
                <w:p w14:paraId="7CD48E02">
                  <w:pPr>
                    <w:pStyle w:val="20"/>
                    <w:bidi w:val="0"/>
                    <w:rPr>
                      <w:rFonts w:hint="eastAsia"/>
                      <w:color w:val="auto"/>
                      <w:highlight w:val="none"/>
                    </w:rPr>
                  </w:pPr>
                </w:p>
              </w:tc>
              <w:tc>
                <w:tcPr>
                  <w:tcW w:w="466" w:type="pct"/>
                  <w:vMerge w:val="continue"/>
                  <w:tcBorders>
                    <w:left w:val="single" w:color="auto" w:sz="4" w:space="0"/>
                    <w:bottom w:val="single" w:color="auto" w:sz="4" w:space="0"/>
                    <w:right w:val="single" w:color="auto" w:sz="4" w:space="0"/>
                  </w:tcBorders>
                  <w:shd w:val="clear" w:color="auto" w:fill="auto"/>
                  <w:vAlign w:val="center"/>
                </w:tcPr>
                <w:p w14:paraId="15EF1F74">
                  <w:pPr>
                    <w:pStyle w:val="20"/>
                    <w:bidi w:val="0"/>
                    <w:rPr>
                      <w:rFonts w:hint="default"/>
                      <w:color w:val="auto"/>
                      <w:highlight w:val="none"/>
                    </w:rPr>
                  </w:pPr>
                </w:p>
              </w:tc>
              <w:tc>
                <w:tcPr>
                  <w:tcW w:w="433" w:type="pct"/>
                  <w:vMerge w:val="continue"/>
                  <w:tcBorders>
                    <w:left w:val="single" w:color="auto" w:sz="4" w:space="0"/>
                    <w:bottom w:val="single" w:color="auto" w:sz="4" w:space="0"/>
                    <w:right w:val="single" w:color="auto" w:sz="4" w:space="0"/>
                  </w:tcBorders>
                  <w:shd w:val="clear" w:color="auto" w:fill="auto"/>
                  <w:vAlign w:val="center"/>
                </w:tcPr>
                <w:p w14:paraId="16A43FE8">
                  <w:pPr>
                    <w:pStyle w:val="20"/>
                    <w:bidi w:val="0"/>
                    <w:rPr>
                      <w:rFonts w:hint="eastAsia"/>
                      <w:color w:val="auto"/>
                      <w:highlight w:val="none"/>
                    </w:rPr>
                  </w:pPr>
                </w:p>
              </w:tc>
              <w:tc>
                <w:tcPr>
                  <w:tcW w:w="841" w:type="pct"/>
                  <w:tcBorders>
                    <w:top w:val="single" w:color="auto" w:sz="4" w:space="0"/>
                    <w:left w:val="single" w:color="auto" w:sz="4" w:space="0"/>
                    <w:bottom w:val="single" w:color="auto" w:sz="4" w:space="0"/>
                    <w:right w:val="single" w:color="auto" w:sz="4" w:space="0"/>
                  </w:tcBorders>
                  <w:shd w:val="clear" w:color="auto" w:fill="auto"/>
                  <w:vAlign w:val="center"/>
                </w:tcPr>
                <w:p w14:paraId="66FB6CB4">
                  <w:pPr>
                    <w:pStyle w:val="20"/>
                    <w:bidi w:val="0"/>
                    <w:rPr>
                      <w:rFonts w:hint="default"/>
                      <w:color w:val="auto"/>
                      <w:highlight w:val="none"/>
                      <w:lang w:val="en-US" w:eastAsia="zh-CN"/>
                    </w:rPr>
                  </w:pPr>
                  <w:r>
                    <w:rPr>
                      <w:rFonts w:hint="eastAsia"/>
                      <w:color w:val="auto"/>
                      <w:highlight w:val="none"/>
                      <w:lang w:val="en-US" w:eastAsia="zh-CN"/>
                    </w:rPr>
                    <w:t>TN</w:t>
                  </w:r>
                </w:p>
              </w:tc>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14:paraId="67235688">
                  <w:pPr>
                    <w:pStyle w:val="20"/>
                    <w:bidi w:val="0"/>
                    <w:rPr>
                      <w:rFonts w:hint="default"/>
                      <w:color w:val="auto"/>
                      <w:highlight w:val="none"/>
                      <w:lang w:val="en-US" w:eastAsia="zh-CN"/>
                    </w:rPr>
                  </w:pPr>
                  <w:r>
                    <w:rPr>
                      <w:rFonts w:hint="default"/>
                      <w:color w:val="auto"/>
                      <w:highlight w:val="none"/>
                      <w:lang w:val="en-US" w:eastAsia="zh-CN"/>
                    </w:rPr>
                    <w:t>50</w:t>
                  </w:r>
                </w:p>
              </w:tc>
              <w:tc>
                <w:tcPr>
                  <w:tcW w:w="1461" w:type="dxa"/>
                  <w:tcBorders>
                    <w:top w:val="single" w:color="auto" w:sz="4" w:space="0"/>
                    <w:left w:val="single" w:color="auto" w:sz="4" w:space="0"/>
                    <w:bottom w:val="single" w:color="auto" w:sz="4" w:space="0"/>
                    <w:right w:val="single" w:color="auto" w:sz="4" w:space="0"/>
                  </w:tcBorders>
                  <w:shd w:val="clear" w:color="auto" w:fill="auto"/>
                  <w:vAlign w:val="center"/>
                </w:tcPr>
                <w:p w14:paraId="04D04EE8">
                  <w:pPr>
                    <w:pStyle w:val="20"/>
                    <w:bidi w:val="0"/>
                    <w:rPr>
                      <w:rFonts w:hint="eastAsia"/>
                      <w:color w:val="auto"/>
                      <w:highlight w:val="none"/>
                      <w:lang w:val="en-US" w:eastAsia="zh-CN"/>
                    </w:rPr>
                  </w:pPr>
                  <w:r>
                    <w:rPr>
                      <w:rFonts w:hint="eastAsia"/>
                      <w:color w:val="auto"/>
                      <w:highlight w:val="none"/>
                      <w:lang w:val="en-US" w:eastAsia="zh-CN"/>
                    </w:rPr>
                    <w:t>0.041</w:t>
                  </w:r>
                </w:p>
              </w:tc>
              <w:tc>
                <w:tcPr>
                  <w:tcW w:w="11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90CF232">
                  <w:pPr>
                    <w:pStyle w:val="20"/>
                    <w:bidi w:val="0"/>
                    <w:rPr>
                      <w:rFonts w:hint="default"/>
                      <w:color w:val="auto"/>
                      <w:highlight w:val="none"/>
                      <w:lang w:val="en-US" w:eastAsia="zh-CN"/>
                    </w:rPr>
                  </w:pPr>
                </w:p>
              </w:tc>
            </w:tr>
            <w:tr w14:paraId="09022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9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E59BB04">
                  <w:pPr>
                    <w:pStyle w:val="20"/>
                    <w:bidi w:val="0"/>
                    <w:rPr>
                      <w:rFonts w:hint="eastAsia"/>
                      <w:color w:val="auto"/>
                      <w:highlight w:val="none"/>
                    </w:rPr>
                  </w:pPr>
                  <w:r>
                    <w:rPr>
                      <w:rFonts w:hint="eastAsia"/>
                      <w:color w:val="auto"/>
                      <w:highlight w:val="none"/>
                      <w:lang w:val="en-US" w:eastAsia="zh-CN"/>
                    </w:rPr>
                    <w:t>地面清洁废水</w:t>
                  </w:r>
                </w:p>
              </w:tc>
              <w:tc>
                <w:tcPr>
                  <w:tcW w:w="46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040154B">
                  <w:pPr>
                    <w:pStyle w:val="20"/>
                    <w:bidi w:val="0"/>
                    <w:rPr>
                      <w:rFonts w:hint="default"/>
                      <w:color w:val="auto"/>
                      <w:highlight w:val="none"/>
                      <w:lang w:val="en-US"/>
                    </w:rPr>
                  </w:pPr>
                  <w:r>
                    <w:rPr>
                      <w:rFonts w:hint="eastAsia"/>
                      <w:color w:val="auto"/>
                      <w:highlight w:val="none"/>
                      <w:lang w:val="en-US" w:eastAsia="zh-CN"/>
                    </w:rPr>
                    <w:t>225</w:t>
                  </w:r>
                </w:p>
              </w:tc>
              <w:tc>
                <w:tcPr>
                  <w:tcW w:w="43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C0D0523">
                  <w:pPr>
                    <w:pStyle w:val="20"/>
                    <w:bidi w:val="0"/>
                    <w:rPr>
                      <w:rFonts w:hint="eastAsia"/>
                      <w:color w:val="auto"/>
                      <w:highlight w:val="none"/>
                    </w:rPr>
                  </w:pPr>
                  <w:r>
                    <w:rPr>
                      <w:rFonts w:hint="eastAsia"/>
                      <w:color w:val="auto"/>
                      <w:highlight w:val="none"/>
                      <w:lang w:val="en-US" w:eastAsia="zh-CN"/>
                    </w:rPr>
                    <w:t>类比法</w:t>
                  </w:r>
                </w:p>
              </w:tc>
              <w:tc>
                <w:tcPr>
                  <w:tcW w:w="841" w:type="pct"/>
                  <w:tcBorders>
                    <w:top w:val="single" w:color="auto" w:sz="4" w:space="0"/>
                    <w:left w:val="single" w:color="auto" w:sz="4" w:space="0"/>
                    <w:bottom w:val="single" w:color="auto" w:sz="4" w:space="0"/>
                    <w:right w:val="single" w:color="auto" w:sz="4" w:space="0"/>
                  </w:tcBorders>
                  <w:shd w:val="clear" w:color="auto" w:fill="auto"/>
                  <w:vAlign w:val="center"/>
                </w:tcPr>
                <w:p w14:paraId="6FFFFFA6">
                  <w:pPr>
                    <w:pStyle w:val="20"/>
                    <w:bidi w:val="0"/>
                    <w:rPr>
                      <w:rFonts w:hint="default"/>
                      <w:color w:val="auto"/>
                      <w:highlight w:val="none"/>
                    </w:rPr>
                  </w:pPr>
                  <w:r>
                    <w:rPr>
                      <w:rFonts w:hint="default"/>
                      <w:color w:val="auto"/>
                      <w:highlight w:val="none"/>
                      <w:lang w:val="en-US" w:eastAsia="zh-CN"/>
                    </w:rPr>
                    <w:t>COD</w:t>
                  </w:r>
                </w:p>
              </w:tc>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14:paraId="2D486CE8">
                  <w:pPr>
                    <w:pStyle w:val="20"/>
                    <w:bidi w:val="0"/>
                    <w:rPr>
                      <w:rFonts w:hint="default"/>
                      <w:color w:val="auto"/>
                      <w:highlight w:val="none"/>
                    </w:rPr>
                  </w:pPr>
                  <w:r>
                    <w:rPr>
                      <w:rFonts w:hint="default"/>
                      <w:color w:val="auto"/>
                      <w:highlight w:val="none"/>
                      <w:lang w:val="en-US" w:eastAsia="zh-CN"/>
                    </w:rPr>
                    <w:t>600</w:t>
                  </w:r>
                </w:p>
              </w:tc>
              <w:tc>
                <w:tcPr>
                  <w:tcW w:w="1461" w:type="dxa"/>
                  <w:tcBorders>
                    <w:top w:val="single" w:color="auto" w:sz="4" w:space="0"/>
                    <w:left w:val="single" w:color="auto" w:sz="4" w:space="0"/>
                    <w:bottom w:val="single" w:color="auto" w:sz="4" w:space="0"/>
                    <w:right w:val="single" w:color="auto" w:sz="4" w:space="0"/>
                  </w:tcBorders>
                  <w:shd w:val="clear" w:color="auto" w:fill="auto"/>
                  <w:vAlign w:val="center"/>
                </w:tcPr>
                <w:p w14:paraId="5C328536">
                  <w:pPr>
                    <w:pStyle w:val="20"/>
                    <w:bidi w:val="0"/>
                    <w:rPr>
                      <w:rFonts w:hint="default"/>
                      <w:color w:val="auto"/>
                      <w:highlight w:val="none"/>
                    </w:rPr>
                  </w:pPr>
                  <w:r>
                    <w:rPr>
                      <w:rFonts w:hint="eastAsia"/>
                      <w:color w:val="auto"/>
                      <w:highlight w:val="none"/>
                      <w:lang w:val="en-US" w:eastAsia="zh-CN"/>
                    </w:rPr>
                    <w:t>0.135</w:t>
                  </w:r>
                </w:p>
              </w:tc>
              <w:tc>
                <w:tcPr>
                  <w:tcW w:w="11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189EF3E">
                  <w:pPr>
                    <w:pStyle w:val="20"/>
                    <w:bidi w:val="0"/>
                    <w:rPr>
                      <w:rFonts w:hint="default"/>
                      <w:color w:val="auto"/>
                      <w:highlight w:val="none"/>
                      <w:lang w:val="en-US" w:eastAsia="zh-CN"/>
                    </w:rPr>
                  </w:pPr>
                </w:p>
              </w:tc>
            </w:tr>
            <w:tr w14:paraId="2BD614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59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981F7E0">
                  <w:pPr>
                    <w:pStyle w:val="20"/>
                    <w:bidi w:val="0"/>
                    <w:rPr>
                      <w:rFonts w:hint="eastAsia"/>
                      <w:color w:val="auto"/>
                      <w:highlight w:val="none"/>
                    </w:rPr>
                  </w:pPr>
                </w:p>
              </w:tc>
              <w:tc>
                <w:tcPr>
                  <w:tcW w:w="4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8584BC4">
                  <w:pPr>
                    <w:pStyle w:val="20"/>
                    <w:bidi w:val="0"/>
                    <w:rPr>
                      <w:rFonts w:hint="default"/>
                      <w:color w:val="auto"/>
                      <w:highlight w:val="none"/>
                    </w:rPr>
                  </w:pPr>
                </w:p>
              </w:tc>
              <w:tc>
                <w:tcPr>
                  <w:tcW w:w="43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94ACBC2">
                  <w:pPr>
                    <w:pStyle w:val="20"/>
                    <w:bidi w:val="0"/>
                    <w:rPr>
                      <w:rFonts w:hint="eastAsia"/>
                      <w:color w:val="auto"/>
                      <w:highlight w:val="none"/>
                    </w:rPr>
                  </w:pPr>
                </w:p>
              </w:tc>
              <w:tc>
                <w:tcPr>
                  <w:tcW w:w="841" w:type="pct"/>
                  <w:tcBorders>
                    <w:top w:val="single" w:color="auto" w:sz="4" w:space="0"/>
                    <w:left w:val="single" w:color="auto" w:sz="4" w:space="0"/>
                    <w:bottom w:val="single" w:color="auto" w:sz="4" w:space="0"/>
                    <w:right w:val="single" w:color="auto" w:sz="4" w:space="0"/>
                  </w:tcBorders>
                  <w:shd w:val="clear" w:color="auto" w:fill="auto"/>
                  <w:vAlign w:val="center"/>
                </w:tcPr>
                <w:p w14:paraId="7D626660">
                  <w:pPr>
                    <w:pStyle w:val="20"/>
                    <w:bidi w:val="0"/>
                    <w:rPr>
                      <w:rFonts w:hint="default"/>
                      <w:color w:val="auto"/>
                      <w:highlight w:val="none"/>
                    </w:rPr>
                  </w:pPr>
                  <w:r>
                    <w:rPr>
                      <w:rFonts w:hint="default"/>
                      <w:color w:val="auto"/>
                      <w:highlight w:val="none"/>
                      <w:lang w:val="en-US" w:eastAsia="zh-CN"/>
                    </w:rPr>
                    <w:t>BOD5</w:t>
                  </w:r>
                </w:p>
              </w:tc>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14:paraId="0C1A382E">
                  <w:pPr>
                    <w:pStyle w:val="20"/>
                    <w:bidi w:val="0"/>
                    <w:rPr>
                      <w:rFonts w:hint="eastAsia"/>
                      <w:color w:val="auto"/>
                      <w:highlight w:val="none"/>
                    </w:rPr>
                  </w:pPr>
                  <w:r>
                    <w:rPr>
                      <w:rFonts w:hint="eastAsia"/>
                      <w:color w:val="auto"/>
                      <w:highlight w:val="none"/>
                      <w:lang w:val="en-US" w:eastAsia="zh-CN"/>
                    </w:rPr>
                    <w:t>300</w:t>
                  </w:r>
                </w:p>
              </w:tc>
              <w:tc>
                <w:tcPr>
                  <w:tcW w:w="1461" w:type="dxa"/>
                  <w:tcBorders>
                    <w:top w:val="single" w:color="auto" w:sz="4" w:space="0"/>
                    <w:left w:val="single" w:color="auto" w:sz="4" w:space="0"/>
                    <w:bottom w:val="single" w:color="auto" w:sz="4" w:space="0"/>
                    <w:right w:val="single" w:color="auto" w:sz="4" w:space="0"/>
                  </w:tcBorders>
                  <w:shd w:val="clear" w:color="auto" w:fill="auto"/>
                  <w:vAlign w:val="center"/>
                </w:tcPr>
                <w:p w14:paraId="71F863BC">
                  <w:pPr>
                    <w:pStyle w:val="20"/>
                    <w:bidi w:val="0"/>
                    <w:rPr>
                      <w:rFonts w:hint="default"/>
                      <w:color w:val="auto"/>
                      <w:highlight w:val="none"/>
                    </w:rPr>
                  </w:pPr>
                  <w:r>
                    <w:rPr>
                      <w:rFonts w:hint="eastAsia"/>
                      <w:color w:val="auto"/>
                      <w:highlight w:val="none"/>
                      <w:lang w:val="en-US" w:eastAsia="zh-CN"/>
                    </w:rPr>
                    <w:t>0.068</w:t>
                  </w:r>
                </w:p>
              </w:tc>
              <w:tc>
                <w:tcPr>
                  <w:tcW w:w="11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1254FD">
                  <w:pPr>
                    <w:pStyle w:val="20"/>
                    <w:bidi w:val="0"/>
                    <w:rPr>
                      <w:rFonts w:hint="default"/>
                      <w:color w:val="auto"/>
                      <w:highlight w:val="none"/>
                      <w:lang w:val="en-US" w:eastAsia="zh-CN"/>
                    </w:rPr>
                  </w:pPr>
                </w:p>
              </w:tc>
            </w:tr>
            <w:tr w14:paraId="26496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9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C48BA81">
                  <w:pPr>
                    <w:pStyle w:val="20"/>
                    <w:bidi w:val="0"/>
                    <w:rPr>
                      <w:rFonts w:hint="eastAsia"/>
                      <w:color w:val="auto"/>
                      <w:highlight w:val="none"/>
                    </w:rPr>
                  </w:pPr>
                </w:p>
              </w:tc>
              <w:tc>
                <w:tcPr>
                  <w:tcW w:w="4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B66D5F">
                  <w:pPr>
                    <w:pStyle w:val="20"/>
                    <w:bidi w:val="0"/>
                    <w:rPr>
                      <w:rFonts w:hint="default"/>
                      <w:color w:val="auto"/>
                      <w:highlight w:val="none"/>
                    </w:rPr>
                  </w:pPr>
                </w:p>
              </w:tc>
              <w:tc>
                <w:tcPr>
                  <w:tcW w:w="43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59FF282">
                  <w:pPr>
                    <w:pStyle w:val="20"/>
                    <w:bidi w:val="0"/>
                    <w:rPr>
                      <w:rFonts w:hint="eastAsia"/>
                      <w:color w:val="auto"/>
                      <w:highlight w:val="none"/>
                    </w:rPr>
                  </w:pPr>
                </w:p>
              </w:tc>
              <w:tc>
                <w:tcPr>
                  <w:tcW w:w="841" w:type="pct"/>
                  <w:tcBorders>
                    <w:top w:val="single" w:color="auto" w:sz="4" w:space="0"/>
                    <w:left w:val="single" w:color="auto" w:sz="4" w:space="0"/>
                    <w:bottom w:val="single" w:color="auto" w:sz="4" w:space="0"/>
                    <w:right w:val="single" w:color="auto" w:sz="4" w:space="0"/>
                  </w:tcBorders>
                  <w:shd w:val="clear" w:color="auto" w:fill="auto"/>
                  <w:vAlign w:val="center"/>
                </w:tcPr>
                <w:p w14:paraId="14186B08">
                  <w:pPr>
                    <w:pStyle w:val="20"/>
                    <w:bidi w:val="0"/>
                    <w:rPr>
                      <w:rFonts w:hint="default"/>
                      <w:color w:val="auto"/>
                      <w:highlight w:val="none"/>
                    </w:rPr>
                  </w:pPr>
                  <w:r>
                    <w:rPr>
                      <w:rFonts w:hint="default"/>
                      <w:color w:val="auto"/>
                      <w:highlight w:val="none"/>
                      <w:lang w:val="en-US" w:eastAsia="zh-CN"/>
                    </w:rPr>
                    <w:t>SS</w:t>
                  </w:r>
                </w:p>
              </w:tc>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14:paraId="2D87B8E0">
                  <w:pPr>
                    <w:pStyle w:val="20"/>
                    <w:bidi w:val="0"/>
                    <w:rPr>
                      <w:rFonts w:hint="default"/>
                      <w:color w:val="auto"/>
                      <w:highlight w:val="none"/>
                    </w:rPr>
                  </w:pPr>
                  <w:r>
                    <w:rPr>
                      <w:rFonts w:hint="default"/>
                      <w:color w:val="auto"/>
                      <w:highlight w:val="none"/>
                      <w:lang w:val="en-US" w:eastAsia="zh-CN"/>
                    </w:rPr>
                    <w:t>500</w:t>
                  </w:r>
                </w:p>
              </w:tc>
              <w:tc>
                <w:tcPr>
                  <w:tcW w:w="1461" w:type="dxa"/>
                  <w:tcBorders>
                    <w:top w:val="single" w:color="auto" w:sz="4" w:space="0"/>
                    <w:left w:val="single" w:color="auto" w:sz="4" w:space="0"/>
                    <w:bottom w:val="single" w:color="auto" w:sz="4" w:space="0"/>
                    <w:right w:val="single" w:color="auto" w:sz="4" w:space="0"/>
                  </w:tcBorders>
                  <w:shd w:val="clear" w:color="auto" w:fill="auto"/>
                  <w:vAlign w:val="center"/>
                </w:tcPr>
                <w:p w14:paraId="02C7C0E5">
                  <w:pPr>
                    <w:pStyle w:val="20"/>
                    <w:bidi w:val="0"/>
                    <w:rPr>
                      <w:rFonts w:hint="default"/>
                      <w:color w:val="auto"/>
                      <w:highlight w:val="none"/>
                    </w:rPr>
                  </w:pPr>
                  <w:r>
                    <w:rPr>
                      <w:rFonts w:hint="eastAsia"/>
                      <w:color w:val="auto"/>
                      <w:highlight w:val="none"/>
                      <w:lang w:val="en-US" w:eastAsia="zh-CN"/>
                    </w:rPr>
                    <w:t>0.113</w:t>
                  </w:r>
                </w:p>
              </w:tc>
              <w:tc>
                <w:tcPr>
                  <w:tcW w:w="11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0A8A8D9">
                  <w:pPr>
                    <w:pStyle w:val="20"/>
                    <w:bidi w:val="0"/>
                    <w:rPr>
                      <w:rFonts w:hint="default"/>
                      <w:color w:val="auto"/>
                      <w:highlight w:val="none"/>
                      <w:lang w:val="en-US" w:eastAsia="zh-CN"/>
                    </w:rPr>
                  </w:pPr>
                </w:p>
              </w:tc>
            </w:tr>
            <w:tr w14:paraId="329FB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9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B8E68C7">
                  <w:pPr>
                    <w:pStyle w:val="20"/>
                    <w:bidi w:val="0"/>
                    <w:rPr>
                      <w:rFonts w:hint="eastAsia"/>
                      <w:color w:val="auto"/>
                      <w:highlight w:val="none"/>
                    </w:rPr>
                  </w:pPr>
                </w:p>
              </w:tc>
              <w:tc>
                <w:tcPr>
                  <w:tcW w:w="4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D89AD84">
                  <w:pPr>
                    <w:pStyle w:val="20"/>
                    <w:bidi w:val="0"/>
                    <w:rPr>
                      <w:rFonts w:hint="default"/>
                      <w:color w:val="auto"/>
                      <w:highlight w:val="none"/>
                    </w:rPr>
                  </w:pPr>
                </w:p>
              </w:tc>
              <w:tc>
                <w:tcPr>
                  <w:tcW w:w="43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BABAF93">
                  <w:pPr>
                    <w:pStyle w:val="20"/>
                    <w:bidi w:val="0"/>
                    <w:rPr>
                      <w:rFonts w:hint="eastAsia"/>
                      <w:color w:val="auto"/>
                      <w:highlight w:val="none"/>
                    </w:rPr>
                  </w:pPr>
                </w:p>
              </w:tc>
              <w:tc>
                <w:tcPr>
                  <w:tcW w:w="841" w:type="pct"/>
                  <w:tcBorders>
                    <w:top w:val="single" w:color="auto" w:sz="4" w:space="0"/>
                    <w:left w:val="single" w:color="auto" w:sz="4" w:space="0"/>
                    <w:bottom w:val="single" w:color="auto" w:sz="4" w:space="0"/>
                    <w:right w:val="single" w:color="auto" w:sz="4" w:space="0"/>
                  </w:tcBorders>
                  <w:shd w:val="clear" w:color="auto" w:fill="auto"/>
                  <w:vAlign w:val="center"/>
                </w:tcPr>
                <w:p w14:paraId="32D3E5C8">
                  <w:pPr>
                    <w:pStyle w:val="20"/>
                    <w:bidi w:val="0"/>
                    <w:rPr>
                      <w:rFonts w:hint="eastAsia"/>
                      <w:color w:val="auto"/>
                      <w:highlight w:val="none"/>
                    </w:rPr>
                  </w:pPr>
                  <w:r>
                    <w:rPr>
                      <w:rFonts w:hint="eastAsia"/>
                      <w:color w:val="auto"/>
                      <w:highlight w:val="none"/>
                      <w:lang w:val="en-US" w:eastAsia="zh-CN"/>
                    </w:rPr>
                    <w:t>石油类</w:t>
                  </w:r>
                </w:p>
              </w:tc>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14:paraId="510A418C">
                  <w:pPr>
                    <w:pStyle w:val="20"/>
                    <w:bidi w:val="0"/>
                    <w:rPr>
                      <w:rFonts w:hint="default"/>
                      <w:color w:val="auto"/>
                      <w:highlight w:val="none"/>
                    </w:rPr>
                  </w:pPr>
                  <w:r>
                    <w:rPr>
                      <w:rFonts w:hint="default"/>
                      <w:color w:val="auto"/>
                      <w:highlight w:val="none"/>
                      <w:lang w:val="en-US" w:eastAsia="zh-CN"/>
                    </w:rPr>
                    <w:t>40</w:t>
                  </w:r>
                </w:p>
              </w:tc>
              <w:tc>
                <w:tcPr>
                  <w:tcW w:w="1461" w:type="dxa"/>
                  <w:tcBorders>
                    <w:top w:val="single" w:color="auto" w:sz="4" w:space="0"/>
                    <w:left w:val="single" w:color="auto" w:sz="4" w:space="0"/>
                    <w:bottom w:val="single" w:color="auto" w:sz="4" w:space="0"/>
                    <w:right w:val="single" w:color="auto" w:sz="4" w:space="0"/>
                  </w:tcBorders>
                  <w:shd w:val="clear" w:color="auto" w:fill="auto"/>
                  <w:vAlign w:val="center"/>
                </w:tcPr>
                <w:p w14:paraId="37506BA9">
                  <w:pPr>
                    <w:pStyle w:val="20"/>
                    <w:bidi w:val="0"/>
                    <w:rPr>
                      <w:rFonts w:hint="default"/>
                      <w:color w:val="auto"/>
                      <w:highlight w:val="none"/>
                    </w:rPr>
                  </w:pPr>
                  <w:r>
                    <w:rPr>
                      <w:rFonts w:hint="eastAsia"/>
                      <w:color w:val="auto"/>
                      <w:highlight w:val="none"/>
                      <w:lang w:val="en-US" w:eastAsia="zh-CN"/>
                    </w:rPr>
                    <w:t>0.009</w:t>
                  </w:r>
                </w:p>
              </w:tc>
              <w:tc>
                <w:tcPr>
                  <w:tcW w:w="11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05904B">
                  <w:pPr>
                    <w:pStyle w:val="20"/>
                    <w:bidi w:val="0"/>
                    <w:rPr>
                      <w:rFonts w:hint="default"/>
                      <w:color w:val="auto"/>
                      <w:highlight w:val="none"/>
                      <w:lang w:val="en-US" w:eastAsia="zh-CN"/>
                    </w:rPr>
                  </w:pPr>
                </w:p>
              </w:tc>
            </w:tr>
            <w:tr w14:paraId="7B0BC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99" w:type="pct"/>
                  <w:tcBorders>
                    <w:top w:val="single" w:color="auto" w:sz="4" w:space="0"/>
                    <w:left w:val="single" w:color="auto" w:sz="4" w:space="0"/>
                    <w:bottom w:val="single" w:color="auto" w:sz="4" w:space="0"/>
                    <w:right w:val="single" w:color="auto" w:sz="4" w:space="0"/>
                  </w:tcBorders>
                  <w:shd w:val="clear" w:color="auto" w:fill="auto"/>
                  <w:vAlign w:val="center"/>
                </w:tcPr>
                <w:p w14:paraId="4BC9A888">
                  <w:pPr>
                    <w:pStyle w:val="20"/>
                    <w:bidi w:val="0"/>
                    <w:rPr>
                      <w:rFonts w:hint="eastAsia"/>
                      <w:color w:val="auto"/>
                      <w:highlight w:val="none"/>
                    </w:rPr>
                  </w:pPr>
                  <w:r>
                    <w:rPr>
                      <w:rFonts w:hint="eastAsia"/>
                      <w:color w:val="auto"/>
                      <w:highlight w:val="none"/>
                      <w:lang w:val="en-US" w:eastAsia="zh-CN"/>
                    </w:rPr>
                    <w:t>循环冷却水</w:t>
                  </w:r>
                </w:p>
              </w:tc>
              <w:tc>
                <w:tcPr>
                  <w:tcW w:w="466" w:type="pct"/>
                  <w:tcBorders>
                    <w:top w:val="single" w:color="auto" w:sz="4" w:space="0"/>
                    <w:left w:val="single" w:color="auto" w:sz="4" w:space="0"/>
                    <w:bottom w:val="single" w:color="auto" w:sz="4" w:space="0"/>
                    <w:right w:val="single" w:color="auto" w:sz="4" w:space="0"/>
                  </w:tcBorders>
                  <w:shd w:val="clear" w:color="auto" w:fill="auto"/>
                  <w:vAlign w:val="center"/>
                </w:tcPr>
                <w:p w14:paraId="0C4D3CB3">
                  <w:pPr>
                    <w:pStyle w:val="20"/>
                    <w:bidi w:val="0"/>
                    <w:rPr>
                      <w:rFonts w:hint="default" w:eastAsia="宋体"/>
                      <w:color w:val="auto"/>
                      <w:highlight w:val="none"/>
                      <w:lang w:val="en-US" w:eastAsia="zh-CN"/>
                    </w:rPr>
                  </w:pPr>
                  <w:r>
                    <w:rPr>
                      <w:rFonts w:hint="eastAsia"/>
                      <w:color w:val="auto"/>
                      <w:highlight w:val="none"/>
                      <w:lang w:val="en-US" w:eastAsia="zh-CN"/>
                    </w:rPr>
                    <w:t>484.264</w:t>
                  </w:r>
                </w:p>
              </w:tc>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14:paraId="7DA9BA08">
                  <w:pPr>
                    <w:pStyle w:val="20"/>
                    <w:bidi w:val="0"/>
                    <w:rPr>
                      <w:rFonts w:hint="eastAsia"/>
                      <w:color w:val="auto"/>
                      <w:highlight w:val="none"/>
                    </w:rPr>
                  </w:pPr>
                  <w:r>
                    <w:rPr>
                      <w:rFonts w:hint="eastAsia"/>
                      <w:color w:val="auto"/>
                      <w:highlight w:val="none"/>
                      <w:lang w:val="en-US" w:eastAsia="zh-CN"/>
                    </w:rPr>
                    <w:t>类比法</w:t>
                  </w:r>
                </w:p>
              </w:tc>
              <w:tc>
                <w:tcPr>
                  <w:tcW w:w="841" w:type="pct"/>
                  <w:tcBorders>
                    <w:top w:val="single" w:color="auto" w:sz="4" w:space="0"/>
                    <w:left w:val="single" w:color="auto" w:sz="4" w:space="0"/>
                    <w:bottom w:val="single" w:color="auto" w:sz="4" w:space="0"/>
                    <w:right w:val="single" w:color="auto" w:sz="4" w:space="0"/>
                  </w:tcBorders>
                  <w:shd w:val="clear" w:color="auto" w:fill="auto"/>
                  <w:vAlign w:val="center"/>
                </w:tcPr>
                <w:p w14:paraId="42461E4D">
                  <w:pPr>
                    <w:pStyle w:val="20"/>
                    <w:bidi w:val="0"/>
                    <w:rPr>
                      <w:rFonts w:hint="eastAsia"/>
                      <w:color w:val="auto"/>
                      <w:highlight w:val="none"/>
                      <w:lang w:val="en-US" w:eastAsia="zh-CN"/>
                    </w:rPr>
                  </w:pPr>
                  <w:r>
                    <w:rPr>
                      <w:rFonts w:hint="default"/>
                      <w:color w:val="auto"/>
                      <w:highlight w:val="none"/>
                      <w:lang w:val="en-US" w:eastAsia="zh-CN"/>
                    </w:rPr>
                    <w:t>SS</w:t>
                  </w:r>
                </w:p>
              </w:tc>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14:paraId="2D656E24">
                  <w:pPr>
                    <w:pStyle w:val="20"/>
                    <w:bidi w:val="0"/>
                    <w:rPr>
                      <w:rFonts w:hint="default"/>
                      <w:color w:val="auto"/>
                      <w:highlight w:val="none"/>
                      <w:lang w:val="en-US" w:eastAsia="zh-CN"/>
                    </w:rPr>
                  </w:pPr>
                  <w:r>
                    <w:rPr>
                      <w:rFonts w:hint="default"/>
                      <w:color w:val="auto"/>
                      <w:highlight w:val="none"/>
                      <w:lang w:val="en-US" w:eastAsia="zh-CN"/>
                    </w:rPr>
                    <w:t>100</w:t>
                  </w:r>
                </w:p>
              </w:tc>
              <w:tc>
                <w:tcPr>
                  <w:tcW w:w="1461" w:type="dxa"/>
                  <w:tcBorders>
                    <w:top w:val="single" w:color="auto" w:sz="4" w:space="0"/>
                    <w:left w:val="single" w:color="auto" w:sz="4" w:space="0"/>
                    <w:bottom w:val="single" w:color="auto" w:sz="4" w:space="0"/>
                    <w:right w:val="single" w:color="auto" w:sz="4" w:space="0"/>
                  </w:tcBorders>
                  <w:shd w:val="clear" w:color="auto" w:fill="auto"/>
                  <w:vAlign w:val="center"/>
                </w:tcPr>
                <w:p w14:paraId="617FAA55">
                  <w:pPr>
                    <w:pStyle w:val="20"/>
                    <w:bidi w:val="0"/>
                    <w:rPr>
                      <w:rFonts w:hint="default"/>
                      <w:color w:val="auto"/>
                      <w:highlight w:val="none"/>
                      <w:lang w:val="en-US" w:eastAsia="zh-CN"/>
                    </w:rPr>
                  </w:pPr>
                  <w:r>
                    <w:rPr>
                      <w:rFonts w:hint="eastAsia"/>
                      <w:color w:val="auto"/>
                      <w:highlight w:val="none"/>
                      <w:lang w:val="en-US" w:eastAsia="zh-CN"/>
                    </w:rPr>
                    <w:t>0.048</w:t>
                  </w:r>
                </w:p>
              </w:tc>
              <w:tc>
                <w:tcPr>
                  <w:tcW w:w="1169" w:type="pct"/>
                  <w:tcBorders>
                    <w:top w:val="single" w:color="auto" w:sz="4" w:space="0"/>
                    <w:left w:val="single" w:color="auto" w:sz="4" w:space="0"/>
                    <w:bottom w:val="single" w:color="auto" w:sz="4" w:space="0"/>
                    <w:right w:val="single" w:color="auto" w:sz="4" w:space="0"/>
                  </w:tcBorders>
                  <w:shd w:val="clear" w:color="auto" w:fill="auto"/>
                  <w:vAlign w:val="center"/>
                </w:tcPr>
                <w:p w14:paraId="0BA78F41">
                  <w:pPr>
                    <w:pStyle w:val="20"/>
                    <w:bidi w:val="0"/>
                    <w:rPr>
                      <w:rFonts w:hint="default"/>
                      <w:color w:val="auto"/>
                      <w:highlight w:val="none"/>
                      <w:lang w:val="en-US" w:eastAsia="zh-CN"/>
                    </w:rPr>
                  </w:pPr>
                  <w:r>
                    <w:rPr>
                      <w:rFonts w:hint="eastAsia"/>
                      <w:color w:val="auto"/>
                      <w:highlight w:val="none"/>
                      <w:lang w:val="en-US" w:eastAsia="zh-CN"/>
                    </w:rPr>
                    <w:t>市政污水管网</w:t>
                  </w:r>
                </w:p>
              </w:tc>
            </w:tr>
          </w:tbl>
          <w:p w14:paraId="30B15947">
            <w:pPr>
              <w:pStyle w:val="18"/>
              <w:bidi w:val="0"/>
              <w:rPr>
                <w:rFonts w:hint="eastAsia"/>
                <w:color w:val="auto"/>
                <w:highlight w:val="none"/>
                <w:lang w:val="en-US" w:eastAsia="zh-CN"/>
              </w:rPr>
            </w:pPr>
            <w:r>
              <w:rPr>
                <w:rFonts w:hint="eastAsia"/>
                <w:color w:val="auto"/>
                <w:highlight w:val="none"/>
                <w:lang w:val="en-US" w:eastAsia="zh-CN"/>
              </w:rPr>
              <w:t>项目废水污染物源强情况详见下表：</w:t>
            </w:r>
          </w:p>
          <w:p w14:paraId="1529854E">
            <w:pPr>
              <w:pStyle w:val="18"/>
              <w:bidi w:val="0"/>
              <w:rPr>
                <w:rFonts w:hint="eastAsia"/>
                <w:color w:val="auto"/>
                <w:highlight w:val="none"/>
                <w:lang w:val="en-US" w:eastAsia="zh-CN"/>
              </w:rPr>
            </w:pPr>
          </w:p>
          <w:p w14:paraId="252CE9A0">
            <w:pPr>
              <w:pStyle w:val="18"/>
              <w:bidi w:val="0"/>
              <w:rPr>
                <w:rFonts w:hint="eastAsia"/>
                <w:color w:val="auto"/>
                <w:highlight w:val="none"/>
                <w:lang w:val="en-US" w:eastAsia="zh-CN"/>
              </w:rPr>
            </w:pPr>
          </w:p>
          <w:p w14:paraId="4C928672">
            <w:pPr>
              <w:pStyle w:val="18"/>
              <w:bidi w:val="0"/>
              <w:rPr>
                <w:rFonts w:hint="eastAsia"/>
                <w:color w:val="auto"/>
                <w:highlight w:val="none"/>
                <w:lang w:val="en-US" w:eastAsia="zh-CN"/>
              </w:rPr>
            </w:pPr>
          </w:p>
          <w:p w14:paraId="45D0E9D6">
            <w:pPr>
              <w:pStyle w:val="18"/>
              <w:bidi w:val="0"/>
              <w:rPr>
                <w:rFonts w:hint="eastAsia"/>
                <w:color w:val="auto"/>
                <w:highlight w:val="none"/>
                <w:lang w:val="en-US" w:eastAsia="zh-CN"/>
              </w:rPr>
            </w:pPr>
          </w:p>
          <w:p w14:paraId="531D17E8">
            <w:pPr>
              <w:pStyle w:val="18"/>
              <w:bidi w:val="0"/>
              <w:rPr>
                <w:rFonts w:hint="eastAsia"/>
                <w:color w:val="auto"/>
                <w:highlight w:val="none"/>
                <w:lang w:val="en-US" w:eastAsia="zh-CN"/>
              </w:rPr>
            </w:pPr>
          </w:p>
          <w:p w14:paraId="1F06FB9F">
            <w:pPr>
              <w:pStyle w:val="18"/>
              <w:bidi w:val="0"/>
              <w:rPr>
                <w:rFonts w:hint="eastAsia"/>
                <w:color w:val="auto"/>
                <w:highlight w:val="none"/>
                <w:lang w:val="en-US" w:eastAsia="zh-CN"/>
              </w:rPr>
            </w:pPr>
          </w:p>
          <w:p w14:paraId="7990393D">
            <w:pPr>
              <w:pStyle w:val="18"/>
              <w:bidi w:val="0"/>
              <w:rPr>
                <w:rFonts w:hint="eastAsia"/>
                <w:color w:val="auto"/>
                <w:highlight w:val="none"/>
                <w:lang w:val="en-US" w:eastAsia="zh-CN"/>
              </w:rPr>
            </w:pPr>
          </w:p>
          <w:p w14:paraId="78A2F99C">
            <w:pPr>
              <w:pStyle w:val="18"/>
              <w:bidi w:val="0"/>
              <w:rPr>
                <w:rFonts w:hint="eastAsia"/>
                <w:color w:val="auto"/>
                <w:highlight w:val="none"/>
                <w:lang w:val="en-US" w:eastAsia="zh-CN"/>
              </w:rPr>
            </w:pPr>
          </w:p>
          <w:p w14:paraId="646D5ECA">
            <w:pPr>
              <w:pStyle w:val="18"/>
              <w:bidi w:val="0"/>
              <w:rPr>
                <w:rFonts w:hint="eastAsia"/>
                <w:color w:val="auto"/>
                <w:highlight w:val="none"/>
                <w:lang w:val="en-US" w:eastAsia="zh-CN"/>
              </w:rPr>
            </w:pPr>
          </w:p>
          <w:p w14:paraId="3ABE77C5">
            <w:pPr>
              <w:pStyle w:val="18"/>
              <w:bidi w:val="0"/>
              <w:rPr>
                <w:rFonts w:hint="eastAsia"/>
                <w:color w:val="auto"/>
                <w:highlight w:val="none"/>
                <w:lang w:val="en-US" w:eastAsia="zh-CN"/>
              </w:rPr>
            </w:pPr>
          </w:p>
          <w:p w14:paraId="1B64D2D8">
            <w:pPr>
              <w:pStyle w:val="18"/>
              <w:bidi w:val="0"/>
              <w:rPr>
                <w:rFonts w:hint="eastAsia"/>
                <w:color w:val="auto"/>
                <w:highlight w:val="none"/>
                <w:lang w:val="en-US" w:eastAsia="zh-CN"/>
              </w:rPr>
            </w:pPr>
          </w:p>
          <w:p w14:paraId="40D7EE54">
            <w:pPr>
              <w:pStyle w:val="18"/>
              <w:bidi w:val="0"/>
              <w:rPr>
                <w:rFonts w:hint="eastAsia"/>
                <w:color w:val="auto"/>
                <w:highlight w:val="none"/>
                <w:lang w:val="en-US" w:eastAsia="zh-CN"/>
              </w:rPr>
            </w:pPr>
          </w:p>
          <w:p w14:paraId="0C37C71C">
            <w:pPr>
              <w:pStyle w:val="18"/>
              <w:bidi w:val="0"/>
              <w:rPr>
                <w:rFonts w:hint="eastAsia"/>
                <w:color w:val="auto"/>
                <w:highlight w:val="none"/>
                <w:lang w:val="en-US" w:eastAsia="zh-CN"/>
              </w:rPr>
            </w:pPr>
          </w:p>
          <w:p w14:paraId="2873C773">
            <w:pPr>
              <w:pStyle w:val="18"/>
              <w:bidi w:val="0"/>
              <w:rPr>
                <w:rFonts w:hint="eastAsia"/>
                <w:color w:val="auto"/>
                <w:highlight w:val="none"/>
                <w:lang w:val="en-US" w:eastAsia="zh-CN"/>
              </w:rPr>
            </w:pPr>
          </w:p>
          <w:p w14:paraId="503D1ABC">
            <w:pPr>
              <w:pStyle w:val="18"/>
              <w:bidi w:val="0"/>
              <w:rPr>
                <w:rFonts w:hint="eastAsia"/>
                <w:color w:val="auto"/>
                <w:highlight w:val="none"/>
                <w:lang w:val="en-US" w:eastAsia="zh-CN"/>
              </w:rPr>
            </w:pPr>
          </w:p>
          <w:p w14:paraId="7E7331F9">
            <w:pPr>
              <w:pStyle w:val="18"/>
              <w:bidi w:val="0"/>
              <w:rPr>
                <w:rFonts w:hint="eastAsia"/>
                <w:color w:val="auto"/>
                <w:highlight w:val="none"/>
                <w:lang w:val="en-US" w:eastAsia="zh-CN"/>
              </w:rPr>
            </w:pPr>
          </w:p>
          <w:p w14:paraId="0D6D323F">
            <w:pPr>
              <w:pStyle w:val="18"/>
              <w:bidi w:val="0"/>
              <w:rPr>
                <w:rFonts w:hint="eastAsia"/>
                <w:color w:val="auto"/>
                <w:highlight w:val="none"/>
                <w:lang w:val="en-US" w:eastAsia="zh-CN"/>
              </w:rPr>
            </w:pPr>
          </w:p>
          <w:p w14:paraId="404B55C4">
            <w:pPr>
              <w:pStyle w:val="18"/>
              <w:bidi w:val="0"/>
              <w:rPr>
                <w:rFonts w:hint="eastAsia"/>
                <w:color w:val="auto"/>
                <w:highlight w:val="none"/>
                <w:lang w:val="en-US" w:eastAsia="zh-CN"/>
              </w:rPr>
            </w:pPr>
          </w:p>
          <w:p w14:paraId="734BC21B">
            <w:pPr>
              <w:pStyle w:val="18"/>
              <w:bidi w:val="0"/>
              <w:rPr>
                <w:rFonts w:hint="eastAsia"/>
                <w:color w:val="auto"/>
                <w:highlight w:val="none"/>
                <w:lang w:val="en-US" w:eastAsia="zh-CN"/>
              </w:rPr>
            </w:pPr>
          </w:p>
          <w:p w14:paraId="47E9DA82">
            <w:pPr>
              <w:pStyle w:val="18"/>
              <w:bidi w:val="0"/>
              <w:rPr>
                <w:rFonts w:hint="eastAsia"/>
                <w:color w:val="auto"/>
                <w:highlight w:val="none"/>
                <w:lang w:val="en-US" w:eastAsia="zh-CN"/>
              </w:rPr>
            </w:pPr>
          </w:p>
          <w:p w14:paraId="67BB7F13">
            <w:pPr>
              <w:pStyle w:val="18"/>
              <w:bidi w:val="0"/>
              <w:rPr>
                <w:rFonts w:hint="eastAsia"/>
                <w:color w:val="auto"/>
                <w:highlight w:val="none"/>
                <w:lang w:val="en-US" w:eastAsia="zh-CN"/>
              </w:rPr>
            </w:pPr>
          </w:p>
          <w:p w14:paraId="377601B0">
            <w:pPr>
              <w:pStyle w:val="18"/>
              <w:bidi w:val="0"/>
              <w:rPr>
                <w:rFonts w:hint="eastAsia"/>
                <w:color w:val="auto"/>
                <w:highlight w:val="none"/>
                <w:lang w:val="en-US" w:eastAsia="zh-CN"/>
              </w:rPr>
            </w:pPr>
          </w:p>
        </w:tc>
      </w:tr>
    </w:tbl>
    <w:p w14:paraId="07492227">
      <w:pPr>
        <w:keepNext w:val="0"/>
        <w:keepLines w:val="0"/>
        <w:pageBreakBefore w:val="0"/>
        <w:widowControl w:val="0"/>
        <w:kinsoku/>
        <w:wordWrap/>
        <w:overflowPunct/>
        <w:topLinePunct w:val="0"/>
        <w:autoSpaceDE/>
        <w:autoSpaceDN/>
        <w:bidi w:val="0"/>
        <w:adjustRightInd/>
        <w:snapToGrid/>
        <w:textAlignment w:val="auto"/>
        <w:outlineLvl w:val="0"/>
        <w:rPr>
          <w:rFonts w:hint="eastAsia"/>
          <w:color w:val="auto"/>
          <w:sz w:val="2"/>
          <w:szCs w:val="2"/>
          <w:highlight w:val="none"/>
          <w:lang w:val="en-US" w:eastAsia="zh-CN"/>
        </w:rPr>
        <w:sectPr>
          <w:pgSz w:w="11906" w:h="16838"/>
          <w:pgMar w:top="1440" w:right="1463" w:bottom="1440" w:left="1463" w:header="720" w:footer="720" w:gutter="0"/>
          <w:cols w:space="425" w:num="1"/>
          <w:docGrid w:type="lines" w:linePitch="312" w:charSpace="0"/>
        </w:sectPr>
      </w:pPr>
      <w:r>
        <w:rPr>
          <w:rFonts w:hint="eastAsia"/>
          <w:color w:val="auto"/>
          <w:sz w:val="2"/>
          <w:szCs w:val="2"/>
          <w:highlight w:val="none"/>
          <w:lang w:val="en-US" w:eastAsia="zh-CN"/>
        </w:rPr>
        <w:t>废水</w:t>
      </w:r>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2"/>
        <w:gridCol w:w="14845"/>
      </w:tblGrid>
      <w:tr w14:paraId="3C65E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4" w:type="pct"/>
            <w:tcMar>
              <w:top w:w="0" w:type="dxa"/>
              <w:left w:w="57" w:type="dxa"/>
              <w:bottom w:w="0" w:type="dxa"/>
              <w:right w:w="57" w:type="dxa"/>
            </w:tcMar>
          </w:tcPr>
          <w:p w14:paraId="169D842E">
            <w:pPr>
              <w:rPr>
                <w:color w:val="auto"/>
                <w:highlight w:val="none"/>
              </w:rPr>
            </w:pPr>
          </w:p>
        </w:tc>
        <w:tc>
          <w:tcPr>
            <w:tcW w:w="4845" w:type="pct"/>
            <w:tcMar>
              <w:top w:w="0" w:type="dxa"/>
              <w:left w:w="57" w:type="dxa"/>
              <w:bottom w:w="0" w:type="dxa"/>
              <w:right w:w="57" w:type="dxa"/>
            </w:tcMar>
          </w:tcPr>
          <w:p w14:paraId="1591C5FE">
            <w:pPr>
              <w:pStyle w:val="19"/>
              <w:spacing w:before="156"/>
              <w:rPr>
                <w:color w:val="auto"/>
                <w:highlight w:val="none"/>
              </w:rPr>
            </w:pPr>
            <w:bookmarkStart w:id="40" w:name="_Ref20833"/>
            <w:bookmarkStart w:id="41" w:name="_Ref28237"/>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11</w:t>
            </w:r>
            <w:r>
              <w:rPr>
                <w:color w:val="auto"/>
                <w:highlight w:val="none"/>
              </w:rPr>
              <w:fldChar w:fldCharType="end"/>
            </w:r>
            <w:bookmarkEnd w:id="40"/>
            <w:r>
              <w:rPr>
                <w:rFonts w:hint="eastAsia"/>
                <w:color w:val="auto"/>
                <w:highlight w:val="none"/>
              </w:rPr>
              <w:t xml:space="preserve">  项目废水污染源</w:t>
            </w:r>
            <w:r>
              <w:rPr>
                <w:rFonts w:hint="eastAsia"/>
                <w:color w:val="auto"/>
                <w:highlight w:val="none"/>
                <w:lang w:val="en-US" w:eastAsia="zh-CN"/>
              </w:rPr>
              <w:t>强</w:t>
            </w:r>
            <w:r>
              <w:rPr>
                <w:rFonts w:hint="eastAsia"/>
                <w:color w:val="auto"/>
                <w:highlight w:val="none"/>
              </w:rPr>
              <w:t>核算结果及相关参数一览表</w:t>
            </w:r>
            <w:bookmarkEnd w:id="41"/>
          </w:p>
          <w:tbl>
            <w:tblPr>
              <w:tblStyle w:val="14"/>
              <w:tblW w:w="49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61"/>
              <w:gridCol w:w="938"/>
              <w:gridCol w:w="630"/>
              <w:gridCol w:w="1290"/>
              <w:gridCol w:w="1498"/>
              <w:gridCol w:w="1157"/>
              <w:gridCol w:w="1350"/>
              <w:gridCol w:w="1035"/>
              <w:gridCol w:w="833"/>
              <w:gridCol w:w="1312"/>
              <w:gridCol w:w="1095"/>
              <w:gridCol w:w="1575"/>
              <w:gridCol w:w="1118"/>
              <w:gridCol w:w="3"/>
            </w:tblGrid>
            <w:tr w14:paraId="690BB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92" w:type="pct"/>
                  <w:vMerge w:val="restart"/>
                  <w:tcMar>
                    <w:top w:w="0" w:type="dxa"/>
                    <w:left w:w="57" w:type="dxa"/>
                    <w:bottom w:w="0" w:type="dxa"/>
                    <w:right w:w="57" w:type="dxa"/>
                  </w:tcMar>
                  <w:vAlign w:val="center"/>
                </w:tcPr>
                <w:p w14:paraId="16BBFC41">
                  <w:pPr>
                    <w:pStyle w:val="20"/>
                    <w:bidi w:val="0"/>
                    <w:rPr>
                      <w:b/>
                      <w:bCs/>
                      <w:color w:val="auto"/>
                      <w:highlight w:val="none"/>
                    </w:rPr>
                  </w:pPr>
                  <w:r>
                    <w:rPr>
                      <w:rFonts w:hint="eastAsia"/>
                      <w:b/>
                      <w:bCs/>
                      <w:color w:val="auto"/>
                      <w:highlight w:val="none"/>
                    </w:rPr>
                    <w:t>类别</w:t>
                  </w:r>
                </w:p>
              </w:tc>
              <w:tc>
                <w:tcPr>
                  <w:tcW w:w="319" w:type="pct"/>
                  <w:vMerge w:val="restart"/>
                  <w:tcMar>
                    <w:top w:w="0" w:type="dxa"/>
                    <w:left w:w="57" w:type="dxa"/>
                    <w:bottom w:w="0" w:type="dxa"/>
                    <w:right w:w="57" w:type="dxa"/>
                  </w:tcMar>
                  <w:vAlign w:val="center"/>
                </w:tcPr>
                <w:p w14:paraId="26EC29AF">
                  <w:pPr>
                    <w:pStyle w:val="20"/>
                    <w:bidi w:val="0"/>
                    <w:rPr>
                      <w:rFonts w:hint="default"/>
                      <w:b/>
                      <w:bCs/>
                      <w:color w:val="auto"/>
                      <w:highlight w:val="none"/>
                      <w:lang w:val="en-US" w:eastAsia="zh-CN"/>
                    </w:rPr>
                  </w:pPr>
                  <w:r>
                    <w:rPr>
                      <w:rFonts w:hint="eastAsia"/>
                      <w:b/>
                      <w:bCs/>
                      <w:color w:val="auto"/>
                      <w:highlight w:val="none"/>
                    </w:rPr>
                    <w:t>废水量</w:t>
                  </w:r>
                  <w:r>
                    <w:rPr>
                      <w:rFonts w:hint="eastAsia"/>
                      <w:b/>
                      <w:bCs/>
                      <w:color w:val="auto"/>
                      <w:highlight w:val="none"/>
                      <w:lang w:val="en-US" w:eastAsia="zh-CN"/>
                    </w:rPr>
                    <w:t>t/a</w:t>
                  </w:r>
                </w:p>
              </w:tc>
              <w:tc>
                <w:tcPr>
                  <w:tcW w:w="214" w:type="pct"/>
                  <w:vMerge w:val="restart"/>
                  <w:tcMar>
                    <w:top w:w="0" w:type="dxa"/>
                    <w:left w:w="57" w:type="dxa"/>
                    <w:bottom w:w="0" w:type="dxa"/>
                    <w:right w:w="57" w:type="dxa"/>
                  </w:tcMar>
                  <w:vAlign w:val="center"/>
                </w:tcPr>
                <w:p w14:paraId="0EF490E8">
                  <w:pPr>
                    <w:pStyle w:val="20"/>
                    <w:bidi w:val="0"/>
                    <w:rPr>
                      <w:b/>
                      <w:bCs/>
                      <w:color w:val="auto"/>
                      <w:highlight w:val="none"/>
                    </w:rPr>
                  </w:pPr>
                  <w:r>
                    <w:rPr>
                      <w:rFonts w:hint="eastAsia"/>
                      <w:b/>
                      <w:bCs/>
                      <w:color w:val="auto"/>
                      <w:highlight w:val="none"/>
                    </w:rPr>
                    <w:t>核算方法</w:t>
                  </w:r>
                </w:p>
              </w:tc>
              <w:tc>
                <w:tcPr>
                  <w:tcW w:w="1342" w:type="pct"/>
                  <w:gridSpan w:val="3"/>
                  <w:tcMar>
                    <w:top w:w="0" w:type="dxa"/>
                    <w:left w:w="57" w:type="dxa"/>
                    <w:bottom w:w="0" w:type="dxa"/>
                    <w:right w:w="57" w:type="dxa"/>
                  </w:tcMar>
                  <w:vAlign w:val="center"/>
                </w:tcPr>
                <w:p w14:paraId="4849BD77">
                  <w:pPr>
                    <w:pStyle w:val="20"/>
                    <w:bidi w:val="0"/>
                    <w:rPr>
                      <w:b/>
                      <w:bCs/>
                      <w:color w:val="auto"/>
                      <w:highlight w:val="none"/>
                    </w:rPr>
                  </w:pPr>
                  <w:r>
                    <w:rPr>
                      <w:rFonts w:hint="eastAsia"/>
                      <w:b/>
                      <w:bCs/>
                      <w:color w:val="auto"/>
                      <w:highlight w:val="none"/>
                    </w:rPr>
                    <w:t>产生情况</w:t>
                  </w:r>
                </w:p>
              </w:tc>
              <w:tc>
                <w:tcPr>
                  <w:tcW w:w="1094" w:type="pct"/>
                  <w:gridSpan w:val="3"/>
                  <w:tcMar>
                    <w:top w:w="0" w:type="dxa"/>
                    <w:left w:w="57" w:type="dxa"/>
                    <w:bottom w:w="0" w:type="dxa"/>
                    <w:right w:w="57" w:type="dxa"/>
                  </w:tcMar>
                  <w:vAlign w:val="center"/>
                </w:tcPr>
                <w:p w14:paraId="672ECE53">
                  <w:pPr>
                    <w:pStyle w:val="20"/>
                    <w:bidi w:val="0"/>
                    <w:rPr>
                      <w:rFonts w:hint="eastAsia"/>
                      <w:b/>
                      <w:bCs/>
                      <w:color w:val="auto"/>
                      <w:highlight w:val="none"/>
                    </w:rPr>
                  </w:pPr>
                  <w:r>
                    <w:rPr>
                      <w:rFonts w:hint="eastAsia"/>
                      <w:b/>
                      <w:bCs/>
                      <w:color w:val="auto"/>
                      <w:highlight w:val="none"/>
                    </w:rPr>
                    <w:t>治理设施</w:t>
                  </w:r>
                </w:p>
              </w:tc>
              <w:tc>
                <w:tcPr>
                  <w:tcW w:w="1736" w:type="pct"/>
                  <w:gridSpan w:val="5"/>
                  <w:tcMar>
                    <w:top w:w="0" w:type="dxa"/>
                    <w:left w:w="57" w:type="dxa"/>
                    <w:bottom w:w="0" w:type="dxa"/>
                    <w:right w:w="57" w:type="dxa"/>
                  </w:tcMar>
                  <w:vAlign w:val="center"/>
                </w:tcPr>
                <w:p w14:paraId="48EA3280">
                  <w:pPr>
                    <w:pStyle w:val="20"/>
                    <w:bidi w:val="0"/>
                    <w:rPr>
                      <w:rFonts w:hint="eastAsia"/>
                      <w:b/>
                      <w:bCs/>
                      <w:color w:val="auto"/>
                      <w:highlight w:val="none"/>
                    </w:rPr>
                  </w:pPr>
                  <w:r>
                    <w:rPr>
                      <w:rFonts w:hint="eastAsia"/>
                      <w:b/>
                      <w:bCs/>
                      <w:color w:val="auto"/>
                      <w:highlight w:val="none"/>
                    </w:rPr>
                    <w:t>排放情况</w:t>
                  </w:r>
                </w:p>
              </w:tc>
            </w:tr>
            <w:tr w14:paraId="7F4EA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92" w:type="pct"/>
                  <w:vMerge w:val="continue"/>
                  <w:tcMar>
                    <w:top w:w="0" w:type="dxa"/>
                    <w:left w:w="57" w:type="dxa"/>
                    <w:bottom w:w="0" w:type="dxa"/>
                    <w:right w:w="57" w:type="dxa"/>
                  </w:tcMar>
                  <w:vAlign w:val="center"/>
                </w:tcPr>
                <w:p w14:paraId="6952045E">
                  <w:pPr>
                    <w:pStyle w:val="20"/>
                    <w:bidi w:val="0"/>
                    <w:rPr>
                      <w:b/>
                      <w:bCs/>
                      <w:color w:val="auto"/>
                      <w:highlight w:val="none"/>
                    </w:rPr>
                  </w:pPr>
                </w:p>
              </w:tc>
              <w:tc>
                <w:tcPr>
                  <w:tcW w:w="319" w:type="pct"/>
                  <w:vMerge w:val="continue"/>
                  <w:tcMar>
                    <w:top w:w="0" w:type="dxa"/>
                    <w:left w:w="57" w:type="dxa"/>
                    <w:bottom w:w="0" w:type="dxa"/>
                    <w:right w:w="57" w:type="dxa"/>
                  </w:tcMar>
                  <w:vAlign w:val="center"/>
                </w:tcPr>
                <w:p w14:paraId="1799D80D">
                  <w:pPr>
                    <w:pStyle w:val="20"/>
                    <w:bidi w:val="0"/>
                    <w:rPr>
                      <w:b/>
                      <w:bCs/>
                      <w:color w:val="auto"/>
                      <w:highlight w:val="none"/>
                    </w:rPr>
                  </w:pPr>
                </w:p>
              </w:tc>
              <w:tc>
                <w:tcPr>
                  <w:tcW w:w="214" w:type="pct"/>
                  <w:vMerge w:val="continue"/>
                  <w:tcMar>
                    <w:top w:w="0" w:type="dxa"/>
                    <w:left w:w="57" w:type="dxa"/>
                    <w:bottom w:w="0" w:type="dxa"/>
                    <w:right w:w="57" w:type="dxa"/>
                  </w:tcMar>
                  <w:vAlign w:val="center"/>
                </w:tcPr>
                <w:p w14:paraId="4FF6E146">
                  <w:pPr>
                    <w:pStyle w:val="20"/>
                    <w:bidi w:val="0"/>
                    <w:rPr>
                      <w:b/>
                      <w:bCs/>
                      <w:color w:val="auto"/>
                      <w:highlight w:val="none"/>
                    </w:rPr>
                  </w:pPr>
                </w:p>
              </w:tc>
              <w:tc>
                <w:tcPr>
                  <w:tcW w:w="438" w:type="pct"/>
                  <w:tcMar>
                    <w:top w:w="0" w:type="dxa"/>
                    <w:left w:w="57" w:type="dxa"/>
                    <w:bottom w:w="0" w:type="dxa"/>
                    <w:right w:w="57" w:type="dxa"/>
                  </w:tcMar>
                  <w:vAlign w:val="center"/>
                </w:tcPr>
                <w:p w14:paraId="73D122FA">
                  <w:pPr>
                    <w:pStyle w:val="20"/>
                    <w:bidi w:val="0"/>
                    <w:rPr>
                      <w:b/>
                      <w:bCs/>
                      <w:color w:val="auto"/>
                      <w:highlight w:val="none"/>
                    </w:rPr>
                  </w:pPr>
                  <w:r>
                    <w:rPr>
                      <w:rFonts w:hint="eastAsia"/>
                      <w:b/>
                      <w:bCs/>
                      <w:color w:val="auto"/>
                      <w:highlight w:val="none"/>
                    </w:rPr>
                    <w:t>污染物指标</w:t>
                  </w:r>
                </w:p>
              </w:tc>
              <w:tc>
                <w:tcPr>
                  <w:tcW w:w="509" w:type="pct"/>
                  <w:tcMar>
                    <w:top w:w="0" w:type="dxa"/>
                    <w:left w:w="57" w:type="dxa"/>
                    <w:bottom w:w="0" w:type="dxa"/>
                    <w:right w:w="57" w:type="dxa"/>
                  </w:tcMar>
                  <w:vAlign w:val="center"/>
                </w:tcPr>
                <w:p w14:paraId="61434514">
                  <w:pPr>
                    <w:pStyle w:val="20"/>
                    <w:bidi w:val="0"/>
                    <w:rPr>
                      <w:b/>
                      <w:bCs/>
                      <w:color w:val="auto"/>
                      <w:highlight w:val="none"/>
                    </w:rPr>
                  </w:pPr>
                  <w:r>
                    <w:rPr>
                      <w:rFonts w:hint="eastAsia"/>
                      <w:b/>
                      <w:bCs/>
                      <w:color w:val="auto"/>
                      <w:highlight w:val="none"/>
                    </w:rPr>
                    <w:t>产生浓度mg/</w:t>
                  </w:r>
                  <w:r>
                    <w:rPr>
                      <w:b/>
                      <w:bCs/>
                      <w:color w:val="auto"/>
                      <w:highlight w:val="none"/>
                    </w:rPr>
                    <w:t>L</w:t>
                  </w:r>
                </w:p>
              </w:tc>
              <w:tc>
                <w:tcPr>
                  <w:tcW w:w="393" w:type="pct"/>
                  <w:tcMar>
                    <w:top w:w="0" w:type="dxa"/>
                    <w:left w:w="57" w:type="dxa"/>
                    <w:bottom w:w="0" w:type="dxa"/>
                    <w:right w:w="57" w:type="dxa"/>
                  </w:tcMar>
                  <w:vAlign w:val="center"/>
                </w:tcPr>
                <w:p w14:paraId="79DA070D">
                  <w:pPr>
                    <w:pStyle w:val="20"/>
                    <w:bidi w:val="0"/>
                    <w:rPr>
                      <w:b/>
                      <w:bCs/>
                      <w:color w:val="auto"/>
                      <w:highlight w:val="none"/>
                    </w:rPr>
                  </w:pPr>
                  <w:r>
                    <w:rPr>
                      <w:rFonts w:hint="eastAsia"/>
                      <w:b/>
                      <w:bCs/>
                      <w:color w:val="auto"/>
                      <w:highlight w:val="none"/>
                    </w:rPr>
                    <w:t>产生量t/a</w:t>
                  </w:r>
                </w:p>
              </w:tc>
              <w:tc>
                <w:tcPr>
                  <w:tcW w:w="459" w:type="pct"/>
                  <w:tcMar>
                    <w:top w:w="0" w:type="dxa"/>
                    <w:left w:w="57" w:type="dxa"/>
                    <w:bottom w:w="0" w:type="dxa"/>
                    <w:right w:w="57" w:type="dxa"/>
                  </w:tcMar>
                  <w:vAlign w:val="center"/>
                </w:tcPr>
                <w:p w14:paraId="67475210">
                  <w:pPr>
                    <w:pStyle w:val="20"/>
                    <w:bidi w:val="0"/>
                    <w:rPr>
                      <w:b/>
                      <w:bCs/>
                      <w:color w:val="auto"/>
                      <w:highlight w:val="none"/>
                    </w:rPr>
                  </w:pPr>
                  <w:r>
                    <w:rPr>
                      <w:rFonts w:hint="eastAsia"/>
                      <w:b/>
                      <w:bCs/>
                      <w:color w:val="auto"/>
                      <w:highlight w:val="none"/>
                    </w:rPr>
                    <w:t>治理工艺</w:t>
                  </w:r>
                </w:p>
              </w:tc>
              <w:tc>
                <w:tcPr>
                  <w:tcW w:w="352" w:type="pct"/>
                  <w:tcMar>
                    <w:top w:w="0" w:type="dxa"/>
                    <w:left w:w="57" w:type="dxa"/>
                    <w:bottom w:w="0" w:type="dxa"/>
                    <w:right w:w="57" w:type="dxa"/>
                  </w:tcMar>
                  <w:vAlign w:val="center"/>
                </w:tcPr>
                <w:p w14:paraId="5FB05147">
                  <w:pPr>
                    <w:pStyle w:val="20"/>
                    <w:bidi w:val="0"/>
                    <w:rPr>
                      <w:b/>
                      <w:bCs/>
                      <w:color w:val="auto"/>
                      <w:highlight w:val="none"/>
                    </w:rPr>
                  </w:pPr>
                  <w:r>
                    <w:rPr>
                      <w:rFonts w:hint="eastAsia"/>
                      <w:b/>
                      <w:bCs/>
                      <w:color w:val="auto"/>
                      <w:highlight w:val="none"/>
                    </w:rPr>
                    <w:t>是否可行</w:t>
                  </w:r>
                </w:p>
              </w:tc>
              <w:tc>
                <w:tcPr>
                  <w:tcW w:w="283" w:type="pct"/>
                  <w:tcMar>
                    <w:top w:w="0" w:type="dxa"/>
                    <w:left w:w="57" w:type="dxa"/>
                    <w:bottom w:w="0" w:type="dxa"/>
                    <w:right w:w="57" w:type="dxa"/>
                  </w:tcMar>
                  <w:vAlign w:val="center"/>
                </w:tcPr>
                <w:p w14:paraId="4C00A68F">
                  <w:pPr>
                    <w:pStyle w:val="20"/>
                    <w:bidi w:val="0"/>
                    <w:rPr>
                      <w:b/>
                      <w:bCs/>
                      <w:color w:val="auto"/>
                      <w:highlight w:val="none"/>
                    </w:rPr>
                  </w:pPr>
                  <w:r>
                    <w:rPr>
                      <w:rFonts w:hint="eastAsia"/>
                      <w:b/>
                      <w:bCs/>
                      <w:color w:val="auto"/>
                      <w:highlight w:val="none"/>
                    </w:rPr>
                    <w:t>去除率</w:t>
                  </w:r>
                </w:p>
              </w:tc>
              <w:tc>
                <w:tcPr>
                  <w:tcW w:w="446" w:type="pct"/>
                  <w:tcMar>
                    <w:top w:w="0" w:type="dxa"/>
                    <w:left w:w="57" w:type="dxa"/>
                    <w:bottom w:w="0" w:type="dxa"/>
                    <w:right w:w="57" w:type="dxa"/>
                  </w:tcMar>
                  <w:vAlign w:val="center"/>
                </w:tcPr>
                <w:p w14:paraId="7D986E40">
                  <w:pPr>
                    <w:pStyle w:val="20"/>
                    <w:bidi w:val="0"/>
                    <w:rPr>
                      <w:b/>
                      <w:bCs/>
                      <w:color w:val="auto"/>
                      <w:highlight w:val="none"/>
                    </w:rPr>
                  </w:pPr>
                  <w:r>
                    <w:rPr>
                      <w:rFonts w:hint="eastAsia"/>
                      <w:b/>
                      <w:bCs/>
                      <w:color w:val="auto"/>
                      <w:highlight w:val="none"/>
                    </w:rPr>
                    <w:t>浓度mg/</w:t>
                  </w:r>
                  <w:r>
                    <w:rPr>
                      <w:b/>
                      <w:bCs/>
                      <w:color w:val="auto"/>
                      <w:highlight w:val="none"/>
                    </w:rPr>
                    <w:t>L</w:t>
                  </w:r>
                </w:p>
              </w:tc>
              <w:tc>
                <w:tcPr>
                  <w:tcW w:w="372" w:type="pct"/>
                  <w:tcMar>
                    <w:top w:w="0" w:type="dxa"/>
                    <w:left w:w="57" w:type="dxa"/>
                    <w:bottom w:w="0" w:type="dxa"/>
                    <w:right w:w="57" w:type="dxa"/>
                  </w:tcMar>
                  <w:vAlign w:val="center"/>
                </w:tcPr>
                <w:p w14:paraId="1ED13808">
                  <w:pPr>
                    <w:pStyle w:val="20"/>
                    <w:bidi w:val="0"/>
                    <w:rPr>
                      <w:b/>
                      <w:bCs/>
                      <w:color w:val="auto"/>
                      <w:highlight w:val="none"/>
                    </w:rPr>
                  </w:pPr>
                  <w:r>
                    <w:rPr>
                      <w:rFonts w:hint="eastAsia"/>
                      <w:b/>
                      <w:bCs/>
                      <w:color w:val="auto"/>
                      <w:highlight w:val="none"/>
                    </w:rPr>
                    <w:t>排放量t/a</w:t>
                  </w:r>
                </w:p>
              </w:tc>
              <w:tc>
                <w:tcPr>
                  <w:tcW w:w="535" w:type="pct"/>
                  <w:tcMar>
                    <w:top w:w="0" w:type="dxa"/>
                    <w:left w:w="57" w:type="dxa"/>
                    <w:bottom w:w="0" w:type="dxa"/>
                    <w:right w:w="57" w:type="dxa"/>
                  </w:tcMar>
                  <w:vAlign w:val="center"/>
                </w:tcPr>
                <w:p w14:paraId="770FF474">
                  <w:pPr>
                    <w:pStyle w:val="20"/>
                    <w:bidi w:val="0"/>
                    <w:rPr>
                      <w:rFonts w:hint="default"/>
                      <w:b/>
                      <w:bCs/>
                      <w:color w:val="auto"/>
                      <w:highlight w:val="none"/>
                      <w:lang w:val="en-US" w:eastAsia="zh-CN"/>
                    </w:rPr>
                  </w:pPr>
                  <w:r>
                    <w:rPr>
                      <w:rFonts w:hint="eastAsia"/>
                      <w:b/>
                      <w:bCs/>
                      <w:color w:val="auto"/>
                      <w:highlight w:val="none"/>
                    </w:rPr>
                    <w:t>执行标准mg/</w:t>
                  </w:r>
                  <w:r>
                    <w:rPr>
                      <w:b/>
                      <w:bCs/>
                      <w:color w:val="auto"/>
                      <w:highlight w:val="none"/>
                    </w:rPr>
                    <w:t>L</w:t>
                  </w:r>
                </w:p>
              </w:tc>
              <w:tc>
                <w:tcPr>
                  <w:tcW w:w="381" w:type="pct"/>
                  <w:gridSpan w:val="2"/>
                  <w:tcMar>
                    <w:top w:w="0" w:type="dxa"/>
                    <w:left w:w="57" w:type="dxa"/>
                    <w:bottom w:w="0" w:type="dxa"/>
                    <w:right w:w="57" w:type="dxa"/>
                  </w:tcMar>
                  <w:vAlign w:val="center"/>
                </w:tcPr>
                <w:p w14:paraId="71B56116">
                  <w:pPr>
                    <w:pStyle w:val="20"/>
                    <w:bidi w:val="0"/>
                    <w:rPr>
                      <w:rFonts w:hint="eastAsia"/>
                      <w:b/>
                      <w:bCs/>
                      <w:color w:val="auto"/>
                      <w:highlight w:val="none"/>
                    </w:rPr>
                  </w:pPr>
                  <w:r>
                    <w:rPr>
                      <w:rFonts w:hint="eastAsia"/>
                      <w:b/>
                      <w:bCs/>
                      <w:color w:val="auto"/>
                      <w:highlight w:val="none"/>
                    </w:rPr>
                    <w:t>达标分析</w:t>
                  </w:r>
                </w:p>
              </w:tc>
            </w:tr>
            <w:tr w14:paraId="0BC23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92" w:type="pct"/>
                  <w:vMerge w:val="restart"/>
                  <w:vAlign w:val="center"/>
                </w:tcPr>
                <w:p w14:paraId="4374EC85">
                  <w:pPr>
                    <w:pStyle w:val="20"/>
                    <w:bidi w:val="0"/>
                    <w:rPr>
                      <w:rFonts w:hint="eastAsia"/>
                      <w:color w:val="auto"/>
                      <w:highlight w:val="none"/>
                      <w:lang w:val="en-US" w:eastAsia="zh-CN"/>
                    </w:rPr>
                  </w:pPr>
                  <w:r>
                    <w:rPr>
                      <w:rFonts w:hint="eastAsia"/>
                      <w:color w:val="auto"/>
                      <w:highlight w:val="none"/>
                    </w:rPr>
                    <w:t>生活污水</w:t>
                  </w:r>
                  <w:r>
                    <w:rPr>
                      <w:rFonts w:hint="eastAsia"/>
                      <w:color w:val="auto"/>
                      <w:highlight w:val="none"/>
                      <w:lang w:val="en-US" w:eastAsia="zh-CN"/>
                    </w:rPr>
                    <w:t>+</w:t>
                  </w:r>
                  <w:r>
                    <w:rPr>
                      <w:rFonts w:hint="eastAsia"/>
                      <w:color w:val="auto"/>
                      <w:highlight w:val="none"/>
                    </w:rPr>
                    <w:t>地面清洁</w:t>
                  </w:r>
                  <w:r>
                    <w:rPr>
                      <w:rFonts w:hint="eastAsia"/>
                      <w:color w:val="auto"/>
                      <w:highlight w:val="none"/>
                      <w:lang w:val="en-US" w:eastAsia="zh-CN"/>
                    </w:rPr>
                    <w:t>废水</w:t>
                  </w:r>
                </w:p>
              </w:tc>
              <w:tc>
                <w:tcPr>
                  <w:tcW w:w="319" w:type="pct"/>
                  <w:vMerge w:val="restart"/>
                  <w:vAlign w:val="center"/>
                </w:tcPr>
                <w:p w14:paraId="188FB678">
                  <w:pPr>
                    <w:pStyle w:val="20"/>
                    <w:bidi w:val="0"/>
                    <w:rPr>
                      <w:rFonts w:hint="default"/>
                      <w:color w:val="auto"/>
                      <w:highlight w:val="none"/>
                      <w:lang w:val="en-US" w:eastAsia="zh-CN"/>
                    </w:rPr>
                  </w:pPr>
                  <w:r>
                    <w:rPr>
                      <w:rFonts w:hint="eastAsia"/>
                      <w:color w:val="auto"/>
                      <w:highlight w:val="none"/>
                      <w:lang w:val="en-US" w:eastAsia="zh-CN"/>
                    </w:rPr>
                    <w:t>1035</w:t>
                  </w:r>
                </w:p>
              </w:tc>
              <w:tc>
                <w:tcPr>
                  <w:tcW w:w="214" w:type="pct"/>
                  <w:vMerge w:val="restart"/>
                  <w:vAlign w:val="center"/>
                </w:tcPr>
                <w:p w14:paraId="78A17CC0">
                  <w:pPr>
                    <w:pStyle w:val="20"/>
                    <w:bidi w:val="0"/>
                    <w:rPr>
                      <w:rFonts w:hint="eastAsia"/>
                      <w:color w:val="auto"/>
                      <w:highlight w:val="none"/>
                      <w:lang w:val="en-US" w:eastAsia="zh-CN"/>
                    </w:rPr>
                  </w:pPr>
                  <w:r>
                    <w:rPr>
                      <w:rFonts w:hint="eastAsia"/>
                      <w:color w:val="auto"/>
                      <w:highlight w:val="none"/>
                      <w:lang w:val="en-US" w:eastAsia="zh-CN"/>
                    </w:rPr>
                    <w:t>类比法</w:t>
                  </w:r>
                </w:p>
              </w:tc>
              <w:tc>
                <w:tcPr>
                  <w:tcW w:w="438" w:type="pct"/>
                  <w:shd w:val="clear" w:color="auto" w:fill="auto"/>
                  <w:vAlign w:val="center"/>
                </w:tcPr>
                <w:p w14:paraId="48D71387">
                  <w:pPr>
                    <w:pStyle w:val="20"/>
                    <w:bidi w:val="0"/>
                    <w:rPr>
                      <w:rFonts w:hint="eastAsia"/>
                      <w:color w:val="auto"/>
                      <w:highlight w:val="none"/>
                      <w:lang w:val="en-US" w:eastAsia="zh-CN"/>
                    </w:rPr>
                  </w:pPr>
                  <w:r>
                    <w:rPr>
                      <w:rFonts w:hint="eastAsia"/>
                      <w:color w:val="auto"/>
                      <w:highlight w:val="none"/>
                    </w:rPr>
                    <w:t>pH</w:t>
                  </w:r>
                  <w:r>
                    <w:rPr>
                      <w:rFonts w:hint="eastAsia"/>
                      <w:color w:val="auto"/>
                      <w:highlight w:val="none"/>
                      <w:lang w:eastAsia="zh-CN"/>
                    </w:rPr>
                    <w:t>（</w:t>
                  </w:r>
                  <w:r>
                    <w:rPr>
                      <w:rFonts w:hint="eastAsia"/>
                      <w:color w:val="auto"/>
                      <w:highlight w:val="none"/>
                      <w:lang w:val="en-US" w:eastAsia="zh-CN"/>
                    </w:rPr>
                    <w:t>无量纲）</w:t>
                  </w:r>
                </w:p>
              </w:tc>
              <w:tc>
                <w:tcPr>
                  <w:tcW w:w="509" w:type="pct"/>
                  <w:vAlign w:val="center"/>
                </w:tcPr>
                <w:p w14:paraId="386331DF">
                  <w:pPr>
                    <w:pStyle w:val="20"/>
                    <w:bidi w:val="0"/>
                    <w:rPr>
                      <w:color w:val="auto"/>
                      <w:highlight w:val="none"/>
                    </w:rPr>
                  </w:pPr>
                  <w:r>
                    <w:rPr>
                      <w:rFonts w:hint="eastAsia"/>
                      <w:color w:val="auto"/>
                      <w:highlight w:val="none"/>
                    </w:rPr>
                    <w:t>/</w:t>
                  </w:r>
                </w:p>
              </w:tc>
              <w:tc>
                <w:tcPr>
                  <w:tcW w:w="393" w:type="pct"/>
                  <w:vAlign w:val="center"/>
                </w:tcPr>
                <w:p w14:paraId="2D6C64CF">
                  <w:pPr>
                    <w:pStyle w:val="20"/>
                    <w:bidi w:val="0"/>
                    <w:rPr>
                      <w:rFonts w:hint="eastAsia"/>
                      <w:color w:val="auto"/>
                      <w:highlight w:val="none"/>
                      <w:lang w:val="en-US" w:eastAsia="zh-CN"/>
                    </w:rPr>
                  </w:pPr>
                  <w:r>
                    <w:rPr>
                      <w:rFonts w:hint="eastAsia"/>
                      <w:color w:val="auto"/>
                      <w:highlight w:val="none"/>
                      <w:lang w:val="en-US" w:eastAsia="zh-CN"/>
                    </w:rPr>
                    <w:t>/</w:t>
                  </w:r>
                </w:p>
              </w:tc>
              <w:tc>
                <w:tcPr>
                  <w:tcW w:w="459" w:type="pct"/>
                  <w:vMerge w:val="restart"/>
                  <w:vAlign w:val="center"/>
                </w:tcPr>
                <w:p w14:paraId="2BE92714">
                  <w:pPr>
                    <w:pStyle w:val="20"/>
                    <w:bidi w:val="0"/>
                    <w:rPr>
                      <w:rFonts w:hint="default"/>
                      <w:color w:val="auto"/>
                      <w:highlight w:val="none"/>
                      <w:lang w:val="en-US" w:eastAsia="zh-CN"/>
                    </w:rPr>
                  </w:pPr>
                  <w:r>
                    <w:rPr>
                      <w:rFonts w:hint="eastAsia"/>
                      <w:color w:val="auto"/>
                      <w:highlight w:val="none"/>
                      <w:lang w:val="en-US" w:eastAsia="zh-CN"/>
                    </w:rPr>
                    <w:t>厌氧生化池</w:t>
                  </w:r>
                </w:p>
              </w:tc>
              <w:tc>
                <w:tcPr>
                  <w:tcW w:w="352" w:type="pct"/>
                  <w:vMerge w:val="restart"/>
                  <w:vAlign w:val="center"/>
                </w:tcPr>
                <w:p w14:paraId="7BACCA20">
                  <w:pPr>
                    <w:pStyle w:val="20"/>
                    <w:bidi w:val="0"/>
                    <w:rPr>
                      <w:rFonts w:hint="default"/>
                      <w:color w:val="auto"/>
                      <w:highlight w:val="none"/>
                      <w:lang w:val="en-US" w:eastAsia="zh-CN"/>
                    </w:rPr>
                  </w:pPr>
                  <w:r>
                    <w:rPr>
                      <w:rFonts w:hint="eastAsia"/>
                      <w:color w:val="auto"/>
                      <w:highlight w:val="none"/>
                      <w:lang w:val="en-US" w:eastAsia="zh-CN"/>
                    </w:rPr>
                    <w:t>是</w:t>
                  </w:r>
                </w:p>
              </w:tc>
              <w:tc>
                <w:tcPr>
                  <w:tcW w:w="283" w:type="pct"/>
                  <w:vAlign w:val="center"/>
                </w:tcPr>
                <w:p w14:paraId="07339C29">
                  <w:pPr>
                    <w:pStyle w:val="20"/>
                    <w:bidi w:val="0"/>
                    <w:rPr>
                      <w:rFonts w:hint="default"/>
                      <w:color w:val="auto"/>
                      <w:highlight w:val="none"/>
                      <w:lang w:val="en-US" w:eastAsia="zh-CN"/>
                    </w:rPr>
                  </w:pPr>
                  <w:r>
                    <w:rPr>
                      <w:rFonts w:hint="eastAsia"/>
                      <w:color w:val="auto"/>
                      <w:highlight w:val="none"/>
                      <w:lang w:val="en-US" w:eastAsia="zh-CN"/>
                    </w:rPr>
                    <w:t>/</w:t>
                  </w:r>
                </w:p>
              </w:tc>
              <w:tc>
                <w:tcPr>
                  <w:tcW w:w="446" w:type="pct"/>
                  <w:vAlign w:val="center"/>
                </w:tcPr>
                <w:p w14:paraId="1ECAECBD">
                  <w:pPr>
                    <w:pStyle w:val="20"/>
                    <w:bidi w:val="0"/>
                    <w:rPr>
                      <w:rFonts w:hint="eastAsia"/>
                      <w:color w:val="auto"/>
                      <w:highlight w:val="none"/>
                      <w:lang w:val="en-US" w:eastAsia="zh-CN"/>
                    </w:rPr>
                  </w:pPr>
                  <w:r>
                    <w:rPr>
                      <w:rFonts w:hint="eastAsia"/>
                      <w:color w:val="auto"/>
                      <w:highlight w:val="none"/>
                    </w:rPr>
                    <w:t>6-9</w:t>
                  </w:r>
                </w:p>
              </w:tc>
              <w:tc>
                <w:tcPr>
                  <w:tcW w:w="372" w:type="pct"/>
                  <w:vAlign w:val="center"/>
                </w:tcPr>
                <w:p w14:paraId="187B2A41">
                  <w:pPr>
                    <w:pStyle w:val="20"/>
                    <w:bidi w:val="0"/>
                    <w:rPr>
                      <w:rFonts w:hint="eastAsia"/>
                      <w:color w:val="auto"/>
                      <w:highlight w:val="none"/>
                      <w:lang w:val="en-US" w:eastAsia="zh-CN"/>
                    </w:rPr>
                  </w:pPr>
                  <w:r>
                    <w:rPr>
                      <w:rFonts w:hint="eastAsia"/>
                      <w:color w:val="auto"/>
                      <w:highlight w:val="none"/>
                      <w:lang w:val="en-US" w:eastAsia="zh-CN"/>
                    </w:rPr>
                    <w:t>/</w:t>
                  </w:r>
                </w:p>
              </w:tc>
              <w:tc>
                <w:tcPr>
                  <w:tcW w:w="535" w:type="pct"/>
                  <w:shd w:val="clear" w:color="auto" w:fill="auto"/>
                  <w:vAlign w:val="center"/>
                </w:tcPr>
                <w:p w14:paraId="603D3CAD">
                  <w:pPr>
                    <w:pStyle w:val="20"/>
                    <w:bidi w:val="0"/>
                    <w:rPr>
                      <w:rFonts w:hint="eastAsia"/>
                      <w:color w:val="auto"/>
                      <w:highlight w:val="none"/>
                      <w:lang w:val="en-US" w:eastAsia="zh-CN"/>
                    </w:rPr>
                  </w:pPr>
                  <w:r>
                    <w:rPr>
                      <w:rFonts w:hint="default"/>
                      <w:color w:val="auto"/>
                      <w:highlight w:val="none"/>
                      <w:lang w:val="en-US" w:eastAsia="zh-CN"/>
                    </w:rPr>
                    <w:t>6~9</w:t>
                  </w:r>
                </w:p>
              </w:tc>
              <w:tc>
                <w:tcPr>
                  <w:tcW w:w="381" w:type="pct"/>
                  <w:gridSpan w:val="2"/>
                  <w:shd w:val="clear" w:color="auto" w:fill="auto"/>
                  <w:vAlign w:val="center"/>
                </w:tcPr>
                <w:p w14:paraId="253646A4">
                  <w:pPr>
                    <w:pStyle w:val="20"/>
                    <w:bidi w:val="0"/>
                    <w:rPr>
                      <w:rFonts w:hint="eastAsia"/>
                      <w:color w:val="auto"/>
                      <w:highlight w:val="none"/>
                      <w:lang w:val="en-US" w:eastAsia="zh-CN"/>
                    </w:rPr>
                  </w:pPr>
                  <w:r>
                    <w:rPr>
                      <w:rFonts w:hint="eastAsia"/>
                      <w:color w:val="auto"/>
                      <w:highlight w:val="none"/>
                    </w:rPr>
                    <w:t>达标</w:t>
                  </w:r>
                </w:p>
              </w:tc>
            </w:tr>
            <w:tr w14:paraId="78BD6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92" w:type="pct"/>
                  <w:vMerge w:val="continue"/>
                </w:tcPr>
                <w:p w14:paraId="5140C4B4">
                  <w:pPr>
                    <w:pStyle w:val="20"/>
                    <w:bidi w:val="0"/>
                    <w:rPr>
                      <w:color w:val="auto"/>
                      <w:highlight w:val="none"/>
                    </w:rPr>
                  </w:pPr>
                </w:p>
              </w:tc>
              <w:tc>
                <w:tcPr>
                  <w:tcW w:w="319" w:type="pct"/>
                  <w:vMerge w:val="continue"/>
                </w:tcPr>
                <w:p w14:paraId="0910A850">
                  <w:pPr>
                    <w:pStyle w:val="20"/>
                    <w:bidi w:val="0"/>
                    <w:rPr>
                      <w:rFonts w:hint="default"/>
                      <w:color w:val="auto"/>
                      <w:highlight w:val="none"/>
                      <w:lang w:val="en-US"/>
                    </w:rPr>
                  </w:pPr>
                </w:p>
              </w:tc>
              <w:tc>
                <w:tcPr>
                  <w:tcW w:w="214" w:type="pct"/>
                  <w:vMerge w:val="continue"/>
                </w:tcPr>
                <w:p w14:paraId="216F954C">
                  <w:pPr>
                    <w:pStyle w:val="20"/>
                    <w:bidi w:val="0"/>
                    <w:rPr>
                      <w:rFonts w:hint="default"/>
                      <w:color w:val="auto"/>
                      <w:highlight w:val="none"/>
                      <w:lang w:val="en-US"/>
                    </w:rPr>
                  </w:pPr>
                </w:p>
              </w:tc>
              <w:tc>
                <w:tcPr>
                  <w:tcW w:w="438" w:type="pct"/>
                  <w:shd w:val="clear" w:color="auto" w:fill="auto"/>
                  <w:vAlign w:val="center"/>
                </w:tcPr>
                <w:p w14:paraId="67F39E97">
                  <w:pPr>
                    <w:pStyle w:val="20"/>
                    <w:bidi w:val="0"/>
                    <w:rPr>
                      <w:rFonts w:hint="eastAsia"/>
                      <w:color w:val="auto"/>
                      <w:highlight w:val="none"/>
                      <w:lang w:val="en-US" w:eastAsia="zh-CN"/>
                    </w:rPr>
                  </w:pPr>
                  <w:r>
                    <w:rPr>
                      <w:rFonts w:hint="eastAsia"/>
                      <w:color w:val="auto"/>
                      <w:highlight w:val="none"/>
                    </w:rPr>
                    <w:t>COD</w:t>
                  </w:r>
                </w:p>
              </w:tc>
              <w:tc>
                <w:tcPr>
                  <w:tcW w:w="509" w:type="pct"/>
                  <w:vAlign w:val="center"/>
                </w:tcPr>
                <w:p w14:paraId="06E7DDD5">
                  <w:pPr>
                    <w:pStyle w:val="20"/>
                    <w:bidi w:val="0"/>
                    <w:rPr>
                      <w:color w:val="auto"/>
                      <w:highlight w:val="none"/>
                    </w:rPr>
                  </w:pPr>
                  <w:r>
                    <w:rPr>
                      <w:rFonts w:hint="eastAsia"/>
                      <w:color w:val="auto"/>
                      <w:highlight w:val="none"/>
                      <w:lang w:val="en-US" w:eastAsia="zh-CN"/>
                    </w:rPr>
                    <w:t>521.7</w:t>
                  </w:r>
                </w:p>
              </w:tc>
              <w:tc>
                <w:tcPr>
                  <w:tcW w:w="393" w:type="pct"/>
                  <w:vAlign w:val="center"/>
                </w:tcPr>
                <w:p w14:paraId="03CA5AFB">
                  <w:pPr>
                    <w:pStyle w:val="20"/>
                    <w:bidi w:val="0"/>
                    <w:rPr>
                      <w:rFonts w:hint="default"/>
                      <w:color w:val="auto"/>
                      <w:highlight w:val="none"/>
                      <w:lang w:val="en-US" w:eastAsia="zh-CN"/>
                    </w:rPr>
                  </w:pPr>
                  <w:r>
                    <w:rPr>
                      <w:rFonts w:hint="eastAsia"/>
                      <w:color w:val="auto"/>
                      <w:highlight w:val="none"/>
                      <w:lang w:val="en-US" w:eastAsia="zh-CN"/>
                    </w:rPr>
                    <w:t>0.54</w:t>
                  </w:r>
                </w:p>
              </w:tc>
              <w:tc>
                <w:tcPr>
                  <w:tcW w:w="459" w:type="pct"/>
                  <w:vMerge w:val="continue"/>
                  <w:vAlign w:val="center"/>
                </w:tcPr>
                <w:p w14:paraId="1CEF182C">
                  <w:pPr>
                    <w:pStyle w:val="20"/>
                    <w:bidi w:val="0"/>
                    <w:rPr>
                      <w:color w:val="auto"/>
                      <w:highlight w:val="none"/>
                    </w:rPr>
                  </w:pPr>
                </w:p>
              </w:tc>
              <w:tc>
                <w:tcPr>
                  <w:tcW w:w="352" w:type="pct"/>
                  <w:vMerge w:val="continue"/>
                  <w:vAlign w:val="center"/>
                </w:tcPr>
                <w:p w14:paraId="0F9A86D4">
                  <w:pPr>
                    <w:pStyle w:val="20"/>
                    <w:bidi w:val="0"/>
                    <w:rPr>
                      <w:color w:val="auto"/>
                      <w:highlight w:val="none"/>
                    </w:rPr>
                  </w:pPr>
                </w:p>
              </w:tc>
              <w:tc>
                <w:tcPr>
                  <w:tcW w:w="283" w:type="pct"/>
                  <w:vAlign w:val="center"/>
                </w:tcPr>
                <w:p w14:paraId="66E97A9E">
                  <w:pPr>
                    <w:pStyle w:val="20"/>
                    <w:bidi w:val="0"/>
                    <w:rPr>
                      <w:color w:val="auto"/>
                      <w:highlight w:val="none"/>
                    </w:rPr>
                  </w:pPr>
                  <w:r>
                    <w:rPr>
                      <w:rFonts w:hint="default"/>
                      <w:color w:val="auto"/>
                      <w:highlight w:val="none"/>
                      <w:lang w:val="en-US" w:eastAsia="zh-CN"/>
                    </w:rPr>
                    <w:t>40%</w:t>
                  </w:r>
                </w:p>
              </w:tc>
              <w:tc>
                <w:tcPr>
                  <w:tcW w:w="446" w:type="pct"/>
                  <w:vAlign w:val="center"/>
                </w:tcPr>
                <w:p w14:paraId="1848B7AE">
                  <w:pPr>
                    <w:pStyle w:val="20"/>
                    <w:bidi w:val="0"/>
                    <w:rPr>
                      <w:rFonts w:hint="eastAsia"/>
                      <w:color w:val="auto"/>
                      <w:highlight w:val="none"/>
                      <w:lang w:val="en-US" w:eastAsia="zh-CN"/>
                    </w:rPr>
                  </w:pPr>
                  <w:r>
                    <w:rPr>
                      <w:rFonts w:hint="default"/>
                      <w:color w:val="auto"/>
                      <w:highlight w:val="none"/>
                      <w:lang w:val="en-US" w:eastAsia="zh-CN"/>
                    </w:rPr>
                    <w:t>313.0</w:t>
                  </w:r>
                </w:p>
              </w:tc>
              <w:tc>
                <w:tcPr>
                  <w:tcW w:w="372" w:type="pct"/>
                  <w:vAlign w:val="center"/>
                </w:tcPr>
                <w:p w14:paraId="35A6DE9F">
                  <w:pPr>
                    <w:pStyle w:val="20"/>
                    <w:bidi w:val="0"/>
                    <w:rPr>
                      <w:rFonts w:hint="eastAsia"/>
                      <w:color w:val="auto"/>
                      <w:highlight w:val="none"/>
                    </w:rPr>
                  </w:pPr>
                  <w:r>
                    <w:rPr>
                      <w:rFonts w:hint="default"/>
                      <w:color w:val="auto"/>
                      <w:highlight w:val="none"/>
                      <w:lang w:val="en-US" w:eastAsia="zh-CN"/>
                    </w:rPr>
                    <w:t>0.324</w:t>
                  </w:r>
                </w:p>
              </w:tc>
              <w:tc>
                <w:tcPr>
                  <w:tcW w:w="535" w:type="pct"/>
                  <w:shd w:val="clear" w:color="auto" w:fill="auto"/>
                  <w:vAlign w:val="center"/>
                </w:tcPr>
                <w:p w14:paraId="0010A67C">
                  <w:pPr>
                    <w:pStyle w:val="20"/>
                    <w:bidi w:val="0"/>
                    <w:rPr>
                      <w:rFonts w:hint="eastAsia"/>
                      <w:color w:val="auto"/>
                      <w:highlight w:val="none"/>
                      <w:lang w:val="en-US" w:eastAsia="zh-CN"/>
                    </w:rPr>
                  </w:pPr>
                  <w:r>
                    <w:rPr>
                      <w:rFonts w:hint="default"/>
                      <w:color w:val="auto"/>
                      <w:highlight w:val="none"/>
                      <w:lang w:val="en-US" w:eastAsia="zh-CN"/>
                    </w:rPr>
                    <w:t>500</w:t>
                  </w:r>
                </w:p>
              </w:tc>
              <w:tc>
                <w:tcPr>
                  <w:tcW w:w="381" w:type="pct"/>
                  <w:gridSpan w:val="2"/>
                  <w:shd w:val="clear" w:color="auto" w:fill="auto"/>
                  <w:vAlign w:val="center"/>
                </w:tcPr>
                <w:p w14:paraId="4A0D3F83">
                  <w:pPr>
                    <w:pStyle w:val="20"/>
                    <w:bidi w:val="0"/>
                    <w:rPr>
                      <w:rFonts w:hint="eastAsia"/>
                      <w:color w:val="auto"/>
                      <w:highlight w:val="none"/>
                      <w:lang w:val="en-US" w:eastAsia="zh-CN"/>
                    </w:rPr>
                  </w:pPr>
                  <w:r>
                    <w:rPr>
                      <w:rFonts w:hint="eastAsia"/>
                      <w:color w:val="auto"/>
                      <w:highlight w:val="none"/>
                    </w:rPr>
                    <w:t>达标</w:t>
                  </w:r>
                </w:p>
              </w:tc>
            </w:tr>
            <w:tr w14:paraId="2A978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92" w:type="pct"/>
                  <w:vMerge w:val="continue"/>
                </w:tcPr>
                <w:p w14:paraId="593F419B">
                  <w:pPr>
                    <w:pStyle w:val="20"/>
                    <w:bidi w:val="0"/>
                    <w:rPr>
                      <w:color w:val="auto"/>
                      <w:highlight w:val="none"/>
                    </w:rPr>
                  </w:pPr>
                </w:p>
              </w:tc>
              <w:tc>
                <w:tcPr>
                  <w:tcW w:w="319" w:type="pct"/>
                  <w:vMerge w:val="continue"/>
                </w:tcPr>
                <w:p w14:paraId="1AC8ABED">
                  <w:pPr>
                    <w:pStyle w:val="20"/>
                    <w:bidi w:val="0"/>
                    <w:rPr>
                      <w:color w:val="auto"/>
                      <w:highlight w:val="none"/>
                    </w:rPr>
                  </w:pPr>
                </w:p>
              </w:tc>
              <w:tc>
                <w:tcPr>
                  <w:tcW w:w="214" w:type="pct"/>
                  <w:vMerge w:val="continue"/>
                </w:tcPr>
                <w:p w14:paraId="6658F20D">
                  <w:pPr>
                    <w:pStyle w:val="20"/>
                    <w:bidi w:val="0"/>
                    <w:rPr>
                      <w:color w:val="auto"/>
                      <w:highlight w:val="none"/>
                    </w:rPr>
                  </w:pPr>
                </w:p>
              </w:tc>
              <w:tc>
                <w:tcPr>
                  <w:tcW w:w="438" w:type="pct"/>
                  <w:shd w:val="clear" w:color="auto" w:fill="auto"/>
                  <w:vAlign w:val="center"/>
                </w:tcPr>
                <w:p w14:paraId="3211DB99">
                  <w:pPr>
                    <w:pStyle w:val="20"/>
                    <w:bidi w:val="0"/>
                    <w:rPr>
                      <w:rFonts w:hint="eastAsia"/>
                      <w:color w:val="auto"/>
                      <w:highlight w:val="none"/>
                      <w:lang w:val="en-US" w:eastAsia="zh-CN"/>
                    </w:rPr>
                  </w:pPr>
                  <w:r>
                    <w:rPr>
                      <w:rFonts w:hint="eastAsia"/>
                      <w:color w:val="auto"/>
                      <w:highlight w:val="none"/>
                    </w:rPr>
                    <w:t>BOD5</w:t>
                  </w:r>
                </w:p>
              </w:tc>
              <w:tc>
                <w:tcPr>
                  <w:tcW w:w="509" w:type="pct"/>
                  <w:vAlign w:val="center"/>
                </w:tcPr>
                <w:p w14:paraId="57EDC98C">
                  <w:pPr>
                    <w:pStyle w:val="20"/>
                    <w:bidi w:val="0"/>
                    <w:rPr>
                      <w:color w:val="auto"/>
                      <w:highlight w:val="none"/>
                    </w:rPr>
                  </w:pPr>
                  <w:r>
                    <w:rPr>
                      <w:rFonts w:hint="eastAsia"/>
                      <w:color w:val="auto"/>
                      <w:highlight w:val="none"/>
                      <w:lang w:val="en-US" w:eastAsia="zh-CN"/>
                    </w:rPr>
                    <w:t>300.5</w:t>
                  </w:r>
                </w:p>
              </w:tc>
              <w:tc>
                <w:tcPr>
                  <w:tcW w:w="393" w:type="pct"/>
                  <w:vAlign w:val="center"/>
                </w:tcPr>
                <w:p w14:paraId="28F71F2F">
                  <w:pPr>
                    <w:pStyle w:val="20"/>
                    <w:bidi w:val="0"/>
                    <w:rPr>
                      <w:rFonts w:hint="default"/>
                      <w:color w:val="auto"/>
                      <w:highlight w:val="none"/>
                      <w:lang w:val="en-US" w:eastAsia="zh-CN"/>
                    </w:rPr>
                  </w:pPr>
                  <w:r>
                    <w:rPr>
                      <w:rFonts w:hint="eastAsia"/>
                      <w:color w:val="auto"/>
                      <w:highlight w:val="none"/>
                      <w:lang w:val="en-US" w:eastAsia="zh-CN"/>
                    </w:rPr>
                    <w:t>0.311</w:t>
                  </w:r>
                </w:p>
              </w:tc>
              <w:tc>
                <w:tcPr>
                  <w:tcW w:w="459" w:type="pct"/>
                  <w:vMerge w:val="continue"/>
                  <w:vAlign w:val="center"/>
                </w:tcPr>
                <w:p w14:paraId="52B0D210">
                  <w:pPr>
                    <w:pStyle w:val="20"/>
                    <w:bidi w:val="0"/>
                    <w:rPr>
                      <w:color w:val="auto"/>
                      <w:highlight w:val="none"/>
                    </w:rPr>
                  </w:pPr>
                </w:p>
              </w:tc>
              <w:tc>
                <w:tcPr>
                  <w:tcW w:w="352" w:type="pct"/>
                  <w:vMerge w:val="continue"/>
                  <w:vAlign w:val="center"/>
                </w:tcPr>
                <w:p w14:paraId="0E5CBF9D">
                  <w:pPr>
                    <w:pStyle w:val="20"/>
                    <w:bidi w:val="0"/>
                    <w:rPr>
                      <w:color w:val="auto"/>
                      <w:highlight w:val="none"/>
                    </w:rPr>
                  </w:pPr>
                </w:p>
              </w:tc>
              <w:tc>
                <w:tcPr>
                  <w:tcW w:w="283" w:type="pct"/>
                  <w:vAlign w:val="center"/>
                </w:tcPr>
                <w:p w14:paraId="0466C636">
                  <w:pPr>
                    <w:pStyle w:val="20"/>
                    <w:bidi w:val="0"/>
                    <w:rPr>
                      <w:color w:val="auto"/>
                      <w:highlight w:val="none"/>
                    </w:rPr>
                  </w:pPr>
                  <w:r>
                    <w:rPr>
                      <w:rFonts w:hint="default"/>
                      <w:color w:val="auto"/>
                      <w:highlight w:val="none"/>
                      <w:lang w:val="en-US" w:eastAsia="zh-CN"/>
                    </w:rPr>
                    <w:t>50%</w:t>
                  </w:r>
                </w:p>
              </w:tc>
              <w:tc>
                <w:tcPr>
                  <w:tcW w:w="446" w:type="pct"/>
                  <w:vAlign w:val="center"/>
                </w:tcPr>
                <w:p w14:paraId="343D7BB7">
                  <w:pPr>
                    <w:pStyle w:val="20"/>
                    <w:bidi w:val="0"/>
                    <w:rPr>
                      <w:rFonts w:hint="eastAsia"/>
                      <w:color w:val="auto"/>
                      <w:highlight w:val="none"/>
                      <w:lang w:val="en-US" w:eastAsia="zh-CN"/>
                    </w:rPr>
                  </w:pPr>
                  <w:r>
                    <w:rPr>
                      <w:rFonts w:hint="default"/>
                      <w:color w:val="auto"/>
                      <w:highlight w:val="none"/>
                      <w:lang w:val="en-US" w:eastAsia="zh-CN"/>
                    </w:rPr>
                    <w:t>150.3</w:t>
                  </w:r>
                </w:p>
              </w:tc>
              <w:tc>
                <w:tcPr>
                  <w:tcW w:w="372" w:type="pct"/>
                  <w:vAlign w:val="center"/>
                </w:tcPr>
                <w:p w14:paraId="589965DA">
                  <w:pPr>
                    <w:pStyle w:val="20"/>
                    <w:bidi w:val="0"/>
                    <w:rPr>
                      <w:rFonts w:hint="eastAsia"/>
                      <w:color w:val="auto"/>
                      <w:highlight w:val="none"/>
                    </w:rPr>
                  </w:pPr>
                  <w:r>
                    <w:rPr>
                      <w:rFonts w:hint="default"/>
                      <w:color w:val="auto"/>
                      <w:highlight w:val="none"/>
                      <w:lang w:val="en-US" w:eastAsia="zh-CN"/>
                    </w:rPr>
                    <w:t>0.156</w:t>
                  </w:r>
                </w:p>
              </w:tc>
              <w:tc>
                <w:tcPr>
                  <w:tcW w:w="535" w:type="pct"/>
                  <w:shd w:val="clear" w:color="auto" w:fill="auto"/>
                  <w:vAlign w:val="center"/>
                </w:tcPr>
                <w:p w14:paraId="69E3433D">
                  <w:pPr>
                    <w:pStyle w:val="20"/>
                    <w:bidi w:val="0"/>
                    <w:rPr>
                      <w:rFonts w:hint="eastAsia"/>
                      <w:color w:val="auto"/>
                      <w:highlight w:val="none"/>
                      <w:lang w:val="en-US" w:eastAsia="zh-CN"/>
                    </w:rPr>
                  </w:pPr>
                  <w:r>
                    <w:rPr>
                      <w:rFonts w:hint="default"/>
                      <w:color w:val="auto"/>
                      <w:highlight w:val="none"/>
                      <w:lang w:val="en-US" w:eastAsia="zh-CN"/>
                    </w:rPr>
                    <w:t>300</w:t>
                  </w:r>
                </w:p>
              </w:tc>
              <w:tc>
                <w:tcPr>
                  <w:tcW w:w="381" w:type="pct"/>
                  <w:gridSpan w:val="2"/>
                  <w:shd w:val="clear" w:color="auto" w:fill="auto"/>
                  <w:vAlign w:val="center"/>
                </w:tcPr>
                <w:p w14:paraId="733292AC">
                  <w:pPr>
                    <w:pStyle w:val="20"/>
                    <w:bidi w:val="0"/>
                    <w:rPr>
                      <w:rFonts w:hint="eastAsia"/>
                      <w:color w:val="auto"/>
                      <w:highlight w:val="none"/>
                      <w:lang w:val="en-US" w:eastAsia="zh-CN"/>
                    </w:rPr>
                  </w:pPr>
                  <w:r>
                    <w:rPr>
                      <w:rFonts w:hint="eastAsia"/>
                      <w:color w:val="auto"/>
                      <w:highlight w:val="none"/>
                    </w:rPr>
                    <w:t>达标</w:t>
                  </w:r>
                </w:p>
              </w:tc>
            </w:tr>
            <w:tr w14:paraId="080EC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92" w:type="pct"/>
                  <w:vMerge w:val="continue"/>
                  <w:vAlign w:val="center"/>
                </w:tcPr>
                <w:p w14:paraId="65C03D6C">
                  <w:pPr>
                    <w:pStyle w:val="20"/>
                    <w:bidi w:val="0"/>
                    <w:rPr>
                      <w:color w:val="auto"/>
                      <w:highlight w:val="none"/>
                      <w:lang w:val="en-US" w:eastAsia="zh-CN"/>
                    </w:rPr>
                  </w:pPr>
                </w:p>
              </w:tc>
              <w:tc>
                <w:tcPr>
                  <w:tcW w:w="319" w:type="pct"/>
                  <w:vMerge w:val="continue"/>
                  <w:vAlign w:val="center"/>
                </w:tcPr>
                <w:p w14:paraId="09723E29">
                  <w:pPr>
                    <w:pStyle w:val="20"/>
                    <w:bidi w:val="0"/>
                    <w:rPr>
                      <w:color w:val="auto"/>
                      <w:highlight w:val="none"/>
                      <w:lang w:val="en-US" w:eastAsia="zh-CN"/>
                    </w:rPr>
                  </w:pPr>
                </w:p>
              </w:tc>
              <w:tc>
                <w:tcPr>
                  <w:tcW w:w="214" w:type="pct"/>
                  <w:vMerge w:val="continue"/>
                </w:tcPr>
                <w:p w14:paraId="32C55DD4">
                  <w:pPr>
                    <w:pStyle w:val="20"/>
                    <w:bidi w:val="0"/>
                    <w:rPr>
                      <w:color w:val="auto"/>
                      <w:highlight w:val="none"/>
                    </w:rPr>
                  </w:pPr>
                </w:p>
              </w:tc>
              <w:tc>
                <w:tcPr>
                  <w:tcW w:w="438" w:type="pct"/>
                  <w:shd w:val="clear" w:color="auto" w:fill="auto"/>
                  <w:vAlign w:val="center"/>
                </w:tcPr>
                <w:p w14:paraId="2C261FAA">
                  <w:pPr>
                    <w:pStyle w:val="20"/>
                    <w:bidi w:val="0"/>
                    <w:rPr>
                      <w:rFonts w:hint="eastAsia"/>
                      <w:color w:val="auto"/>
                      <w:highlight w:val="none"/>
                      <w:lang w:val="en-US" w:eastAsia="zh-CN"/>
                    </w:rPr>
                  </w:pPr>
                  <w:r>
                    <w:rPr>
                      <w:rFonts w:hint="eastAsia"/>
                      <w:color w:val="auto"/>
                      <w:highlight w:val="none"/>
                    </w:rPr>
                    <w:t>SS</w:t>
                  </w:r>
                </w:p>
              </w:tc>
              <w:tc>
                <w:tcPr>
                  <w:tcW w:w="509" w:type="pct"/>
                  <w:vAlign w:val="center"/>
                </w:tcPr>
                <w:p w14:paraId="49ECAB9E">
                  <w:pPr>
                    <w:pStyle w:val="20"/>
                    <w:bidi w:val="0"/>
                    <w:rPr>
                      <w:color w:val="auto"/>
                      <w:highlight w:val="none"/>
                    </w:rPr>
                  </w:pPr>
                  <w:r>
                    <w:rPr>
                      <w:rFonts w:hint="eastAsia"/>
                      <w:color w:val="auto"/>
                      <w:highlight w:val="none"/>
                      <w:lang w:val="en-US" w:eastAsia="zh-CN"/>
                    </w:rPr>
                    <w:t>383.6</w:t>
                  </w:r>
                </w:p>
              </w:tc>
              <w:tc>
                <w:tcPr>
                  <w:tcW w:w="393" w:type="pct"/>
                  <w:vAlign w:val="center"/>
                </w:tcPr>
                <w:p w14:paraId="73718509">
                  <w:pPr>
                    <w:pStyle w:val="20"/>
                    <w:bidi w:val="0"/>
                    <w:rPr>
                      <w:rFonts w:hint="default"/>
                      <w:color w:val="auto"/>
                      <w:highlight w:val="none"/>
                      <w:lang w:val="en-US" w:eastAsia="zh-CN"/>
                    </w:rPr>
                  </w:pPr>
                  <w:r>
                    <w:rPr>
                      <w:rFonts w:hint="eastAsia"/>
                      <w:color w:val="auto"/>
                      <w:highlight w:val="none"/>
                      <w:lang w:val="en-US" w:eastAsia="zh-CN"/>
                    </w:rPr>
                    <w:t>0.397</w:t>
                  </w:r>
                </w:p>
              </w:tc>
              <w:tc>
                <w:tcPr>
                  <w:tcW w:w="459" w:type="pct"/>
                  <w:vMerge w:val="continue"/>
                  <w:vAlign w:val="center"/>
                </w:tcPr>
                <w:p w14:paraId="6F7B8BCF">
                  <w:pPr>
                    <w:pStyle w:val="20"/>
                    <w:bidi w:val="0"/>
                    <w:rPr>
                      <w:color w:val="auto"/>
                      <w:highlight w:val="none"/>
                    </w:rPr>
                  </w:pPr>
                </w:p>
              </w:tc>
              <w:tc>
                <w:tcPr>
                  <w:tcW w:w="352" w:type="pct"/>
                  <w:vMerge w:val="continue"/>
                  <w:vAlign w:val="center"/>
                </w:tcPr>
                <w:p w14:paraId="1772B0CD">
                  <w:pPr>
                    <w:pStyle w:val="20"/>
                    <w:bidi w:val="0"/>
                    <w:rPr>
                      <w:color w:val="auto"/>
                      <w:highlight w:val="none"/>
                    </w:rPr>
                  </w:pPr>
                </w:p>
              </w:tc>
              <w:tc>
                <w:tcPr>
                  <w:tcW w:w="283" w:type="pct"/>
                  <w:vAlign w:val="center"/>
                </w:tcPr>
                <w:p w14:paraId="12710A1D">
                  <w:pPr>
                    <w:pStyle w:val="20"/>
                    <w:bidi w:val="0"/>
                    <w:rPr>
                      <w:color w:val="auto"/>
                      <w:highlight w:val="none"/>
                    </w:rPr>
                  </w:pPr>
                  <w:r>
                    <w:rPr>
                      <w:rFonts w:hint="default"/>
                      <w:color w:val="auto"/>
                      <w:highlight w:val="none"/>
                      <w:lang w:val="en-US" w:eastAsia="zh-CN"/>
                    </w:rPr>
                    <w:t>60%</w:t>
                  </w:r>
                </w:p>
              </w:tc>
              <w:tc>
                <w:tcPr>
                  <w:tcW w:w="446" w:type="pct"/>
                  <w:vAlign w:val="center"/>
                </w:tcPr>
                <w:p w14:paraId="596BB77E">
                  <w:pPr>
                    <w:pStyle w:val="20"/>
                    <w:bidi w:val="0"/>
                    <w:rPr>
                      <w:rFonts w:hint="eastAsia"/>
                      <w:color w:val="auto"/>
                      <w:highlight w:val="none"/>
                      <w:lang w:val="en-US" w:eastAsia="zh-CN"/>
                    </w:rPr>
                  </w:pPr>
                  <w:r>
                    <w:rPr>
                      <w:rFonts w:hint="default"/>
                      <w:color w:val="auto"/>
                      <w:highlight w:val="none"/>
                      <w:lang w:val="en-US" w:eastAsia="zh-CN"/>
                    </w:rPr>
                    <w:t>153.4</w:t>
                  </w:r>
                </w:p>
              </w:tc>
              <w:tc>
                <w:tcPr>
                  <w:tcW w:w="372" w:type="pct"/>
                  <w:vAlign w:val="center"/>
                </w:tcPr>
                <w:p w14:paraId="76350B07">
                  <w:pPr>
                    <w:pStyle w:val="20"/>
                    <w:bidi w:val="0"/>
                    <w:rPr>
                      <w:rFonts w:hint="eastAsia"/>
                      <w:color w:val="auto"/>
                      <w:highlight w:val="none"/>
                    </w:rPr>
                  </w:pPr>
                  <w:r>
                    <w:rPr>
                      <w:rFonts w:hint="default"/>
                      <w:color w:val="auto"/>
                      <w:highlight w:val="none"/>
                      <w:lang w:val="en-US" w:eastAsia="zh-CN"/>
                    </w:rPr>
                    <w:t>0.159</w:t>
                  </w:r>
                </w:p>
              </w:tc>
              <w:tc>
                <w:tcPr>
                  <w:tcW w:w="535" w:type="pct"/>
                  <w:shd w:val="clear" w:color="auto" w:fill="auto"/>
                  <w:vAlign w:val="center"/>
                </w:tcPr>
                <w:p w14:paraId="5730B515">
                  <w:pPr>
                    <w:pStyle w:val="20"/>
                    <w:bidi w:val="0"/>
                    <w:rPr>
                      <w:rFonts w:hint="eastAsia"/>
                      <w:color w:val="auto"/>
                      <w:highlight w:val="none"/>
                      <w:lang w:val="en-US" w:eastAsia="zh-CN"/>
                    </w:rPr>
                  </w:pPr>
                  <w:r>
                    <w:rPr>
                      <w:rFonts w:hint="default"/>
                      <w:color w:val="auto"/>
                      <w:highlight w:val="none"/>
                      <w:lang w:val="en-US" w:eastAsia="zh-CN"/>
                    </w:rPr>
                    <w:t>400</w:t>
                  </w:r>
                </w:p>
              </w:tc>
              <w:tc>
                <w:tcPr>
                  <w:tcW w:w="381" w:type="pct"/>
                  <w:gridSpan w:val="2"/>
                  <w:shd w:val="clear" w:color="auto" w:fill="auto"/>
                  <w:vAlign w:val="center"/>
                </w:tcPr>
                <w:p w14:paraId="011EF7B3">
                  <w:pPr>
                    <w:pStyle w:val="20"/>
                    <w:bidi w:val="0"/>
                    <w:rPr>
                      <w:rFonts w:hint="eastAsia"/>
                      <w:color w:val="auto"/>
                      <w:highlight w:val="none"/>
                      <w:lang w:val="en-US" w:eastAsia="zh-CN"/>
                    </w:rPr>
                  </w:pPr>
                  <w:r>
                    <w:rPr>
                      <w:rFonts w:hint="eastAsia"/>
                      <w:color w:val="auto"/>
                      <w:highlight w:val="none"/>
                    </w:rPr>
                    <w:t>达标</w:t>
                  </w:r>
                </w:p>
              </w:tc>
            </w:tr>
            <w:tr w14:paraId="3920B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92" w:type="pct"/>
                  <w:vMerge w:val="continue"/>
                </w:tcPr>
                <w:p w14:paraId="3F6F7AFC">
                  <w:pPr>
                    <w:pStyle w:val="20"/>
                    <w:bidi w:val="0"/>
                    <w:rPr>
                      <w:color w:val="auto"/>
                      <w:highlight w:val="none"/>
                    </w:rPr>
                  </w:pPr>
                </w:p>
              </w:tc>
              <w:tc>
                <w:tcPr>
                  <w:tcW w:w="319" w:type="pct"/>
                  <w:vMerge w:val="continue"/>
                </w:tcPr>
                <w:p w14:paraId="43CD9AD4">
                  <w:pPr>
                    <w:pStyle w:val="20"/>
                    <w:bidi w:val="0"/>
                    <w:rPr>
                      <w:color w:val="auto"/>
                      <w:highlight w:val="none"/>
                    </w:rPr>
                  </w:pPr>
                </w:p>
              </w:tc>
              <w:tc>
                <w:tcPr>
                  <w:tcW w:w="214" w:type="pct"/>
                  <w:vMerge w:val="continue"/>
                </w:tcPr>
                <w:p w14:paraId="21DE8999">
                  <w:pPr>
                    <w:pStyle w:val="20"/>
                    <w:bidi w:val="0"/>
                    <w:rPr>
                      <w:color w:val="auto"/>
                      <w:highlight w:val="none"/>
                    </w:rPr>
                  </w:pPr>
                </w:p>
              </w:tc>
              <w:tc>
                <w:tcPr>
                  <w:tcW w:w="438" w:type="pct"/>
                  <w:shd w:val="clear" w:color="auto" w:fill="auto"/>
                  <w:vAlign w:val="center"/>
                </w:tcPr>
                <w:p w14:paraId="1015D978">
                  <w:pPr>
                    <w:pStyle w:val="20"/>
                    <w:bidi w:val="0"/>
                    <w:rPr>
                      <w:rFonts w:hint="eastAsia"/>
                      <w:color w:val="auto"/>
                      <w:highlight w:val="none"/>
                      <w:lang w:val="en-US" w:eastAsia="zh-CN"/>
                    </w:rPr>
                  </w:pPr>
                  <w:r>
                    <w:rPr>
                      <w:rFonts w:hint="eastAsia"/>
                      <w:color w:val="auto"/>
                      <w:highlight w:val="none"/>
                      <w:lang w:val="en-US" w:eastAsia="zh-CN"/>
                    </w:rPr>
                    <w:t>氨氮</w:t>
                  </w:r>
                </w:p>
              </w:tc>
              <w:tc>
                <w:tcPr>
                  <w:tcW w:w="509" w:type="pct"/>
                  <w:vAlign w:val="center"/>
                </w:tcPr>
                <w:p w14:paraId="10E61AAA">
                  <w:pPr>
                    <w:pStyle w:val="20"/>
                    <w:bidi w:val="0"/>
                    <w:rPr>
                      <w:color w:val="auto"/>
                      <w:highlight w:val="none"/>
                    </w:rPr>
                  </w:pPr>
                  <w:r>
                    <w:rPr>
                      <w:rFonts w:hint="eastAsia"/>
                      <w:color w:val="auto"/>
                      <w:highlight w:val="none"/>
                      <w:lang w:val="en-US" w:eastAsia="zh-CN"/>
                    </w:rPr>
                    <w:t>30.9</w:t>
                  </w:r>
                </w:p>
              </w:tc>
              <w:tc>
                <w:tcPr>
                  <w:tcW w:w="393" w:type="pct"/>
                  <w:vAlign w:val="center"/>
                </w:tcPr>
                <w:p w14:paraId="3AD08824">
                  <w:pPr>
                    <w:pStyle w:val="20"/>
                    <w:bidi w:val="0"/>
                    <w:rPr>
                      <w:rFonts w:hint="default"/>
                      <w:color w:val="auto"/>
                      <w:highlight w:val="none"/>
                      <w:lang w:val="en-US" w:eastAsia="zh-CN"/>
                    </w:rPr>
                  </w:pPr>
                  <w:r>
                    <w:rPr>
                      <w:rFonts w:hint="eastAsia"/>
                      <w:color w:val="auto"/>
                      <w:highlight w:val="none"/>
                      <w:lang w:val="en-US" w:eastAsia="zh-CN"/>
                    </w:rPr>
                    <w:t>0.032</w:t>
                  </w:r>
                </w:p>
              </w:tc>
              <w:tc>
                <w:tcPr>
                  <w:tcW w:w="459" w:type="pct"/>
                  <w:vMerge w:val="continue"/>
                  <w:vAlign w:val="center"/>
                </w:tcPr>
                <w:p w14:paraId="5551B84E">
                  <w:pPr>
                    <w:pStyle w:val="20"/>
                    <w:bidi w:val="0"/>
                    <w:rPr>
                      <w:color w:val="auto"/>
                      <w:highlight w:val="none"/>
                    </w:rPr>
                  </w:pPr>
                </w:p>
              </w:tc>
              <w:tc>
                <w:tcPr>
                  <w:tcW w:w="352" w:type="pct"/>
                  <w:vMerge w:val="continue"/>
                  <w:vAlign w:val="center"/>
                </w:tcPr>
                <w:p w14:paraId="3DB8175A">
                  <w:pPr>
                    <w:pStyle w:val="20"/>
                    <w:bidi w:val="0"/>
                    <w:rPr>
                      <w:color w:val="auto"/>
                      <w:highlight w:val="none"/>
                    </w:rPr>
                  </w:pPr>
                </w:p>
              </w:tc>
              <w:tc>
                <w:tcPr>
                  <w:tcW w:w="283" w:type="pct"/>
                  <w:vAlign w:val="center"/>
                </w:tcPr>
                <w:p w14:paraId="172967C9">
                  <w:pPr>
                    <w:pStyle w:val="20"/>
                    <w:bidi w:val="0"/>
                    <w:rPr>
                      <w:color w:val="auto"/>
                      <w:highlight w:val="none"/>
                    </w:rPr>
                  </w:pPr>
                  <w:r>
                    <w:rPr>
                      <w:rFonts w:hint="default"/>
                      <w:color w:val="auto"/>
                      <w:highlight w:val="none"/>
                      <w:lang w:val="en-US" w:eastAsia="zh-CN"/>
                    </w:rPr>
                    <w:t>3%</w:t>
                  </w:r>
                </w:p>
              </w:tc>
              <w:tc>
                <w:tcPr>
                  <w:tcW w:w="446" w:type="pct"/>
                  <w:vAlign w:val="center"/>
                </w:tcPr>
                <w:p w14:paraId="397F4CED">
                  <w:pPr>
                    <w:pStyle w:val="20"/>
                    <w:bidi w:val="0"/>
                    <w:rPr>
                      <w:rFonts w:hint="eastAsia"/>
                      <w:color w:val="auto"/>
                      <w:highlight w:val="none"/>
                      <w:lang w:val="en-US" w:eastAsia="zh-CN"/>
                    </w:rPr>
                  </w:pPr>
                  <w:r>
                    <w:rPr>
                      <w:rFonts w:hint="default"/>
                      <w:color w:val="auto"/>
                      <w:highlight w:val="none"/>
                      <w:lang w:val="en-US" w:eastAsia="zh-CN"/>
                    </w:rPr>
                    <w:t>30.0</w:t>
                  </w:r>
                </w:p>
              </w:tc>
              <w:tc>
                <w:tcPr>
                  <w:tcW w:w="372" w:type="pct"/>
                  <w:vAlign w:val="center"/>
                </w:tcPr>
                <w:p w14:paraId="487EE427">
                  <w:pPr>
                    <w:pStyle w:val="20"/>
                    <w:bidi w:val="0"/>
                    <w:rPr>
                      <w:rFonts w:hint="eastAsia"/>
                      <w:color w:val="auto"/>
                      <w:highlight w:val="none"/>
                    </w:rPr>
                  </w:pPr>
                  <w:r>
                    <w:rPr>
                      <w:rFonts w:hint="default"/>
                      <w:color w:val="auto"/>
                      <w:highlight w:val="none"/>
                      <w:lang w:val="en-US" w:eastAsia="zh-CN"/>
                    </w:rPr>
                    <w:t>0.031</w:t>
                  </w:r>
                </w:p>
              </w:tc>
              <w:tc>
                <w:tcPr>
                  <w:tcW w:w="535" w:type="pct"/>
                  <w:shd w:val="clear" w:color="auto" w:fill="auto"/>
                  <w:vAlign w:val="center"/>
                </w:tcPr>
                <w:p w14:paraId="61289133">
                  <w:pPr>
                    <w:pStyle w:val="20"/>
                    <w:bidi w:val="0"/>
                    <w:rPr>
                      <w:rFonts w:hint="eastAsia"/>
                      <w:color w:val="auto"/>
                      <w:highlight w:val="none"/>
                      <w:lang w:val="en-US" w:eastAsia="zh-CN"/>
                    </w:rPr>
                  </w:pPr>
                  <w:r>
                    <w:rPr>
                      <w:rFonts w:hint="default"/>
                      <w:color w:val="auto"/>
                      <w:highlight w:val="none"/>
                      <w:lang w:val="en-US" w:eastAsia="zh-CN"/>
                    </w:rPr>
                    <w:t>45*</w:t>
                  </w:r>
                </w:p>
              </w:tc>
              <w:tc>
                <w:tcPr>
                  <w:tcW w:w="381" w:type="pct"/>
                  <w:gridSpan w:val="2"/>
                  <w:shd w:val="clear" w:color="auto" w:fill="auto"/>
                  <w:vAlign w:val="center"/>
                </w:tcPr>
                <w:p w14:paraId="0BABAEAA">
                  <w:pPr>
                    <w:pStyle w:val="20"/>
                    <w:bidi w:val="0"/>
                    <w:rPr>
                      <w:rFonts w:hint="eastAsia"/>
                      <w:color w:val="auto"/>
                      <w:highlight w:val="none"/>
                      <w:lang w:val="en-US" w:eastAsia="zh-CN"/>
                    </w:rPr>
                  </w:pPr>
                  <w:r>
                    <w:rPr>
                      <w:rFonts w:hint="eastAsia"/>
                      <w:color w:val="auto"/>
                      <w:highlight w:val="none"/>
                    </w:rPr>
                    <w:t>达标</w:t>
                  </w:r>
                </w:p>
              </w:tc>
            </w:tr>
            <w:tr w14:paraId="50D12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92" w:type="pct"/>
                  <w:vMerge w:val="continue"/>
                </w:tcPr>
                <w:p w14:paraId="27DC25D1">
                  <w:pPr>
                    <w:pStyle w:val="20"/>
                    <w:bidi w:val="0"/>
                    <w:rPr>
                      <w:color w:val="auto"/>
                      <w:highlight w:val="none"/>
                    </w:rPr>
                  </w:pPr>
                </w:p>
              </w:tc>
              <w:tc>
                <w:tcPr>
                  <w:tcW w:w="319" w:type="pct"/>
                  <w:vMerge w:val="continue"/>
                </w:tcPr>
                <w:p w14:paraId="2E0ED152">
                  <w:pPr>
                    <w:pStyle w:val="20"/>
                    <w:bidi w:val="0"/>
                    <w:rPr>
                      <w:color w:val="auto"/>
                      <w:highlight w:val="none"/>
                    </w:rPr>
                  </w:pPr>
                </w:p>
              </w:tc>
              <w:tc>
                <w:tcPr>
                  <w:tcW w:w="214" w:type="pct"/>
                  <w:vMerge w:val="continue"/>
                </w:tcPr>
                <w:p w14:paraId="34864288">
                  <w:pPr>
                    <w:pStyle w:val="20"/>
                    <w:bidi w:val="0"/>
                    <w:rPr>
                      <w:color w:val="auto"/>
                      <w:highlight w:val="none"/>
                    </w:rPr>
                  </w:pPr>
                </w:p>
              </w:tc>
              <w:tc>
                <w:tcPr>
                  <w:tcW w:w="438" w:type="pct"/>
                  <w:shd w:val="clear" w:color="auto" w:fill="auto"/>
                  <w:vAlign w:val="center"/>
                </w:tcPr>
                <w:p w14:paraId="47A97B6D">
                  <w:pPr>
                    <w:pStyle w:val="20"/>
                    <w:bidi w:val="0"/>
                    <w:rPr>
                      <w:rFonts w:hint="default"/>
                      <w:color w:val="auto"/>
                      <w:highlight w:val="none"/>
                      <w:lang w:val="en-US" w:eastAsia="zh-CN"/>
                    </w:rPr>
                  </w:pPr>
                  <w:r>
                    <w:rPr>
                      <w:rFonts w:hint="eastAsia"/>
                      <w:color w:val="auto"/>
                      <w:highlight w:val="none"/>
                      <w:lang w:val="en-US" w:eastAsia="zh-CN"/>
                    </w:rPr>
                    <w:t>石油类</w:t>
                  </w:r>
                </w:p>
              </w:tc>
              <w:tc>
                <w:tcPr>
                  <w:tcW w:w="509" w:type="pct"/>
                  <w:vAlign w:val="center"/>
                </w:tcPr>
                <w:p w14:paraId="5571CB60">
                  <w:pPr>
                    <w:pStyle w:val="20"/>
                    <w:bidi w:val="0"/>
                    <w:rPr>
                      <w:color w:val="auto"/>
                      <w:highlight w:val="none"/>
                    </w:rPr>
                  </w:pPr>
                  <w:r>
                    <w:rPr>
                      <w:rFonts w:hint="eastAsia"/>
                      <w:color w:val="auto"/>
                      <w:highlight w:val="none"/>
                      <w:lang w:val="en-US" w:eastAsia="zh-CN"/>
                    </w:rPr>
                    <w:t>8.7</w:t>
                  </w:r>
                </w:p>
              </w:tc>
              <w:tc>
                <w:tcPr>
                  <w:tcW w:w="393" w:type="pct"/>
                  <w:vAlign w:val="center"/>
                </w:tcPr>
                <w:p w14:paraId="750A6A56">
                  <w:pPr>
                    <w:pStyle w:val="20"/>
                    <w:bidi w:val="0"/>
                    <w:rPr>
                      <w:rFonts w:hint="default"/>
                      <w:color w:val="auto"/>
                      <w:highlight w:val="none"/>
                      <w:lang w:val="en-US" w:eastAsia="zh-CN"/>
                    </w:rPr>
                  </w:pPr>
                  <w:r>
                    <w:rPr>
                      <w:rFonts w:hint="eastAsia"/>
                      <w:color w:val="auto"/>
                      <w:highlight w:val="none"/>
                      <w:lang w:val="en-US" w:eastAsia="zh-CN"/>
                    </w:rPr>
                    <w:t>0.009</w:t>
                  </w:r>
                </w:p>
              </w:tc>
              <w:tc>
                <w:tcPr>
                  <w:tcW w:w="459" w:type="pct"/>
                  <w:vMerge w:val="continue"/>
                  <w:vAlign w:val="center"/>
                </w:tcPr>
                <w:p w14:paraId="0C4BC89A">
                  <w:pPr>
                    <w:pStyle w:val="20"/>
                    <w:bidi w:val="0"/>
                    <w:rPr>
                      <w:color w:val="auto"/>
                      <w:highlight w:val="none"/>
                    </w:rPr>
                  </w:pPr>
                </w:p>
              </w:tc>
              <w:tc>
                <w:tcPr>
                  <w:tcW w:w="352" w:type="pct"/>
                  <w:vMerge w:val="continue"/>
                  <w:vAlign w:val="center"/>
                </w:tcPr>
                <w:p w14:paraId="6E30BFFE">
                  <w:pPr>
                    <w:pStyle w:val="20"/>
                    <w:bidi w:val="0"/>
                    <w:rPr>
                      <w:color w:val="auto"/>
                      <w:highlight w:val="none"/>
                    </w:rPr>
                  </w:pPr>
                </w:p>
              </w:tc>
              <w:tc>
                <w:tcPr>
                  <w:tcW w:w="283" w:type="pct"/>
                  <w:shd w:val="clear" w:color="auto" w:fill="auto"/>
                  <w:vAlign w:val="center"/>
                </w:tcPr>
                <w:p w14:paraId="7B8FF523">
                  <w:pPr>
                    <w:pStyle w:val="20"/>
                    <w:bidi w:val="0"/>
                    <w:rPr>
                      <w:rFonts w:hint="eastAsia"/>
                      <w:color w:val="auto"/>
                      <w:highlight w:val="none"/>
                      <w:lang w:val="en-US" w:eastAsia="zh-CN"/>
                    </w:rPr>
                  </w:pPr>
                  <w:r>
                    <w:rPr>
                      <w:rFonts w:hint="default"/>
                      <w:color w:val="auto"/>
                      <w:highlight w:val="none"/>
                      <w:lang w:val="en-US" w:eastAsia="zh-CN"/>
                    </w:rPr>
                    <w:t>20%</w:t>
                  </w:r>
                </w:p>
              </w:tc>
              <w:tc>
                <w:tcPr>
                  <w:tcW w:w="446" w:type="pct"/>
                  <w:vAlign w:val="center"/>
                </w:tcPr>
                <w:p w14:paraId="11560554">
                  <w:pPr>
                    <w:pStyle w:val="20"/>
                    <w:bidi w:val="0"/>
                    <w:rPr>
                      <w:rFonts w:hint="eastAsia"/>
                      <w:color w:val="auto"/>
                      <w:highlight w:val="none"/>
                      <w:lang w:val="en-US" w:eastAsia="zh-CN"/>
                    </w:rPr>
                  </w:pPr>
                  <w:r>
                    <w:rPr>
                      <w:rFonts w:hint="default"/>
                      <w:color w:val="auto"/>
                      <w:highlight w:val="none"/>
                      <w:lang w:val="en-US" w:eastAsia="zh-CN"/>
                    </w:rPr>
                    <w:t>7.0</w:t>
                  </w:r>
                </w:p>
              </w:tc>
              <w:tc>
                <w:tcPr>
                  <w:tcW w:w="372" w:type="pct"/>
                  <w:vAlign w:val="center"/>
                </w:tcPr>
                <w:p w14:paraId="47DF55A9">
                  <w:pPr>
                    <w:pStyle w:val="20"/>
                    <w:bidi w:val="0"/>
                    <w:rPr>
                      <w:rFonts w:hint="eastAsia"/>
                      <w:color w:val="auto"/>
                      <w:highlight w:val="none"/>
                      <w:lang w:val="en-US" w:eastAsia="zh-CN"/>
                    </w:rPr>
                  </w:pPr>
                  <w:r>
                    <w:rPr>
                      <w:rFonts w:hint="default"/>
                      <w:color w:val="auto"/>
                      <w:highlight w:val="none"/>
                      <w:lang w:val="en-US" w:eastAsia="zh-CN"/>
                    </w:rPr>
                    <w:t>0.007</w:t>
                  </w:r>
                </w:p>
              </w:tc>
              <w:tc>
                <w:tcPr>
                  <w:tcW w:w="535" w:type="pct"/>
                  <w:shd w:val="clear" w:color="auto" w:fill="auto"/>
                  <w:vAlign w:val="center"/>
                </w:tcPr>
                <w:p w14:paraId="748DD073">
                  <w:pPr>
                    <w:pStyle w:val="20"/>
                    <w:bidi w:val="0"/>
                    <w:rPr>
                      <w:rFonts w:hint="eastAsia"/>
                      <w:color w:val="auto"/>
                      <w:highlight w:val="none"/>
                      <w:lang w:val="en-US" w:eastAsia="zh-CN"/>
                    </w:rPr>
                  </w:pPr>
                  <w:r>
                    <w:rPr>
                      <w:rFonts w:hint="default"/>
                      <w:color w:val="auto"/>
                      <w:highlight w:val="none"/>
                      <w:lang w:val="en-US" w:eastAsia="zh-CN"/>
                    </w:rPr>
                    <w:t>20</w:t>
                  </w:r>
                </w:p>
              </w:tc>
              <w:tc>
                <w:tcPr>
                  <w:tcW w:w="381" w:type="pct"/>
                  <w:gridSpan w:val="2"/>
                  <w:shd w:val="clear" w:color="auto" w:fill="auto"/>
                  <w:vAlign w:val="center"/>
                </w:tcPr>
                <w:p w14:paraId="5F071D49">
                  <w:pPr>
                    <w:pStyle w:val="20"/>
                    <w:bidi w:val="0"/>
                    <w:rPr>
                      <w:rFonts w:hint="eastAsia"/>
                      <w:color w:val="auto"/>
                      <w:highlight w:val="none"/>
                      <w:lang w:val="en-US" w:eastAsia="zh-CN"/>
                    </w:rPr>
                  </w:pPr>
                  <w:r>
                    <w:rPr>
                      <w:rFonts w:hint="eastAsia"/>
                      <w:color w:val="auto"/>
                      <w:highlight w:val="none"/>
                    </w:rPr>
                    <w:t>达标</w:t>
                  </w:r>
                </w:p>
              </w:tc>
            </w:tr>
            <w:tr w14:paraId="71585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92" w:type="pct"/>
                  <w:vMerge w:val="continue"/>
                </w:tcPr>
                <w:p w14:paraId="487CBA2D">
                  <w:pPr>
                    <w:pStyle w:val="20"/>
                    <w:bidi w:val="0"/>
                    <w:rPr>
                      <w:color w:val="auto"/>
                      <w:highlight w:val="none"/>
                    </w:rPr>
                  </w:pPr>
                </w:p>
              </w:tc>
              <w:tc>
                <w:tcPr>
                  <w:tcW w:w="319" w:type="pct"/>
                  <w:vMerge w:val="continue"/>
                </w:tcPr>
                <w:p w14:paraId="0D80860E">
                  <w:pPr>
                    <w:pStyle w:val="20"/>
                    <w:bidi w:val="0"/>
                    <w:rPr>
                      <w:color w:val="auto"/>
                      <w:highlight w:val="none"/>
                    </w:rPr>
                  </w:pPr>
                </w:p>
              </w:tc>
              <w:tc>
                <w:tcPr>
                  <w:tcW w:w="214" w:type="pct"/>
                  <w:vMerge w:val="continue"/>
                </w:tcPr>
                <w:p w14:paraId="25CCCB94">
                  <w:pPr>
                    <w:pStyle w:val="20"/>
                    <w:bidi w:val="0"/>
                    <w:rPr>
                      <w:color w:val="auto"/>
                      <w:highlight w:val="none"/>
                    </w:rPr>
                  </w:pPr>
                </w:p>
              </w:tc>
              <w:tc>
                <w:tcPr>
                  <w:tcW w:w="438" w:type="pct"/>
                  <w:shd w:val="clear" w:color="auto" w:fill="auto"/>
                  <w:vAlign w:val="center"/>
                </w:tcPr>
                <w:p w14:paraId="7C8A884E">
                  <w:pPr>
                    <w:pStyle w:val="20"/>
                    <w:bidi w:val="0"/>
                    <w:rPr>
                      <w:rFonts w:hint="eastAsia"/>
                      <w:color w:val="auto"/>
                      <w:highlight w:val="none"/>
                      <w:lang w:val="en-US" w:eastAsia="zh-CN"/>
                    </w:rPr>
                  </w:pPr>
                  <w:r>
                    <w:rPr>
                      <w:rFonts w:hint="eastAsia"/>
                      <w:color w:val="auto"/>
                      <w:highlight w:val="none"/>
                      <w:lang w:val="en-US" w:eastAsia="zh-CN"/>
                    </w:rPr>
                    <w:t>TP</w:t>
                  </w:r>
                </w:p>
              </w:tc>
              <w:tc>
                <w:tcPr>
                  <w:tcW w:w="509" w:type="pct"/>
                  <w:vAlign w:val="center"/>
                </w:tcPr>
                <w:p w14:paraId="516C70F5">
                  <w:pPr>
                    <w:pStyle w:val="20"/>
                    <w:bidi w:val="0"/>
                    <w:rPr>
                      <w:color w:val="auto"/>
                      <w:highlight w:val="none"/>
                    </w:rPr>
                  </w:pPr>
                  <w:r>
                    <w:rPr>
                      <w:rFonts w:hint="eastAsia"/>
                      <w:color w:val="auto"/>
                      <w:highlight w:val="none"/>
                      <w:lang w:val="en-US" w:eastAsia="zh-CN"/>
                    </w:rPr>
                    <w:t>7.7</w:t>
                  </w:r>
                </w:p>
              </w:tc>
              <w:tc>
                <w:tcPr>
                  <w:tcW w:w="393" w:type="pct"/>
                  <w:vAlign w:val="center"/>
                </w:tcPr>
                <w:p w14:paraId="0A1BDA46">
                  <w:pPr>
                    <w:pStyle w:val="20"/>
                    <w:bidi w:val="0"/>
                    <w:rPr>
                      <w:rFonts w:hint="default"/>
                      <w:color w:val="auto"/>
                      <w:highlight w:val="none"/>
                      <w:lang w:val="en-US" w:eastAsia="zh-CN"/>
                    </w:rPr>
                  </w:pPr>
                  <w:r>
                    <w:rPr>
                      <w:rFonts w:hint="eastAsia"/>
                      <w:color w:val="auto"/>
                      <w:highlight w:val="none"/>
                      <w:lang w:val="en-US" w:eastAsia="zh-CN"/>
                    </w:rPr>
                    <w:t>0.008</w:t>
                  </w:r>
                </w:p>
              </w:tc>
              <w:tc>
                <w:tcPr>
                  <w:tcW w:w="459" w:type="pct"/>
                  <w:vMerge w:val="continue"/>
                  <w:vAlign w:val="center"/>
                </w:tcPr>
                <w:p w14:paraId="194A8EAD">
                  <w:pPr>
                    <w:pStyle w:val="20"/>
                    <w:bidi w:val="0"/>
                    <w:rPr>
                      <w:color w:val="auto"/>
                      <w:highlight w:val="none"/>
                    </w:rPr>
                  </w:pPr>
                </w:p>
              </w:tc>
              <w:tc>
                <w:tcPr>
                  <w:tcW w:w="352" w:type="pct"/>
                  <w:vMerge w:val="continue"/>
                  <w:vAlign w:val="center"/>
                </w:tcPr>
                <w:p w14:paraId="0B44C07B">
                  <w:pPr>
                    <w:pStyle w:val="20"/>
                    <w:bidi w:val="0"/>
                    <w:rPr>
                      <w:color w:val="auto"/>
                      <w:highlight w:val="none"/>
                    </w:rPr>
                  </w:pPr>
                </w:p>
              </w:tc>
              <w:tc>
                <w:tcPr>
                  <w:tcW w:w="283" w:type="pct"/>
                  <w:shd w:val="clear" w:color="auto" w:fill="auto"/>
                  <w:vAlign w:val="center"/>
                </w:tcPr>
                <w:p w14:paraId="6A85476B">
                  <w:pPr>
                    <w:pStyle w:val="20"/>
                    <w:bidi w:val="0"/>
                    <w:rPr>
                      <w:rFonts w:hint="eastAsia"/>
                      <w:color w:val="auto"/>
                      <w:highlight w:val="none"/>
                      <w:lang w:val="en-US" w:eastAsia="zh-CN"/>
                    </w:rPr>
                  </w:pPr>
                  <w:r>
                    <w:rPr>
                      <w:rFonts w:hint="default"/>
                      <w:color w:val="auto"/>
                      <w:highlight w:val="none"/>
                      <w:lang w:val="en-US" w:eastAsia="zh-CN"/>
                    </w:rPr>
                    <w:t>10%</w:t>
                  </w:r>
                </w:p>
              </w:tc>
              <w:tc>
                <w:tcPr>
                  <w:tcW w:w="446" w:type="pct"/>
                  <w:vAlign w:val="center"/>
                </w:tcPr>
                <w:p w14:paraId="081FABAC">
                  <w:pPr>
                    <w:pStyle w:val="20"/>
                    <w:bidi w:val="0"/>
                    <w:rPr>
                      <w:rFonts w:hint="eastAsia"/>
                      <w:color w:val="auto"/>
                      <w:highlight w:val="none"/>
                      <w:lang w:val="en-US" w:eastAsia="zh-CN"/>
                    </w:rPr>
                  </w:pPr>
                  <w:r>
                    <w:rPr>
                      <w:rFonts w:hint="default"/>
                      <w:color w:val="auto"/>
                      <w:highlight w:val="none"/>
                      <w:lang w:val="en-US" w:eastAsia="zh-CN"/>
                    </w:rPr>
                    <w:t>6.9</w:t>
                  </w:r>
                </w:p>
              </w:tc>
              <w:tc>
                <w:tcPr>
                  <w:tcW w:w="372" w:type="pct"/>
                  <w:vAlign w:val="center"/>
                </w:tcPr>
                <w:p w14:paraId="5DA1628F">
                  <w:pPr>
                    <w:pStyle w:val="20"/>
                    <w:bidi w:val="0"/>
                    <w:rPr>
                      <w:rFonts w:hint="eastAsia"/>
                      <w:color w:val="auto"/>
                      <w:highlight w:val="none"/>
                      <w:lang w:val="en-US" w:eastAsia="zh-CN"/>
                    </w:rPr>
                  </w:pPr>
                  <w:r>
                    <w:rPr>
                      <w:rFonts w:hint="default"/>
                      <w:color w:val="auto"/>
                      <w:highlight w:val="none"/>
                      <w:lang w:val="en-US" w:eastAsia="zh-CN"/>
                    </w:rPr>
                    <w:t>0.007</w:t>
                  </w:r>
                </w:p>
              </w:tc>
              <w:tc>
                <w:tcPr>
                  <w:tcW w:w="535" w:type="pct"/>
                  <w:shd w:val="clear" w:color="auto" w:fill="auto"/>
                  <w:vAlign w:val="center"/>
                </w:tcPr>
                <w:p w14:paraId="50D8445A">
                  <w:pPr>
                    <w:pStyle w:val="20"/>
                    <w:bidi w:val="0"/>
                    <w:rPr>
                      <w:rFonts w:hint="eastAsia"/>
                      <w:color w:val="auto"/>
                      <w:highlight w:val="none"/>
                      <w:lang w:val="en-US" w:eastAsia="zh-CN"/>
                    </w:rPr>
                  </w:pPr>
                  <w:r>
                    <w:rPr>
                      <w:rFonts w:hint="eastAsia"/>
                      <w:color w:val="auto"/>
                      <w:highlight w:val="none"/>
                      <w:lang w:val="en-US" w:eastAsia="zh-CN"/>
                    </w:rPr>
                    <w:t>8</w:t>
                  </w:r>
                  <w:r>
                    <w:rPr>
                      <w:rFonts w:hint="default"/>
                      <w:color w:val="auto"/>
                      <w:highlight w:val="none"/>
                      <w:lang w:val="en-US" w:eastAsia="zh-CN"/>
                    </w:rPr>
                    <w:t>*</w:t>
                  </w:r>
                </w:p>
              </w:tc>
              <w:tc>
                <w:tcPr>
                  <w:tcW w:w="381" w:type="pct"/>
                  <w:gridSpan w:val="2"/>
                  <w:shd w:val="clear" w:color="auto" w:fill="auto"/>
                  <w:vAlign w:val="center"/>
                </w:tcPr>
                <w:p w14:paraId="30274453">
                  <w:pPr>
                    <w:pStyle w:val="20"/>
                    <w:bidi w:val="0"/>
                    <w:rPr>
                      <w:rFonts w:hint="eastAsia"/>
                      <w:color w:val="auto"/>
                      <w:highlight w:val="none"/>
                      <w:lang w:val="en-US" w:eastAsia="zh-CN"/>
                    </w:rPr>
                  </w:pPr>
                  <w:r>
                    <w:rPr>
                      <w:rFonts w:hint="eastAsia"/>
                      <w:color w:val="auto"/>
                      <w:highlight w:val="none"/>
                    </w:rPr>
                    <w:t>达标</w:t>
                  </w:r>
                </w:p>
              </w:tc>
            </w:tr>
            <w:tr w14:paraId="3996B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92" w:type="pct"/>
                  <w:vMerge w:val="continue"/>
                </w:tcPr>
                <w:p w14:paraId="36B674FF">
                  <w:pPr>
                    <w:pStyle w:val="20"/>
                    <w:bidi w:val="0"/>
                    <w:rPr>
                      <w:color w:val="auto"/>
                      <w:highlight w:val="none"/>
                    </w:rPr>
                  </w:pPr>
                </w:p>
              </w:tc>
              <w:tc>
                <w:tcPr>
                  <w:tcW w:w="319" w:type="pct"/>
                  <w:vMerge w:val="continue"/>
                </w:tcPr>
                <w:p w14:paraId="529AF2F9">
                  <w:pPr>
                    <w:pStyle w:val="20"/>
                    <w:bidi w:val="0"/>
                    <w:rPr>
                      <w:color w:val="auto"/>
                      <w:highlight w:val="none"/>
                    </w:rPr>
                  </w:pPr>
                </w:p>
              </w:tc>
              <w:tc>
                <w:tcPr>
                  <w:tcW w:w="214" w:type="pct"/>
                  <w:vMerge w:val="continue"/>
                </w:tcPr>
                <w:p w14:paraId="252BCD53">
                  <w:pPr>
                    <w:pStyle w:val="20"/>
                    <w:bidi w:val="0"/>
                    <w:rPr>
                      <w:color w:val="auto"/>
                      <w:highlight w:val="none"/>
                    </w:rPr>
                  </w:pPr>
                </w:p>
              </w:tc>
              <w:tc>
                <w:tcPr>
                  <w:tcW w:w="438" w:type="pct"/>
                  <w:shd w:val="clear" w:color="auto" w:fill="auto"/>
                  <w:vAlign w:val="center"/>
                </w:tcPr>
                <w:p w14:paraId="5AF36C9F">
                  <w:pPr>
                    <w:pStyle w:val="20"/>
                    <w:bidi w:val="0"/>
                    <w:rPr>
                      <w:rFonts w:hint="default"/>
                      <w:color w:val="auto"/>
                      <w:highlight w:val="none"/>
                      <w:lang w:val="en-US" w:eastAsia="zh-CN"/>
                    </w:rPr>
                  </w:pPr>
                  <w:r>
                    <w:rPr>
                      <w:rFonts w:hint="eastAsia"/>
                      <w:color w:val="auto"/>
                      <w:highlight w:val="none"/>
                      <w:lang w:val="en-US" w:eastAsia="zh-CN"/>
                    </w:rPr>
                    <w:t>TN</w:t>
                  </w:r>
                </w:p>
              </w:tc>
              <w:tc>
                <w:tcPr>
                  <w:tcW w:w="509" w:type="pct"/>
                  <w:vAlign w:val="center"/>
                </w:tcPr>
                <w:p w14:paraId="2821F365">
                  <w:pPr>
                    <w:pStyle w:val="20"/>
                    <w:bidi w:val="0"/>
                    <w:rPr>
                      <w:rFonts w:hint="eastAsia"/>
                      <w:color w:val="auto"/>
                      <w:highlight w:val="none"/>
                      <w:lang w:val="en-US" w:eastAsia="zh-CN"/>
                    </w:rPr>
                  </w:pPr>
                  <w:r>
                    <w:rPr>
                      <w:rFonts w:hint="eastAsia"/>
                      <w:color w:val="auto"/>
                      <w:highlight w:val="none"/>
                      <w:lang w:val="en-US" w:eastAsia="zh-CN"/>
                    </w:rPr>
                    <w:t>39.6</w:t>
                  </w:r>
                </w:p>
              </w:tc>
              <w:tc>
                <w:tcPr>
                  <w:tcW w:w="393" w:type="pct"/>
                  <w:vAlign w:val="center"/>
                </w:tcPr>
                <w:p w14:paraId="170BBBD1">
                  <w:pPr>
                    <w:pStyle w:val="20"/>
                    <w:bidi w:val="0"/>
                    <w:rPr>
                      <w:rFonts w:hint="eastAsia"/>
                      <w:color w:val="auto"/>
                      <w:highlight w:val="none"/>
                      <w:lang w:val="en-US" w:eastAsia="zh-CN"/>
                    </w:rPr>
                  </w:pPr>
                  <w:r>
                    <w:rPr>
                      <w:rFonts w:hint="eastAsia"/>
                      <w:color w:val="auto"/>
                      <w:highlight w:val="none"/>
                      <w:lang w:val="en-US" w:eastAsia="zh-CN"/>
                    </w:rPr>
                    <w:t>0.041</w:t>
                  </w:r>
                </w:p>
              </w:tc>
              <w:tc>
                <w:tcPr>
                  <w:tcW w:w="459" w:type="pct"/>
                  <w:vMerge w:val="continue"/>
                  <w:vAlign w:val="center"/>
                </w:tcPr>
                <w:p w14:paraId="17D41AEF">
                  <w:pPr>
                    <w:pStyle w:val="20"/>
                    <w:bidi w:val="0"/>
                    <w:rPr>
                      <w:color w:val="auto"/>
                      <w:highlight w:val="none"/>
                    </w:rPr>
                  </w:pPr>
                </w:p>
              </w:tc>
              <w:tc>
                <w:tcPr>
                  <w:tcW w:w="352" w:type="pct"/>
                  <w:vMerge w:val="continue"/>
                  <w:vAlign w:val="center"/>
                </w:tcPr>
                <w:p w14:paraId="72895D13">
                  <w:pPr>
                    <w:pStyle w:val="20"/>
                    <w:bidi w:val="0"/>
                    <w:rPr>
                      <w:color w:val="auto"/>
                      <w:highlight w:val="none"/>
                    </w:rPr>
                  </w:pPr>
                </w:p>
              </w:tc>
              <w:tc>
                <w:tcPr>
                  <w:tcW w:w="283" w:type="pct"/>
                  <w:shd w:val="clear" w:color="auto" w:fill="auto"/>
                  <w:vAlign w:val="center"/>
                </w:tcPr>
                <w:p w14:paraId="6E156065">
                  <w:pPr>
                    <w:pStyle w:val="20"/>
                    <w:bidi w:val="0"/>
                    <w:rPr>
                      <w:rFonts w:hint="default"/>
                      <w:color w:val="auto"/>
                      <w:highlight w:val="none"/>
                      <w:lang w:val="en-US" w:eastAsia="zh-CN"/>
                    </w:rPr>
                  </w:pPr>
                  <w:r>
                    <w:rPr>
                      <w:rFonts w:hint="default"/>
                      <w:color w:val="auto"/>
                      <w:highlight w:val="none"/>
                      <w:lang w:val="en-US" w:eastAsia="zh-CN"/>
                    </w:rPr>
                    <w:t>3%</w:t>
                  </w:r>
                </w:p>
              </w:tc>
              <w:tc>
                <w:tcPr>
                  <w:tcW w:w="446" w:type="pct"/>
                  <w:vAlign w:val="center"/>
                </w:tcPr>
                <w:p w14:paraId="0186615D">
                  <w:pPr>
                    <w:pStyle w:val="20"/>
                    <w:bidi w:val="0"/>
                    <w:rPr>
                      <w:rFonts w:hint="default"/>
                      <w:color w:val="auto"/>
                      <w:highlight w:val="none"/>
                      <w:lang w:val="en-US" w:eastAsia="zh-CN"/>
                    </w:rPr>
                  </w:pPr>
                  <w:r>
                    <w:rPr>
                      <w:rFonts w:hint="default"/>
                      <w:color w:val="auto"/>
                      <w:highlight w:val="none"/>
                      <w:lang w:val="en-US" w:eastAsia="zh-CN"/>
                    </w:rPr>
                    <w:t>38.4</w:t>
                  </w:r>
                </w:p>
              </w:tc>
              <w:tc>
                <w:tcPr>
                  <w:tcW w:w="372" w:type="pct"/>
                  <w:vAlign w:val="center"/>
                </w:tcPr>
                <w:p w14:paraId="0F116924">
                  <w:pPr>
                    <w:pStyle w:val="20"/>
                    <w:bidi w:val="0"/>
                    <w:rPr>
                      <w:rFonts w:hint="default"/>
                      <w:color w:val="auto"/>
                      <w:highlight w:val="none"/>
                      <w:lang w:val="en-US" w:eastAsia="zh-CN"/>
                    </w:rPr>
                  </w:pPr>
                  <w:r>
                    <w:rPr>
                      <w:rFonts w:hint="default"/>
                      <w:color w:val="auto"/>
                      <w:highlight w:val="none"/>
                      <w:lang w:val="en-US" w:eastAsia="zh-CN"/>
                    </w:rPr>
                    <w:t>0.040</w:t>
                  </w:r>
                </w:p>
              </w:tc>
              <w:tc>
                <w:tcPr>
                  <w:tcW w:w="535" w:type="pct"/>
                  <w:shd w:val="clear" w:color="auto" w:fill="auto"/>
                  <w:vAlign w:val="center"/>
                </w:tcPr>
                <w:p w14:paraId="2593B8AD">
                  <w:pPr>
                    <w:pStyle w:val="20"/>
                    <w:bidi w:val="0"/>
                    <w:rPr>
                      <w:rFonts w:hint="default"/>
                      <w:color w:val="auto"/>
                      <w:highlight w:val="none"/>
                      <w:lang w:val="en-US" w:eastAsia="zh-CN"/>
                    </w:rPr>
                  </w:pPr>
                  <w:r>
                    <w:rPr>
                      <w:rFonts w:hint="eastAsia"/>
                      <w:color w:val="auto"/>
                      <w:highlight w:val="none"/>
                      <w:lang w:val="en-US" w:eastAsia="zh-CN"/>
                    </w:rPr>
                    <w:t>70*</w:t>
                  </w:r>
                </w:p>
              </w:tc>
              <w:tc>
                <w:tcPr>
                  <w:tcW w:w="381" w:type="pct"/>
                  <w:gridSpan w:val="2"/>
                  <w:shd w:val="clear" w:color="auto" w:fill="auto"/>
                  <w:vAlign w:val="center"/>
                </w:tcPr>
                <w:p w14:paraId="4E5D2EA1">
                  <w:pPr>
                    <w:pStyle w:val="20"/>
                    <w:bidi w:val="0"/>
                    <w:rPr>
                      <w:rFonts w:hint="eastAsia"/>
                      <w:color w:val="auto"/>
                      <w:highlight w:val="none"/>
                    </w:rPr>
                  </w:pPr>
                  <w:r>
                    <w:rPr>
                      <w:rFonts w:hint="eastAsia"/>
                      <w:color w:val="auto"/>
                      <w:highlight w:val="none"/>
                    </w:rPr>
                    <w:t>达标</w:t>
                  </w:r>
                </w:p>
              </w:tc>
            </w:tr>
            <w:tr w14:paraId="76816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92" w:type="pct"/>
                  <w:vAlign w:val="center"/>
                </w:tcPr>
                <w:p w14:paraId="0331C05C">
                  <w:pPr>
                    <w:pStyle w:val="20"/>
                    <w:bidi w:val="0"/>
                    <w:rPr>
                      <w:rFonts w:hint="eastAsia"/>
                      <w:color w:val="auto"/>
                      <w:highlight w:val="none"/>
                      <w:lang w:val="en-US" w:eastAsia="zh-CN"/>
                    </w:rPr>
                  </w:pPr>
                  <w:r>
                    <w:rPr>
                      <w:rFonts w:hint="eastAsia"/>
                      <w:color w:val="auto"/>
                      <w:highlight w:val="none"/>
                      <w:lang w:val="en-US" w:eastAsia="zh-CN"/>
                    </w:rPr>
                    <w:t>循环冷却水</w:t>
                  </w:r>
                </w:p>
              </w:tc>
              <w:tc>
                <w:tcPr>
                  <w:tcW w:w="319" w:type="pct"/>
                  <w:vAlign w:val="center"/>
                </w:tcPr>
                <w:p w14:paraId="055A32E7">
                  <w:pPr>
                    <w:pStyle w:val="20"/>
                    <w:bidi w:val="0"/>
                    <w:rPr>
                      <w:rFonts w:hint="default"/>
                      <w:color w:val="auto"/>
                      <w:highlight w:val="none"/>
                      <w:lang w:val="en-US" w:eastAsia="zh-CN"/>
                    </w:rPr>
                  </w:pPr>
                  <w:r>
                    <w:rPr>
                      <w:rFonts w:hint="eastAsia"/>
                      <w:color w:val="auto"/>
                      <w:highlight w:val="none"/>
                      <w:lang w:val="en-US" w:eastAsia="zh-CN"/>
                    </w:rPr>
                    <w:t>484.264</w:t>
                  </w:r>
                </w:p>
              </w:tc>
              <w:tc>
                <w:tcPr>
                  <w:tcW w:w="214" w:type="pct"/>
                  <w:vAlign w:val="center"/>
                </w:tcPr>
                <w:p w14:paraId="7522D632">
                  <w:pPr>
                    <w:pStyle w:val="20"/>
                    <w:bidi w:val="0"/>
                    <w:rPr>
                      <w:color w:val="auto"/>
                      <w:highlight w:val="none"/>
                    </w:rPr>
                  </w:pPr>
                  <w:r>
                    <w:rPr>
                      <w:rFonts w:hint="eastAsia"/>
                      <w:color w:val="auto"/>
                      <w:highlight w:val="none"/>
                      <w:lang w:val="en-US" w:eastAsia="zh-CN"/>
                    </w:rPr>
                    <w:t>类比法</w:t>
                  </w:r>
                </w:p>
              </w:tc>
              <w:tc>
                <w:tcPr>
                  <w:tcW w:w="438" w:type="pct"/>
                  <w:vAlign w:val="center"/>
                </w:tcPr>
                <w:p w14:paraId="29314C7F">
                  <w:pPr>
                    <w:pStyle w:val="20"/>
                    <w:bidi w:val="0"/>
                    <w:rPr>
                      <w:rFonts w:hint="eastAsia"/>
                      <w:color w:val="auto"/>
                      <w:highlight w:val="none"/>
                      <w:lang w:val="en-US" w:eastAsia="zh-CN"/>
                    </w:rPr>
                  </w:pPr>
                  <w:r>
                    <w:rPr>
                      <w:rFonts w:hint="eastAsia"/>
                      <w:color w:val="auto"/>
                      <w:highlight w:val="none"/>
                    </w:rPr>
                    <w:t>SS</w:t>
                  </w:r>
                </w:p>
              </w:tc>
              <w:tc>
                <w:tcPr>
                  <w:tcW w:w="509" w:type="pct"/>
                  <w:vAlign w:val="center"/>
                </w:tcPr>
                <w:p w14:paraId="1A7A0D1D">
                  <w:pPr>
                    <w:pStyle w:val="20"/>
                    <w:bidi w:val="0"/>
                    <w:rPr>
                      <w:rFonts w:hint="default"/>
                      <w:color w:val="auto"/>
                      <w:highlight w:val="none"/>
                      <w:lang w:val="en-US" w:eastAsia="zh-CN"/>
                    </w:rPr>
                  </w:pPr>
                  <w:r>
                    <w:rPr>
                      <w:rFonts w:hint="eastAsia"/>
                      <w:color w:val="auto"/>
                      <w:highlight w:val="none"/>
                      <w:lang w:val="en-US" w:eastAsia="zh-CN"/>
                    </w:rPr>
                    <w:t>100</w:t>
                  </w:r>
                </w:p>
              </w:tc>
              <w:tc>
                <w:tcPr>
                  <w:tcW w:w="393" w:type="pct"/>
                  <w:vAlign w:val="center"/>
                </w:tcPr>
                <w:p w14:paraId="2D9077B9">
                  <w:pPr>
                    <w:pStyle w:val="20"/>
                    <w:bidi w:val="0"/>
                    <w:rPr>
                      <w:rFonts w:hint="eastAsia"/>
                      <w:color w:val="auto"/>
                      <w:highlight w:val="none"/>
                      <w:lang w:val="en-US" w:eastAsia="zh-CN"/>
                    </w:rPr>
                  </w:pPr>
                  <w:r>
                    <w:rPr>
                      <w:rFonts w:hint="eastAsia"/>
                      <w:color w:val="auto"/>
                      <w:highlight w:val="none"/>
                      <w:lang w:val="en-US" w:eastAsia="zh-CN"/>
                    </w:rPr>
                    <w:t>0.048</w:t>
                  </w:r>
                </w:p>
              </w:tc>
              <w:tc>
                <w:tcPr>
                  <w:tcW w:w="459" w:type="pct"/>
                  <w:vAlign w:val="center"/>
                </w:tcPr>
                <w:p w14:paraId="450BD899">
                  <w:pPr>
                    <w:pStyle w:val="20"/>
                    <w:bidi w:val="0"/>
                    <w:rPr>
                      <w:rFonts w:hint="default"/>
                      <w:color w:val="auto"/>
                      <w:highlight w:val="none"/>
                      <w:lang w:val="en-US" w:eastAsia="zh-CN"/>
                    </w:rPr>
                  </w:pPr>
                  <w:r>
                    <w:rPr>
                      <w:rFonts w:hint="eastAsia"/>
                      <w:color w:val="auto"/>
                      <w:highlight w:val="none"/>
                      <w:lang w:val="en-US" w:eastAsia="zh-CN"/>
                    </w:rPr>
                    <w:t>进入市政污水管网</w:t>
                  </w:r>
                </w:p>
              </w:tc>
              <w:tc>
                <w:tcPr>
                  <w:tcW w:w="352" w:type="pct"/>
                  <w:vAlign w:val="center"/>
                </w:tcPr>
                <w:p w14:paraId="06D49A3C">
                  <w:pPr>
                    <w:pStyle w:val="20"/>
                    <w:bidi w:val="0"/>
                    <w:rPr>
                      <w:color w:val="auto"/>
                      <w:highlight w:val="none"/>
                    </w:rPr>
                  </w:pPr>
                  <w:r>
                    <w:rPr>
                      <w:rFonts w:hint="eastAsia"/>
                      <w:color w:val="auto"/>
                      <w:highlight w:val="none"/>
                      <w:lang w:val="en-US" w:eastAsia="zh-CN"/>
                    </w:rPr>
                    <w:t>是</w:t>
                  </w:r>
                </w:p>
              </w:tc>
              <w:tc>
                <w:tcPr>
                  <w:tcW w:w="283" w:type="pct"/>
                  <w:vAlign w:val="center"/>
                </w:tcPr>
                <w:p w14:paraId="1DB5D43A">
                  <w:pPr>
                    <w:pStyle w:val="20"/>
                    <w:bidi w:val="0"/>
                    <w:rPr>
                      <w:rFonts w:hint="default"/>
                      <w:color w:val="auto"/>
                      <w:highlight w:val="none"/>
                      <w:lang w:val="en-US" w:eastAsia="zh-CN"/>
                    </w:rPr>
                  </w:pPr>
                  <w:r>
                    <w:rPr>
                      <w:rFonts w:hint="default"/>
                      <w:color w:val="auto"/>
                      <w:highlight w:val="none"/>
                      <w:lang w:val="en-US" w:eastAsia="zh-CN"/>
                    </w:rPr>
                    <w:t>0</w:t>
                  </w:r>
                </w:p>
              </w:tc>
              <w:tc>
                <w:tcPr>
                  <w:tcW w:w="446" w:type="pct"/>
                  <w:vAlign w:val="center"/>
                </w:tcPr>
                <w:p w14:paraId="0D8C1A37">
                  <w:pPr>
                    <w:pStyle w:val="20"/>
                    <w:bidi w:val="0"/>
                    <w:rPr>
                      <w:rFonts w:hint="default"/>
                      <w:color w:val="auto"/>
                      <w:highlight w:val="none"/>
                      <w:lang w:val="en-US" w:eastAsia="zh-CN"/>
                    </w:rPr>
                  </w:pPr>
                  <w:r>
                    <w:rPr>
                      <w:rFonts w:hint="eastAsia"/>
                      <w:color w:val="auto"/>
                      <w:highlight w:val="none"/>
                      <w:lang w:val="en-US" w:eastAsia="zh-CN"/>
                    </w:rPr>
                    <w:t>100</w:t>
                  </w:r>
                </w:p>
              </w:tc>
              <w:tc>
                <w:tcPr>
                  <w:tcW w:w="372" w:type="pct"/>
                  <w:vAlign w:val="center"/>
                </w:tcPr>
                <w:p w14:paraId="4EB9E834">
                  <w:pPr>
                    <w:pStyle w:val="20"/>
                    <w:bidi w:val="0"/>
                    <w:rPr>
                      <w:rFonts w:hint="default"/>
                      <w:color w:val="auto"/>
                      <w:highlight w:val="none"/>
                      <w:lang w:val="en-US" w:eastAsia="zh-CN"/>
                    </w:rPr>
                  </w:pPr>
                  <w:r>
                    <w:rPr>
                      <w:rFonts w:hint="eastAsia"/>
                      <w:color w:val="auto"/>
                      <w:highlight w:val="none"/>
                      <w:lang w:val="en-US" w:eastAsia="zh-CN"/>
                    </w:rPr>
                    <w:t>0.048</w:t>
                  </w:r>
                </w:p>
              </w:tc>
              <w:tc>
                <w:tcPr>
                  <w:tcW w:w="535" w:type="pct"/>
                  <w:vAlign w:val="center"/>
                </w:tcPr>
                <w:p w14:paraId="2815AC2F">
                  <w:pPr>
                    <w:pStyle w:val="20"/>
                    <w:bidi w:val="0"/>
                    <w:rPr>
                      <w:rFonts w:hint="eastAsia"/>
                      <w:color w:val="auto"/>
                      <w:highlight w:val="none"/>
                    </w:rPr>
                  </w:pPr>
                  <w:r>
                    <w:rPr>
                      <w:rFonts w:hint="default"/>
                      <w:color w:val="auto"/>
                      <w:highlight w:val="none"/>
                      <w:lang w:val="en-US" w:eastAsia="zh-CN"/>
                    </w:rPr>
                    <w:t>400</w:t>
                  </w:r>
                </w:p>
              </w:tc>
              <w:tc>
                <w:tcPr>
                  <w:tcW w:w="381" w:type="pct"/>
                  <w:gridSpan w:val="2"/>
                  <w:vAlign w:val="center"/>
                </w:tcPr>
                <w:p w14:paraId="02698237">
                  <w:pPr>
                    <w:pStyle w:val="20"/>
                    <w:bidi w:val="0"/>
                    <w:rPr>
                      <w:rFonts w:hint="eastAsia"/>
                      <w:color w:val="auto"/>
                      <w:highlight w:val="none"/>
                    </w:rPr>
                  </w:pPr>
                  <w:r>
                    <w:rPr>
                      <w:rFonts w:hint="eastAsia"/>
                      <w:color w:val="auto"/>
                      <w:highlight w:val="none"/>
                    </w:rPr>
                    <w:t>达标</w:t>
                  </w:r>
                </w:p>
              </w:tc>
            </w:tr>
            <w:tr w14:paraId="7B343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92" w:type="pct"/>
                  <w:vMerge w:val="restart"/>
                  <w:vAlign w:val="center"/>
                </w:tcPr>
                <w:p w14:paraId="5476D62D">
                  <w:pPr>
                    <w:pStyle w:val="20"/>
                    <w:bidi w:val="0"/>
                    <w:rPr>
                      <w:rFonts w:hint="default"/>
                      <w:color w:val="auto"/>
                      <w:highlight w:val="none"/>
                      <w:lang w:val="en-US" w:eastAsia="zh-CN"/>
                    </w:rPr>
                  </w:pPr>
                  <w:r>
                    <w:rPr>
                      <w:rFonts w:hint="eastAsia"/>
                      <w:color w:val="auto"/>
                      <w:highlight w:val="none"/>
                      <w:lang w:val="en-US" w:eastAsia="zh-CN"/>
                    </w:rPr>
                    <w:t>全厂合计</w:t>
                  </w:r>
                </w:p>
              </w:tc>
              <w:tc>
                <w:tcPr>
                  <w:tcW w:w="319" w:type="pct"/>
                  <w:vMerge w:val="restart"/>
                  <w:vAlign w:val="center"/>
                </w:tcPr>
                <w:p w14:paraId="50C7062C">
                  <w:pPr>
                    <w:pStyle w:val="20"/>
                    <w:bidi w:val="0"/>
                    <w:rPr>
                      <w:rFonts w:hint="default"/>
                      <w:color w:val="auto"/>
                      <w:highlight w:val="none"/>
                      <w:lang w:val="en-US" w:eastAsia="zh-CN"/>
                    </w:rPr>
                  </w:pPr>
                  <w:r>
                    <w:rPr>
                      <w:rFonts w:hint="eastAsia"/>
                      <w:color w:val="auto"/>
                      <w:highlight w:val="none"/>
                      <w:lang w:val="en-US" w:eastAsia="zh-CN"/>
                    </w:rPr>
                    <w:t>1519.264</w:t>
                  </w:r>
                </w:p>
              </w:tc>
              <w:tc>
                <w:tcPr>
                  <w:tcW w:w="214" w:type="pct"/>
                  <w:vMerge w:val="restart"/>
                  <w:vAlign w:val="center"/>
                </w:tcPr>
                <w:p w14:paraId="17F7FBBF">
                  <w:pPr>
                    <w:pStyle w:val="20"/>
                    <w:bidi w:val="0"/>
                    <w:rPr>
                      <w:color w:val="auto"/>
                      <w:highlight w:val="none"/>
                    </w:rPr>
                  </w:pPr>
                  <w:r>
                    <w:rPr>
                      <w:rFonts w:hint="eastAsia"/>
                      <w:color w:val="auto"/>
                      <w:highlight w:val="none"/>
                      <w:lang w:val="en-US" w:eastAsia="zh-CN"/>
                    </w:rPr>
                    <w:t>/</w:t>
                  </w:r>
                </w:p>
              </w:tc>
              <w:tc>
                <w:tcPr>
                  <w:tcW w:w="438" w:type="pct"/>
                  <w:vAlign w:val="center"/>
                </w:tcPr>
                <w:p w14:paraId="6792C1A7">
                  <w:pPr>
                    <w:pStyle w:val="20"/>
                    <w:bidi w:val="0"/>
                    <w:rPr>
                      <w:rFonts w:hint="eastAsia"/>
                      <w:color w:val="auto"/>
                      <w:highlight w:val="none"/>
                      <w:lang w:val="en-US" w:eastAsia="zh-CN"/>
                    </w:rPr>
                  </w:pPr>
                  <w:r>
                    <w:rPr>
                      <w:rFonts w:hint="eastAsia"/>
                      <w:color w:val="auto"/>
                      <w:highlight w:val="none"/>
                    </w:rPr>
                    <w:t>pH</w:t>
                  </w:r>
                  <w:r>
                    <w:rPr>
                      <w:rFonts w:hint="eastAsia"/>
                      <w:color w:val="auto"/>
                      <w:highlight w:val="none"/>
                      <w:lang w:eastAsia="zh-CN"/>
                    </w:rPr>
                    <w:t>（</w:t>
                  </w:r>
                  <w:r>
                    <w:rPr>
                      <w:rFonts w:hint="eastAsia"/>
                      <w:color w:val="auto"/>
                      <w:highlight w:val="none"/>
                      <w:lang w:val="en-US" w:eastAsia="zh-CN"/>
                    </w:rPr>
                    <w:t>无量纲）</w:t>
                  </w:r>
                </w:p>
              </w:tc>
              <w:tc>
                <w:tcPr>
                  <w:tcW w:w="509" w:type="pct"/>
                  <w:vAlign w:val="center"/>
                </w:tcPr>
                <w:p w14:paraId="43768FCD">
                  <w:pPr>
                    <w:pStyle w:val="20"/>
                    <w:bidi w:val="0"/>
                    <w:rPr>
                      <w:rFonts w:hint="eastAsia"/>
                      <w:color w:val="auto"/>
                      <w:highlight w:val="none"/>
                      <w:lang w:val="en-US" w:eastAsia="zh-CN"/>
                    </w:rPr>
                  </w:pPr>
                  <w:r>
                    <w:rPr>
                      <w:rFonts w:hint="eastAsia"/>
                      <w:color w:val="auto"/>
                      <w:highlight w:val="none"/>
                      <w:lang w:val="en-US" w:eastAsia="zh-CN"/>
                    </w:rPr>
                    <w:t>/</w:t>
                  </w:r>
                </w:p>
              </w:tc>
              <w:tc>
                <w:tcPr>
                  <w:tcW w:w="393" w:type="pct"/>
                  <w:vAlign w:val="center"/>
                </w:tcPr>
                <w:p w14:paraId="4C5E6424">
                  <w:pPr>
                    <w:pStyle w:val="20"/>
                    <w:bidi w:val="0"/>
                    <w:rPr>
                      <w:rFonts w:hint="eastAsia"/>
                      <w:color w:val="auto"/>
                      <w:highlight w:val="none"/>
                      <w:lang w:val="en-US" w:eastAsia="zh-CN"/>
                    </w:rPr>
                  </w:pPr>
                  <w:r>
                    <w:rPr>
                      <w:rFonts w:hint="eastAsia"/>
                      <w:color w:val="auto"/>
                      <w:highlight w:val="none"/>
                      <w:lang w:val="en-US" w:eastAsia="zh-CN"/>
                    </w:rPr>
                    <w:t>/</w:t>
                  </w:r>
                </w:p>
              </w:tc>
              <w:tc>
                <w:tcPr>
                  <w:tcW w:w="459" w:type="pct"/>
                  <w:vMerge w:val="restart"/>
                  <w:vAlign w:val="center"/>
                </w:tcPr>
                <w:p w14:paraId="06261A1B">
                  <w:pPr>
                    <w:pStyle w:val="20"/>
                    <w:bidi w:val="0"/>
                    <w:rPr>
                      <w:color w:val="auto"/>
                      <w:highlight w:val="none"/>
                    </w:rPr>
                  </w:pPr>
                  <w:r>
                    <w:rPr>
                      <w:rFonts w:hint="eastAsia"/>
                      <w:color w:val="auto"/>
                      <w:highlight w:val="none"/>
                      <w:lang w:val="en-US" w:eastAsia="zh-CN"/>
                    </w:rPr>
                    <w:t>项目生活废水、地面清洁废水进入</w:t>
                  </w:r>
                  <w:r>
                    <w:rPr>
                      <w:rFonts w:hint="eastAsia"/>
                      <w:color w:val="auto"/>
                      <w:highlight w:val="none"/>
                      <w:lang w:eastAsia="zh-CN"/>
                    </w:rPr>
                    <w:t>已建生化池处理达标后，</w:t>
                  </w:r>
                  <w:r>
                    <w:rPr>
                      <w:rFonts w:hint="eastAsia"/>
                      <w:color w:val="auto"/>
                      <w:highlight w:val="none"/>
                      <w:lang w:val="en-US" w:eastAsia="zh-CN"/>
                    </w:rPr>
                    <w:t>同循环冷却水经厂区废水排放口进入市政污水管网</w:t>
                  </w:r>
                </w:p>
              </w:tc>
              <w:tc>
                <w:tcPr>
                  <w:tcW w:w="352" w:type="pct"/>
                  <w:vMerge w:val="restart"/>
                  <w:vAlign w:val="center"/>
                </w:tcPr>
                <w:p w14:paraId="44A3F485">
                  <w:pPr>
                    <w:pStyle w:val="20"/>
                    <w:bidi w:val="0"/>
                    <w:rPr>
                      <w:color w:val="auto"/>
                      <w:highlight w:val="none"/>
                    </w:rPr>
                  </w:pPr>
                  <w:r>
                    <w:rPr>
                      <w:rFonts w:hint="eastAsia"/>
                      <w:color w:val="auto"/>
                      <w:highlight w:val="none"/>
                      <w:lang w:val="en-US" w:eastAsia="zh-CN"/>
                    </w:rPr>
                    <w:t>是</w:t>
                  </w:r>
                </w:p>
              </w:tc>
              <w:tc>
                <w:tcPr>
                  <w:tcW w:w="283" w:type="pct"/>
                  <w:vAlign w:val="center"/>
                </w:tcPr>
                <w:p w14:paraId="5DCD85A0">
                  <w:pPr>
                    <w:pStyle w:val="20"/>
                    <w:bidi w:val="0"/>
                    <w:rPr>
                      <w:rFonts w:hint="eastAsia"/>
                      <w:color w:val="auto"/>
                      <w:highlight w:val="none"/>
                      <w:lang w:val="en-US" w:eastAsia="zh-CN"/>
                    </w:rPr>
                  </w:pPr>
                  <w:r>
                    <w:rPr>
                      <w:rFonts w:hint="eastAsia"/>
                      <w:color w:val="auto"/>
                      <w:highlight w:val="none"/>
                      <w:lang w:val="en-US" w:eastAsia="zh-CN"/>
                    </w:rPr>
                    <w:t>/</w:t>
                  </w:r>
                </w:p>
              </w:tc>
              <w:tc>
                <w:tcPr>
                  <w:tcW w:w="446" w:type="pct"/>
                  <w:vAlign w:val="center"/>
                </w:tcPr>
                <w:p w14:paraId="2CE6D5AF">
                  <w:pPr>
                    <w:pStyle w:val="20"/>
                    <w:bidi w:val="0"/>
                    <w:rPr>
                      <w:rFonts w:hint="default"/>
                      <w:color w:val="auto"/>
                      <w:highlight w:val="none"/>
                      <w:lang w:val="en-US" w:eastAsia="zh-CN"/>
                    </w:rPr>
                  </w:pPr>
                  <w:r>
                    <w:rPr>
                      <w:rFonts w:hint="eastAsia"/>
                      <w:color w:val="auto"/>
                      <w:highlight w:val="none"/>
                      <w:lang w:val="en-US" w:eastAsia="zh-CN"/>
                    </w:rPr>
                    <w:t>6-9</w:t>
                  </w:r>
                </w:p>
              </w:tc>
              <w:tc>
                <w:tcPr>
                  <w:tcW w:w="372" w:type="pct"/>
                  <w:vAlign w:val="center"/>
                </w:tcPr>
                <w:p w14:paraId="4FC36C68">
                  <w:pPr>
                    <w:pStyle w:val="20"/>
                    <w:bidi w:val="0"/>
                    <w:rPr>
                      <w:rFonts w:hint="default"/>
                      <w:color w:val="auto"/>
                      <w:highlight w:val="none"/>
                      <w:lang w:val="en-US" w:eastAsia="zh-CN"/>
                    </w:rPr>
                  </w:pPr>
                  <w:r>
                    <w:rPr>
                      <w:rFonts w:hint="eastAsia"/>
                      <w:color w:val="auto"/>
                      <w:highlight w:val="none"/>
                      <w:lang w:val="en-US" w:eastAsia="zh-CN"/>
                    </w:rPr>
                    <w:t>/</w:t>
                  </w:r>
                </w:p>
              </w:tc>
              <w:tc>
                <w:tcPr>
                  <w:tcW w:w="535" w:type="pct"/>
                  <w:shd w:val="clear" w:color="auto" w:fill="auto"/>
                  <w:vAlign w:val="center"/>
                </w:tcPr>
                <w:p w14:paraId="14C0520C">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6~9</w:t>
                  </w:r>
                </w:p>
              </w:tc>
              <w:tc>
                <w:tcPr>
                  <w:tcW w:w="381" w:type="pct"/>
                  <w:gridSpan w:val="2"/>
                  <w:vAlign w:val="center"/>
                </w:tcPr>
                <w:p w14:paraId="7969F503">
                  <w:pPr>
                    <w:pStyle w:val="20"/>
                    <w:bidi w:val="0"/>
                    <w:rPr>
                      <w:rFonts w:hint="eastAsia"/>
                      <w:color w:val="auto"/>
                      <w:highlight w:val="none"/>
                      <w:lang w:val="en-US" w:eastAsia="zh-CN"/>
                    </w:rPr>
                  </w:pPr>
                  <w:r>
                    <w:rPr>
                      <w:rFonts w:hint="eastAsia"/>
                      <w:color w:val="auto"/>
                      <w:highlight w:val="none"/>
                    </w:rPr>
                    <w:t>达标</w:t>
                  </w:r>
                </w:p>
              </w:tc>
            </w:tr>
            <w:tr w14:paraId="3EBAB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92" w:type="pct"/>
                  <w:vMerge w:val="continue"/>
                  <w:vAlign w:val="center"/>
                </w:tcPr>
                <w:p w14:paraId="1FD9E4ED">
                  <w:pPr>
                    <w:pStyle w:val="20"/>
                    <w:bidi w:val="0"/>
                    <w:rPr>
                      <w:color w:val="auto"/>
                      <w:highlight w:val="none"/>
                    </w:rPr>
                  </w:pPr>
                </w:p>
              </w:tc>
              <w:tc>
                <w:tcPr>
                  <w:tcW w:w="319" w:type="pct"/>
                  <w:vMerge w:val="continue"/>
                  <w:vAlign w:val="center"/>
                </w:tcPr>
                <w:p w14:paraId="2534CEAE">
                  <w:pPr>
                    <w:pStyle w:val="20"/>
                    <w:bidi w:val="0"/>
                    <w:rPr>
                      <w:color w:val="auto"/>
                      <w:highlight w:val="none"/>
                    </w:rPr>
                  </w:pPr>
                </w:p>
              </w:tc>
              <w:tc>
                <w:tcPr>
                  <w:tcW w:w="214" w:type="pct"/>
                  <w:vMerge w:val="continue"/>
                  <w:vAlign w:val="center"/>
                </w:tcPr>
                <w:p w14:paraId="0DBBEE84">
                  <w:pPr>
                    <w:pStyle w:val="20"/>
                    <w:bidi w:val="0"/>
                    <w:rPr>
                      <w:color w:val="auto"/>
                      <w:highlight w:val="none"/>
                    </w:rPr>
                  </w:pPr>
                </w:p>
              </w:tc>
              <w:tc>
                <w:tcPr>
                  <w:tcW w:w="438" w:type="pct"/>
                  <w:vAlign w:val="center"/>
                </w:tcPr>
                <w:p w14:paraId="18BA0FBD">
                  <w:pPr>
                    <w:pStyle w:val="20"/>
                    <w:bidi w:val="0"/>
                    <w:rPr>
                      <w:rFonts w:hint="eastAsia"/>
                      <w:color w:val="auto"/>
                      <w:highlight w:val="none"/>
                      <w:lang w:val="en-US" w:eastAsia="zh-CN"/>
                    </w:rPr>
                  </w:pPr>
                  <w:r>
                    <w:rPr>
                      <w:rFonts w:hint="eastAsia"/>
                      <w:color w:val="auto"/>
                      <w:highlight w:val="none"/>
                    </w:rPr>
                    <w:t>COD</w:t>
                  </w:r>
                </w:p>
              </w:tc>
              <w:tc>
                <w:tcPr>
                  <w:tcW w:w="509" w:type="pct"/>
                  <w:vAlign w:val="center"/>
                </w:tcPr>
                <w:p w14:paraId="2CE1669D">
                  <w:pPr>
                    <w:pStyle w:val="20"/>
                    <w:bidi w:val="0"/>
                    <w:rPr>
                      <w:rFonts w:hint="eastAsia"/>
                      <w:color w:val="auto"/>
                      <w:highlight w:val="none"/>
                      <w:lang w:val="en-US" w:eastAsia="zh-CN"/>
                    </w:rPr>
                  </w:pPr>
                  <w:r>
                    <w:rPr>
                      <w:rFonts w:hint="eastAsia"/>
                      <w:color w:val="auto"/>
                      <w:highlight w:val="none"/>
                      <w:lang w:val="en-US" w:eastAsia="zh-CN"/>
                    </w:rPr>
                    <w:t>/</w:t>
                  </w:r>
                </w:p>
              </w:tc>
              <w:tc>
                <w:tcPr>
                  <w:tcW w:w="393" w:type="pct"/>
                  <w:vAlign w:val="center"/>
                </w:tcPr>
                <w:p w14:paraId="2EF40F50">
                  <w:pPr>
                    <w:pStyle w:val="20"/>
                    <w:bidi w:val="0"/>
                    <w:rPr>
                      <w:rFonts w:hint="eastAsia"/>
                      <w:color w:val="auto"/>
                      <w:highlight w:val="none"/>
                      <w:lang w:val="en-US" w:eastAsia="zh-CN"/>
                    </w:rPr>
                  </w:pPr>
                  <w:r>
                    <w:rPr>
                      <w:rFonts w:hint="eastAsia"/>
                      <w:color w:val="auto"/>
                      <w:highlight w:val="none"/>
                      <w:lang w:val="en-US" w:eastAsia="zh-CN"/>
                    </w:rPr>
                    <w:t>/</w:t>
                  </w:r>
                </w:p>
              </w:tc>
              <w:tc>
                <w:tcPr>
                  <w:tcW w:w="459" w:type="pct"/>
                  <w:vMerge w:val="continue"/>
                  <w:vAlign w:val="center"/>
                </w:tcPr>
                <w:p w14:paraId="55A7029C">
                  <w:pPr>
                    <w:pStyle w:val="20"/>
                    <w:bidi w:val="0"/>
                    <w:rPr>
                      <w:color w:val="auto"/>
                      <w:highlight w:val="none"/>
                    </w:rPr>
                  </w:pPr>
                </w:p>
              </w:tc>
              <w:tc>
                <w:tcPr>
                  <w:tcW w:w="352" w:type="pct"/>
                  <w:vMerge w:val="continue"/>
                  <w:vAlign w:val="center"/>
                </w:tcPr>
                <w:p w14:paraId="0F5BFF54">
                  <w:pPr>
                    <w:pStyle w:val="20"/>
                    <w:bidi w:val="0"/>
                    <w:rPr>
                      <w:color w:val="auto"/>
                      <w:highlight w:val="none"/>
                    </w:rPr>
                  </w:pPr>
                </w:p>
              </w:tc>
              <w:tc>
                <w:tcPr>
                  <w:tcW w:w="283" w:type="pct"/>
                  <w:vAlign w:val="center"/>
                </w:tcPr>
                <w:p w14:paraId="3064F975">
                  <w:pPr>
                    <w:pStyle w:val="20"/>
                    <w:bidi w:val="0"/>
                    <w:rPr>
                      <w:color w:val="auto"/>
                      <w:highlight w:val="none"/>
                      <w:lang w:val="en-US" w:eastAsia="zh-CN"/>
                    </w:rPr>
                  </w:pPr>
                  <w:r>
                    <w:rPr>
                      <w:rFonts w:hint="eastAsia"/>
                      <w:color w:val="auto"/>
                      <w:highlight w:val="none"/>
                      <w:lang w:val="en-US" w:eastAsia="zh-CN"/>
                    </w:rPr>
                    <w:t>/</w:t>
                  </w:r>
                </w:p>
              </w:tc>
              <w:tc>
                <w:tcPr>
                  <w:tcW w:w="446" w:type="pct"/>
                  <w:vAlign w:val="center"/>
                </w:tcPr>
                <w:p w14:paraId="4419B3B0">
                  <w:pPr>
                    <w:keepNext w:val="0"/>
                    <w:keepLines w:val="0"/>
                    <w:widowControl/>
                    <w:suppressLineNumbers w:val="0"/>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213.3</w:t>
                  </w:r>
                </w:p>
              </w:tc>
              <w:tc>
                <w:tcPr>
                  <w:tcW w:w="372" w:type="pct"/>
                  <w:shd w:val="clear" w:color="auto" w:fill="auto"/>
                  <w:vAlign w:val="center"/>
                </w:tcPr>
                <w:p w14:paraId="6E4A9E0F">
                  <w:pPr>
                    <w:keepNext w:val="0"/>
                    <w:keepLines w:val="0"/>
                    <w:widowControl/>
                    <w:suppressLineNumbers w:val="0"/>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0.324</w:t>
                  </w:r>
                </w:p>
              </w:tc>
              <w:tc>
                <w:tcPr>
                  <w:tcW w:w="535" w:type="pct"/>
                  <w:shd w:val="clear" w:color="auto" w:fill="auto"/>
                  <w:vAlign w:val="center"/>
                </w:tcPr>
                <w:p w14:paraId="1C66B455">
                  <w:pPr>
                    <w:pStyle w:val="20"/>
                    <w:bidi w:val="0"/>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500</w:t>
                  </w:r>
                </w:p>
              </w:tc>
              <w:tc>
                <w:tcPr>
                  <w:tcW w:w="381" w:type="pct"/>
                  <w:gridSpan w:val="2"/>
                  <w:vAlign w:val="center"/>
                </w:tcPr>
                <w:p w14:paraId="613DE814">
                  <w:pPr>
                    <w:pStyle w:val="20"/>
                    <w:bidi w:val="0"/>
                    <w:rPr>
                      <w:rFonts w:hint="eastAsia"/>
                      <w:color w:val="auto"/>
                      <w:highlight w:val="none"/>
                    </w:rPr>
                  </w:pPr>
                  <w:r>
                    <w:rPr>
                      <w:rFonts w:hint="eastAsia"/>
                      <w:color w:val="auto"/>
                      <w:highlight w:val="none"/>
                    </w:rPr>
                    <w:t>达标</w:t>
                  </w:r>
                </w:p>
              </w:tc>
            </w:tr>
            <w:tr w14:paraId="08DB5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92" w:type="pct"/>
                  <w:vMerge w:val="continue"/>
                  <w:vAlign w:val="center"/>
                </w:tcPr>
                <w:p w14:paraId="13AA8599">
                  <w:pPr>
                    <w:pStyle w:val="20"/>
                    <w:bidi w:val="0"/>
                    <w:rPr>
                      <w:color w:val="auto"/>
                      <w:highlight w:val="none"/>
                    </w:rPr>
                  </w:pPr>
                </w:p>
              </w:tc>
              <w:tc>
                <w:tcPr>
                  <w:tcW w:w="319" w:type="pct"/>
                  <w:vMerge w:val="continue"/>
                  <w:vAlign w:val="center"/>
                </w:tcPr>
                <w:p w14:paraId="5F00179D">
                  <w:pPr>
                    <w:pStyle w:val="20"/>
                    <w:bidi w:val="0"/>
                    <w:rPr>
                      <w:color w:val="auto"/>
                      <w:highlight w:val="none"/>
                    </w:rPr>
                  </w:pPr>
                </w:p>
              </w:tc>
              <w:tc>
                <w:tcPr>
                  <w:tcW w:w="214" w:type="pct"/>
                  <w:vMerge w:val="continue"/>
                  <w:vAlign w:val="center"/>
                </w:tcPr>
                <w:p w14:paraId="7C3E4E3D">
                  <w:pPr>
                    <w:pStyle w:val="20"/>
                    <w:bidi w:val="0"/>
                    <w:rPr>
                      <w:color w:val="auto"/>
                      <w:highlight w:val="none"/>
                    </w:rPr>
                  </w:pPr>
                </w:p>
              </w:tc>
              <w:tc>
                <w:tcPr>
                  <w:tcW w:w="438" w:type="pct"/>
                  <w:vAlign w:val="center"/>
                </w:tcPr>
                <w:p w14:paraId="326C764E">
                  <w:pPr>
                    <w:pStyle w:val="20"/>
                    <w:bidi w:val="0"/>
                    <w:rPr>
                      <w:rFonts w:hint="eastAsia"/>
                      <w:color w:val="auto"/>
                      <w:highlight w:val="none"/>
                      <w:lang w:val="en-US" w:eastAsia="zh-CN"/>
                    </w:rPr>
                  </w:pPr>
                  <w:r>
                    <w:rPr>
                      <w:rFonts w:hint="eastAsia"/>
                      <w:color w:val="auto"/>
                      <w:highlight w:val="none"/>
                    </w:rPr>
                    <w:t>BOD5</w:t>
                  </w:r>
                </w:p>
              </w:tc>
              <w:tc>
                <w:tcPr>
                  <w:tcW w:w="509" w:type="pct"/>
                  <w:vAlign w:val="center"/>
                </w:tcPr>
                <w:p w14:paraId="03DE6625">
                  <w:pPr>
                    <w:pStyle w:val="20"/>
                    <w:bidi w:val="0"/>
                    <w:rPr>
                      <w:rFonts w:hint="eastAsia"/>
                      <w:color w:val="auto"/>
                      <w:highlight w:val="none"/>
                      <w:lang w:val="en-US" w:eastAsia="zh-CN"/>
                    </w:rPr>
                  </w:pPr>
                  <w:r>
                    <w:rPr>
                      <w:rFonts w:hint="eastAsia"/>
                      <w:color w:val="auto"/>
                      <w:highlight w:val="none"/>
                      <w:lang w:val="en-US" w:eastAsia="zh-CN"/>
                    </w:rPr>
                    <w:t>/</w:t>
                  </w:r>
                </w:p>
              </w:tc>
              <w:tc>
                <w:tcPr>
                  <w:tcW w:w="393" w:type="pct"/>
                  <w:vAlign w:val="center"/>
                </w:tcPr>
                <w:p w14:paraId="7C7362C4">
                  <w:pPr>
                    <w:pStyle w:val="20"/>
                    <w:bidi w:val="0"/>
                    <w:rPr>
                      <w:rFonts w:hint="eastAsia"/>
                      <w:color w:val="auto"/>
                      <w:highlight w:val="none"/>
                      <w:lang w:val="en-US" w:eastAsia="zh-CN"/>
                    </w:rPr>
                  </w:pPr>
                  <w:r>
                    <w:rPr>
                      <w:rFonts w:hint="eastAsia"/>
                      <w:color w:val="auto"/>
                      <w:highlight w:val="none"/>
                      <w:lang w:val="en-US" w:eastAsia="zh-CN"/>
                    </w:rPr>
                    <w:t>/</w:t>
                  </w:r>
                </w:p>
              </w:tc>
              <w:tc>
                <w:tcPr>
                  <w:tcW w:w="459" w:type="pct"/>
                  <w:vMerge w:val="continue"/>
                  <w:vAlign w:val="center"/>
                </w:tcPr>
                <w:p w14:paraId="574F8BB8">
                  <w:pPr>
                    <w:pStyle w:val="20"/>
                    <w:bidi w:val="0"/>
                    <w:rPr>
                      <w:color w:val="auto"/>
                      <w:highlight w:val="none"/>
                    </w:rPr>
                  </w:pPr>
                </w:p>
              </w:tc>
              <w:tc>
                <w:tcPr>
                  <w:tcW w:w="352" w:type="pct"/>
                  <w:vMerge w:val="continue"/>
                  <w:vAlign w:val="center"/>
                </w:tcPr>
                <w:p w14:paraId="0E002BF8">
                  <w:pPr>
                    <w:pStyle w:val="20"/>
                    <w:bidi w:val="0"/>
                    <w:rPr>
                      <w:color w:val="auto"/>
                      <w:highlight w:val="none"/>
                    </w:rPr>
                  </w:pPr>
                </w:p>
              </w:tc>
              <w:tc>
                <w:tcPr>
                  <w:tcW w:w="283" w:type="pct"/>
                  <w:vAlign w:val="center"/>
                </w:tcPr>
                <w:p w14:paraId="31FDE5BD">
                  <w:pPr>
                    <w:pStyle w:val="20"/>
                    <w:bidi w:val="0"/>
                    <w:rPr>
                      <w:color w:val="auto"/>
                      <w:highlight w:val="none"/>
                      <w:lang w:val="en-US" w:eastAsia="zh-CN"/>
                    </w:rPr>
                  </w:pPr>
                  <w:r>
                    <w:rPr>
                      <w:rFonts w:hint="eastAsia"/>
                      <w:color w:val="auto"/>
                      <w:highlight w:val="none"/>
                      <w:lang w:val="en-US" w:eastAsia="zh-CN"/>
                    </w:rPr>
                    <w:t>/</w:t>
                  </w:r>
                </w:p>
              </w:tc>
              <w:tc>
                <w:tcPr>
                  <w:tcW w:w="446" w:type="pct"/>
                  <w:vAlign w:val="center"/>
                </w:tcPr>
                <w:p w14:paraId="1DD6E413">
                  <w:pPr>
                    <w:keepNext w:val="0"/>
                    <w:keepLines w:val="0"/>
                    <w:widowControl/>
                    <w:suppressLineNumbers w:val="0"/>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102.7</w:t>
                  </w:r>
                </w:p>
              </w:tc>
              <w:tc>
                <w:tcPr>
                  <w:tcW w:w="372" w:type="pct"/>
                  <w:shd w:val="clear" w:color="auto" w:fill="auto"/>
                  <w:vAlign w:val="center"/>
                </w:tcPr>
                <w:p w14:paraId="6C8515CB">
                  <w:pPr>
                    <w:keepNext w:val="0"/>
                    <w:keepLines w:val="0"/>
                    <w:widowControl/>
                    <w:suppressLineNumbers w:val="0"/>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0.156</w:t>
                  </w:r>
                </w:p>
              </w:tc>
              <w:tc>
                <w:tcPr>
                  <w:tcW w:w="535" w:type="pct"/>
                  <w:shd w:val="clear" w:color="auto" w:fill="auto"/>
                  <w:vAlign w:val="center"/>
                </w:tcPr>
                <w:p w14:paraId="09150BBB">
                  <w:pPr>
                    <w:pStyle w:val="20"/>
                    <w:bidi w:val="0"/>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300</w:t>
                  </w:r>
                </w:p>
              </w:tc>
              <w:tc>
                <w:tcPr>
                  <w:tcW w:w="381" w:type="pct"/>
                  <w:gridSpan w:val="2"/>
                  <w:vAlign w:val="center"/>
                </w:tcPr>
                <w:p w14:paraId="446A0D73">
                  <w:pPr>
                    <w:pStyle w:val="20"/>
                    <w:bidi w:val="0"/>
                    <w:rPr>
                      <w:rFonts w:hint="eastAsia"/>
                      <w:color w:val="auto"/>
                      <w:highlight w:val="none"/>
                    </w:rPr>
                  </w:pPr>
                  <w:r>
                    <w:rPr>
                      <w:rFonts w:hint="eastAsia"/>
                      <w:color w:val="auto"/>
                      <w:highlight w:val="none"/>
                    </w:rPr>
                    <w:t>达标</w:t>
                  </w:r>
                </w:p>
              </w:tc>
            </w:tr>
            <w:tr w14:paraId="07BB3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92" w:type="pct"/>
                  <w:vMerge w:val="continue"/>
                  <w:vAlign w:val="center"/>
                </w:tcPr>
                <w:p w14:paraId="43A81D24">
                  <w:pPr>
                    <w:pStyle w:val="20"/>
                    <w:bidi w:val="0"/>
                    <w:rPr>
                      <w:color w:val="auto"/>
                      <w:highlight w:val="none"/>
                    </w:rPr>
                  </w:pPr>
                </w:p>
              </w:tc>
              <w:tc>
                <w:tcPr>
                  <w:tcW w:w="319" w:type="pct"/>
                  <w:vMerge w:val="continue"/>
                  <w:vAlign w:val="center"/>
                </w:tcPr>
                <w:p w14:paraId="33A1B227">
                  <w:pPr>
                    <w:pStyle w:val="20"/>
                    <w:bidi w:val="0"/>
                    <w:rPr>
                      <w:color w:val="auto"/>
                      <w:highlight w:val="none"/>
                    </w:rPr>
                  </w:pPr>
                </w:p>
              </w:tc>
              <w:tc>
                <w:tcPr>
                  <w:tcW w:w="214" w:type="pct"/>
                  <w:vMerge w:val="continue"/>
                  <w:vAlign w:val="center"/>
                </w:tcPr>
                <w:p w14:paraId="0BABA39C">
                  <w:pPr>
                    <w:pStyle w:val="20"/>
                    <w:bidi w:val="0"/>
                    <w:rPr>
                      <w:color w:val="auto"/>
                      <w:highlight w:val="none"/>
                    </w:rPr>
                  </w:pPr>
                </w:p>
              </w:tc>
              <w:tc>
                <w:tcPr>
                  <w:tcW w:w="438" w:type="pct"/>
                  <w:vAlign w:val="center"/>
                </w:tcPr>
                <w:p w14:paraId="014AB3D2">
                  <w:pPr>
                    <w:pStyle w:val="20"/>
                    <w:bidi w:val="0"/>
                    <w:rPr>
                      <w:rFonts w:hint="eastAsia"/>
                      <w:color w:val="auto"/>
                      <w:highlight w:val="none"/>
                      <w:lang w:val="en-US" w:eastAsia="zh-CN"/>
                    </w:rPr>
                  </w:pPr>
                  <w:r>
                    <w:rPr>
                      <w:rFonts w:hint="eastAsia"/>
                      <w:color w:val="auto"/>
                      <w:highlight w:val="none"/>
                    </w:rPr>
                    <w:t>SS</w:t>
                  </w:r>
                </w:p>
              </w:tc>
              <w:tc>
                <w:tcPr>
                  <w:tcW w:w="509" w:type="pct"/>
                  <w:vAlign w:val="center"/>
                </w:tcPr>
                <w:p w14:paraId="75C00AD0">
                  <w:pPr>
                    <w:pStyle w:val="20"/>
                    <w:bidi w:val="0"/>
                    <w:rPr>
                      <w:rFonts w:hint="default"/>
                      <w:color w:val="auto"/>
                      <w:highlight w:val="none"/>
                      <w:lang w:val="en-US" w:eastAsia="zh-CN"/>
                    </w:rPr>
                  </w:pPr>
                  <w:r>
                    <w:rPr>
                      <w:rFonts w:hint="eastAsia"/>
                      <w:color w:val="auto"/>
                      <w:highlight w:val="none"/>
                      <w:lang w:val="en-US" w:eastAsia="zh-CN"/>
                    </w:rPr>
                    <w:t>/</w:t>
                  </w:r>
                </w:p>
              </w:tc>
              <w:tc>
                <w:tcPr>
                  <w:tcW w:w="393" w:type="pct"/>
                  <w:vAlign w:val="center"/>
                </w:tcPr>
                <w:p w14:paraId="5302ACF4">
                  <w:pPr>
                    <w:pStyle w:val="20"/>
                    <w:bidi w:val="0"/>
                    <w:rPr>
                      <w:rFonts w:hint="eastAsia"/>
                      <w:color w:val="auto"/>
                      <w:highlight w:val="none"/>
                      <w:lang w:val="en-US" w:eastAsia="zh-CN"/>
                    </w:rPr>
                  </w:pPr>
                  <w:r>
                    <w:rPr>
                      <w:rFonts w:hint="eastAsia"/>
                      <w:color w:val="auto"/>
                      <w:highlight w:val="none"/>
                      <w:lang w:val="en-US" w:eastAsia="zh-CN"/>
                    </w:rPr>
                    <w:t>/</w:t>
                  </w:r>
                </w:p>
              </w:tc>
              <w:tc>
                <w:tcPr>
                  <w:tcW w:w="459" w:type="pct"/>
                  <w:vMerge w:val="continue"/>
                  <w:vAlign w:val="center"/>
                </w:tcPr>
                <w:p w14:paraId="0A543998">
                  <w:pPr>
                    <w:pStyle w:val="20"/>
                    <w:bidi w:val="0"/>
                    <w:rPr>
                      <w:color w:val="auto"/>
                      <w:highlight w:val="none"/>
                    </w:rPr>
                  </w:pPr>
                </w:p>
              </w:tc>
              <w:tc>
                <w:tcPr>
                  <w:tcW w:w="352" w:type="pct"/>
                  <w:vMerge w:val="continue"/>
                  <w:vAlign w:val="center"/>
                </w:tcPr>
                <w:p w14:paraId="5D8ED626">
                  <w:pPr>
                    <w:pStyle w:val="20"/>
                    <w:bidi w:val="0"/>
                    <w:rPr>
                      <w:color w:val="auto"/>
                      <w:highlight w:val="none"/>
                    </w:rPr>
                  </w:pPr>
                </w:p>
              </w:tc>
              <w:tc>
                <w:tcPr>
                  <w:tcW w:w="283" w:type="pct"/>
                  <w:vAlign w:val="center"/>
                </w:tcPr>
                <w:p w14:paraId="5BD7860B">
                  <w:pPr>
                    <w:pStyle w:val="20"/>
                    <w:bidi w:val="0"/>
                    <w:rPr>
                      <w:color w:val="auto"/>
                      <w:highlight w:val="none"/>
                      <w:lang w:val="en-US" w:eastAsia="zh-CN"/>
                    </w:rPr>
                  </w:pPr>
                  <w:r>
                    <w:rPr>
                      <w:rFonts w:hint="eastAsia"/>
                      <w:color w:val="auto"/>
                      <w:highlight w:val="none"/>
                      <w:lang w:val="en-US" w:eastAsia="zh-CN"/>
                    </w:rPr>
                    <w:t>/</w:t>
                  </w:r>
                </w:p>
              </w:tc>
              <w:tc>
                <w:tcPr>
                  <w:tcW w:w="446" w:type="pct"/>
                  <w:vAlign w:val="center"/>
                </w:tcPr>
                <w:p w14:paraId="440F2DC3">
                  <w:pPr>
                    <w:keepNext w:val="0"/>
                    <w:keepLines w:val="0"/>
                    <w:widowControl/>
                    <w:suppressLineNumbers w:val="0"/>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136.3</w:t>
                  </w:r>
                </w:p>
              </w:tc>
              <w:tc>
                <w:tcPr>
                  <w:tcW w:w="372" w:type="pct"/>
                  <w:shd w:val="clear" w:color="auto" w:fill="auto"/>
                  <w:vAlign w:val="center"/>
                </w:tcPr>
                <w:p w14:paraId="5815F708">
                  <w:pPr>
                    <w:keepNext w:val="0"/>
                    <w:keepLines w:val="0"/>
                    <w:widowControl/>
                    <w:suppressLineNumbers w:val="0"/>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0.207</w:t>
                  </w:r>
                </w:p>
              </w:tc>
              <w:tc>
                <w:tcPr>
                  <w:tcW w:w="535" w:type="pct"/>
                  <w:shd w:val="clear" w:color="auto" w:fill="auto"/>
                  <w:vAlign w:val="center"/>
                </w:tcPr>
                <w:p w14:paraId="62076CF0">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400</w:t>
                  </w:r>
                </w:p>
              </w:tc>
              <w:tc>
                <w:tcPr>
                  <w:tcW w:w="381" w:type="pct"/>
                  <w:gridSpan w:val="2"/>
                  <w:vAlign w:val="center"/>
                </w:tcPr>
                <w:p w14:paraId="7E66045D">
                  <w:pPr>
                    <w:pStyle w:val="20"/>
                    <w:bidi w:val="0"/>
                    <w:rPr>
                      <w:rFonts w:hint="eastAsia"/>
                      <w:color w:val="auto"/>
                      <w:highlight w:val="none"/>
                      <w:lang w:val="en-US" w:eastAsia="zh-CN"/>
                    </w:rPr>
                  </w:pPr>
                  <w:r>
                    <w:rPr>
                      <w:rFonts w:hint="eastAsia"/>
                      <w:color w:val="auto"/>
                      <w:highlight w:val="none"/>
                    </w:rPr>
                    <w:t>达标</w:t>
                  </w:r>
                </w:p>
              </w:tc>
            </w:tr>
            <w:tr w14:paraId="28BCD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92" w:type="pct"/>
                  <w:vMerge w:val="continue"/>
                  <w:vAlign w:val="center"/>
                </w:tcPr>
                <w:p w14:paraId="01C6DA89">
                  <w:pPr>
                    <w:pStyle w:val="20"/>
                    <w:bidi w:val="0"/>
                    <w:rPr>
                      <w:color w:val="auto"/>
                      <w:highlight w:val="none"/>
                    </w:rPr>
                  </w:pPr>
                </w:p>
              </w:tc>
              <w:tc>
                <w:tcPr>
                  <w:tcW w:w="319" w:type="pct"/>
                  <w:vMerge w:val="continue"/>
                  <w:vAlign w:val="center"/>
                </w:tcPr>
                <w:p w14:paraId="5D4671B1">
                  <w:pPr>
                    <w:pStyle w:val="20"/>
                    <w:bidi w:val="0"/>
                    <w:rPr>
                      <w:color w:val="auto"/>
                      <w:highlight w:val="none"/>
                    </w:rPr>
                  </w:pPr>
                </w:p>
              </w:tc>
              <w:tc>
                <w:tcPr>
                  <w:tcW w:w="214" w:type="pct"/>
                  <w:vMerge w:val="continue"/>
                  <w:vAlign w:val="center"/>
                </w:tcPr>
                <w:p w14:paraId="69B4D9A0">
                  <w:pPr>
                    <w:pStyle w:val="20"/>
                    <w:bidi w:val="0"/>
                    <w:rPr>
                      <w:color w:val="auto"/>
                      <w:highlight w:val="none"/>
                    </w:rPr>
                  </w:pPr>
                </w:p>
              </w:tc>
              <w:tc>
                <w:tcPr>
                  <w:tcW w:w="438" w:type="pct"/>
                  <w:vAlign w:val="center"/>
                </w:tcPr>
                <w:p w14:paraId="2F597CB7">
                  <w:pPr>
                    <w:pStyle w:val="20"/>
                    <w:bidi w:val="0"/>
                    <w:rPr>
                      <w:rFonts w:hint="eastAsia"/>
                      <w:color w:val="auto"/>
                      <w:highlight w:val="none"/>
                      <w:lang w:val="en-US" w:eastAsia="zh-CN"/>
                    </w:rPr>
                  </w:pPr>
                  <w:r>
                    <w:rPr>
                      <w:rFonts w:hint="eastAsia"/>
                      <w:color w:val="auto"/>
                      <w:highlight w:val="none"/>
                      <w:lang w:val="en-US" w:eastAsia="zh-CN"/>
                    </w:rPr>
                    <w:t>氨氮</w:t>
                  </w:r>
                </w:p>
              </w:tc>
              <w:tc>
                <w:tcPr>
                  <w:tcW w:w="509" w:type="pct"/>
                  <w:vAlign w:val="center"/>
                </w:tcPr>
                <w:p w14:paraId="5FB6955A">
                  <w:pPr>
                    <w:pStyle w:val="20"/>
                    <w:bidi w:val="0"/>
                    <w:rPr>
                      <w:rFonts w:hint="default"/>
                      <w:color w:val="auto"/>
                      <w:highlight w:val="none"/>
                      <w:lang w:val="en-US" w:eastAsia="zh-CN"/>
                    </w:rPr>
                  </w:pPr>
                  <w:r>
                    <w:rPr>
                      <w:rFonts w:hint="eastAsia"/>
                      <w:color w:val="auto"/>
                      <w:highlight w:val="none"/>
                      <w:lang w:val="en-US" w:eastAsia="zh-CN"/>
                    </w:rPr>
                    <w:t>/</w:t>
                  </w:r>
                </w:p>
              </w:tc>
              <w:tc>
                <w:tcPr>
                  <w:tcW w:w="393" w:type="pct"/>
                  <w:vAlign w:val="center"/>
                </w:tcPr>
                <w:p w14:paraId="39E59F99">
                  <w:pPr>
                    <w:pStyle w:val="20"/>
                    <w:bidi w:val="0"/>
                    <w:rPr>
                      <w:rFonts w:hint="eastAsia"/>
                      <w:color w:val="auto"/>
                      <w:highlight w:val="none"/>
                      <w:lang w:val="en-US" w:eastAsia="zh-CN"/>
                    </w:rPr>
                  </w:pPr>
                  <w:r>
                    <w:rPr>
                      <w:rFonts w:hint="eastAsia"/>
                      <w:color w:val="auto"/>
                      <w:highlight w:val="none"/>
                      <w:lang w:val="en-US" w:eastAsia="zh-CN"/>
                    </w:rPr>
                    <w:t>/</w:t>
                  </w:r>
                </w:p>
              </w:tc>
              <w:tc>
                <w:tcPr>
                  <w:tcW w:w="459" w:type="pct"/>
                  <w:vMerge w:val="continue"/>
                  <w:vAlign w:val="center"/>
                </w:tcPr>
                <w:p w14:paraId="40477083">
                  <w:pPr>
                    <w:pStyle w:val="20"/>
                    <w:bidi w:val="0"/>
                    <w:rPr>
                      <w:color w:val="auto"/>
                      <w:highlight w:val="none"/>
                    </w:rPr>
                  </w:pPr>
                </w:p>
              </w:tc>
              <w:tc>
                <w:tcPr>
                  <w:tcW w:w="352" w:type="pct"/>
                  <w:vMerge w:val="continue"/>
                  <w:vAlign w:val="center"/>
                </w:tcPr>
                <w:p w14:paraId="0EB3F9CB">
                  <w:pPr>
                    <w:pStyle w:val="20"/>
                    <w:bidi w:val="0"/>
                    <w:rPr>
                      <w:color w:val="auto"/>
                      <w:highlight w:val="none"/>
                    </w:rPr>
                  </w:pPr>
                </w:p>
              </w:tc>
              <w:tc>
                <w:tcPr>
                  <w:tcW w:w="283" w:type="pct"/>
                  <w:vAlign w:val="center"/>
                </w:tcPr>
                <w:p w14:paraId="04042E9B">
                  <w:pPr>
                    <w:pStyle w:val="20"/>
                    <w:bidi w:val="0"/>
                    <w:rPr>
                      <w:color w:val="auto"/>
                      <w:highlight w:val="none"/>
                      <w:lang w:val="en-US" w:eastAsia="zh-CN"/>
                    </w:rPr>
                  </w:pPr>
                  <w:r>
                    <w:rPr>
                      <w:rFonts w:hint="eastAsia"/>
                      <w:color w:val="auto"/>
                      <w:highlight w:val="none"/>
                      <w:lang w:val="en-US" w:eastAsia="zh-CN"/>
                    </w:rPr>
                    <w:t>/</w:t>
                  </w:r>
                </w:p>
              </w:tc>
              <w:tc>
                <w:tcPr>
                  <w:tcW w:w="446" w:type="pct"/>
                  <w:vAlign w:val="center"/>
                </w:tcPr>
                <w:p w14:paraId="29754350">
                  <w:pPr>
                    <w:keepNext w:val="0"/>
                    <w:keepLines w:val="0"/>
                    <w:widowControl/>
                    <w:suppressLineNumbers w:val="0"/>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20.4</w:t>
                  </w:r>
                </w:p>
              </w:tc>
              <w:tc>
                <w:tcPr>
                  <w:tcW w:w="372" w:type="pct"/>
                  <w:shd w:val="clear" w:color="auto" w:fill="auto"/>
                  <w:vAlign w:val="center"/>
                </w:tcPr>
                <w:p w14:paraId="34BDA163">
                  <w:pPr>
                    <w:keepNext w:val="0"/>
                    <w:keepLines w:val="0"/>
                    <w:widowControl/>
                    <w:suppressLineNumbers w:val="0"/>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0.031</w:t>
                  </w:r>
                </w:p>
              </w:tc>
              <w:tc>
                <w:tcPr>
                  <w:tcW w:w="535" w:type="pct"/>
                  <w:shd w:val="clear" w:color="auto" w:fill="auto"/>
                  <w:vAlign w:val="center"/>
                </w:tcPr>
                <w:p w14:paraId="2EBDAF7B">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45*</w:t>
                  </w:r>
                </w:p>
              </w:tc>
              <w:tc>
                <w:tcPr>
                  <w:tcW w:w="381" w:type="pct"/>
                  <w:gridSpan w:val="2"/>
                  <w:vAlign w:val="center"/>
                </w:tcPr>
                <w:p w14:paraId="6CE8D2DF">
                  <w:pPr>
                    <w:pStyle w:val="20"/>
                    <w:bidi w:val="0"/>
                    <w:rPr>
                      <w:rFonts w:hint="eastAsia"/>
                      <w:color w:val="auto"/>
                      <w:highlight w:val="none"/>
                      <w:lang w:val="en-US" w:eastAsia="zh-CN"/>
                    </w:rPr>
                  </w:pPr>
                  <w:r>
                    <w:rPr>
                      <w:rFonts w:hint="eastAsia"/>
                      <w:color w:val="auto"/>
                      <w:highlight w:val="none"/>
                    </w:rPr>
                    <w:t>达标</w:t>
                  </w:r>
                </w:p>
              </w:tc>
            </w:tr>
            <w:tr w14:paraId="62C94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92" w:type="pct"/>
                  <w:vMerge w:val="continue"/>
                  <w:vAlign w:val="center"/>
                </w:tcPr>
                <w:p w14:paraId="5C90AE37">
                  <w:pPr>
                    <w:pStyle w:val="20"/>
                    <w:bidi w:val="0"/>
                    <w:rPr>
                      <w:color w:val="auto"/>
                      <w:highlight w:val="none"/>
                    </w:rPr>
                  </w:pPr>
                </w:p>
              </w:tc>
              <w:tc>
                <w:tcPr>
                  <w:tcW w:w="319" w:type="pct"/>
                  <w:vMerge w:val="continue"/>
                  <w:vAlign w:val="center"/>
                </w:tcPr>
                <w:p w14:paraId="19173216">
                  <w:pPr>
                    <w:pStyle w:val="20"/>
                    <w:bidi w:val="0"/>
                    <w:rPr>
                      <w:color w:val="auto"/>
                      <w:highlight w:val="none"/>
                    </w:rPr>
                  </w:pPr>
                </w:p>
              </w:tc>
              <w:tc>
                <w:tcPr>
                  <w:tcW w:w="214" w:type="pct"/>
                  <w:vMerge w:val="continue"/>
                  <w:vAlign w:val="center"/>
                </w:tcPr>
                <w:p w14:paraId="136CDC32">
                  <w:pPr>
                    <w:pStyle w:val="20"/>
                    <w:bidi w:val="0"/>
                    <w:rPr>
                      <w:color w:val="auto"/>
                      <w:highlight w:val="none"/>
                    </w:rPr>
                  </w:pPr>
                </w:p>
              </w:tc>
              <w:tc>
                <w:tcPr>
                  <w:tcW w:w="438" w:type="pct"/>
                  <w:vAlign w:val="center"/>
                </w:tcPr>
                <w:p w14:paraId="2A0E21E0">
                  <w:pPr>
                    <w:pStyle w:val="20"/>
                    <w:bidi w:val="0"/>
                    <w:rPr>
                      <w:rFonts w:hint="eastAsia"/>
                      <w:color w:val="auto"/>
                      <w:highlight w:val="none"/>
                      <w:lang w:val="en-US" w:eastAsia="zh-CN"/>
                    </w:rPr>
                  </w:pPr>
                  <w:r>
                    <w:rPr>
                      <w:rFonts w:hint="eastAsia"/>
                      <w:color w:val="auto"/>
                      <w:highlight w:val="none"/>
                      <w:lang w:val="en-US" w:eastAsia="zh-CN"/>
                    </w:rPr>
                    <w:t>石油类</w:t>
                  </w:r>
                </w:p>
              </w:tc>
              <w:tc>
                <w:tcPr>
                  <w:tcW w:w="509" w:type="pct"/>
                  <w:vAlign w:val="center"/>
                </w:tcPr>
                <w:p w14:paraId="7D9309CF">
                  <w:pPr>
                    <w:pStyle w:val="20"/>
                    <w:bidi w:val="0"/>
                    <w:rPr>
                      <w:rFonts w:hint="default"/>
                      <w:color w:val="auto"/>
                      <w:highlight w:val="none"/>
                      <w:lang w:val="en-US" w:eastAsia="zh-CN"/>
                    </w:rPr>
                  </w:pPr>
                  <w:r>
                    <w:rPr>
                      <w:rFonts w:hint="eastAsia"/>
                      <w:color w:val="auto"/>
                      <w:highlight w:val="none"/>
                      <w:lang w:val="en-US" w:eastAsia="zh-CN"/>
                    </w:rPr>
                    <w:t>/</w:t>
                  </w:r>
                </w:p>
              </w:tc>
              <w:tc>
                <w:tcPr>
                  <w:tcW w:w="393" w:type="pct"/>
                  <w:vAlign w:val="center"/>
                </w:tcPr>
                <w:p w14:paraId="128E979A">
                  <w:pPr>
                    <w:pStyle w:val="20"/>
                    <w:bidi w:val="0"/>
                    <w:rPr>
                      <w:rFonts w:hint="eastAsia"/>
                      <w:color w:val="auto"/>
                      <w:highlight w:val="none"/>
                      <w:lang w:val="en-US" w:eastAsia="zh-CN"/>
                    </w:rPr>
                  </w:pPr>
                  <w:r>
                    <w:rPr>
                      <w:rFonts w:hint="eastAsia"/>
                      <w:color w:val="auto"/>
                      <w:highlight w:val="none"/>
                      <w:lang w:val="en-US" w:eastAsia="zh-CN"/>
                    </w:rPr>
                    <w:t>/</w:t>
                  </w:r>
                </w:p>
              </w:tc>
              <w:tc>
                <w:tcPr>
                  <w:tcW w:w="459" w:type="pct"/>
                  <w:vMerge w:val="continue"/>
                  <w:vAlign w:val="center"/>
                </w:tcPr>
                <w:p w14:paraId="6613CD72">
                  <w:pPr>
                    <w:pStyle w:val="20"/>
                    <w:bidi w:val="0"/>
                    <w:rPr>
                      <w:color w:val="auto"/>
                      <w:highlight w:val="none"/>
                    </w:rPr>
                  </w:pPr>
                </w:p>
              </w:tc>
              <w:tc>
                <w:tcPr>
                  <w:tcW w:w="352" w:type="pct"/>
                  <w:vMerge w:val="continue"/>
                  <w:vAlign w:val="center"/>
                </w:tcPr>
                <w:p w14:paraId="3F58B706">
                  <w:pPr>
                    <w:pStyle w:val="20"/>
                    <w:bidi w:val="0"/>
                    <w:rPr>
                      <w:color w:val="auto"/>
                      <w:highlight w:val="none"/>
                    </w:rPr>
                  </w:pPr>
                </w:p>
              </w:tc>
              <w:tc>
                <w:tcPr>
                  <w:tcW w:w="283" w:type="pct"/>
                  <w:vAlign w:val="center"/>
                </w:tcPr>
                <w:p w14:paraId="63E52CA3">
                  <w:pPr>
                    <w:pStyle w:val="20"/>
                    <w:bidi w:val="0"/>
                    <w:rPr>
                      <w:rFonts w:hint="default"/>
                      <w:color w:val="auto"/>
                      <w:highlight w:val="none"/>
                      <w:lang w:val="en-US" w:eastAsia="zh-CN"/>
                    </w:rPr>
                  </w:pPr>
                  <w:r>
                    <w:rPr>
                      <w:rFonts w:hint="eastAsia"/>
                      <w:color w:val="auto"/>
                      <w:highlight w:val="none"/>
                      <w:lang w:val="en-US" w:eastAsia="zh-CN"/>
                    </w:rPr>
                    <w:t>/</w:t>
                  </w:r>
                </w:p>
              </w:tc>
              <w:tc>
                <w:tcPr>
                  <w:tcW w:w="446" w:type="pct"/>
                  <w:vAlign w:val="center"/>
                </w:tcPr>
                <w:p w14:paraId="4D5E758E">
                  <w:pPr>
                    <w:keepNext w:val="0"/>
                    <w:keepLines w:val="0"/>
                    <w:widowControl/>
                    <w:suppressLineNumbers w:val="0"/>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4.6</w:t>
                  </w:r>
                </w:p>
              </w:tc>
              <w:tc>
                <w:tcPr>
                  <w:tcW w:w="372" w:type="pct"/>
                  <w:shd w:val="clear" w:color="auto" w:fill="auto"/>
                  <w:vAlign w:val="center"/>
                </w:tcPr>
                <w:p w14:paraId="200C293E">
                  <w:pPr>
                    <w:keepNext w:val="0"/>
                    <w:keepLines w:val="0"/>
                    <w:widowControl/>
                    <w:suppressLineNumbers w:val="0"/>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0.007</w:t>
                  </w:r>
                </w:p>
              </w:tc>
              <w:tc>
                <w:tcPr>
                  <w:tcW w:w="535" w:type="pct"/>
                  <w:shd w:val="clear" w:color="auto" w:fill="auto"/>
                  <w:vAlign w:val="center"/>
                </w:tcPr>
                <w:p w14:paraId="79125020">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20</w:t>
                  </w:r>
                </w:p>
              </w:tc>
              <w:tc>
                <w:tcPr>
                  <w:tcW w:w="381" w:type="pct"/>
                  <w:gridSpan w:val="2"/>
                  <w:vAlign w:val="center"/>
                </w:tcPr>
                <w:p w14:paraId="7FD497F0">
                  <w:pPr>
                    <w:pStyle w:val="20"/>
                    <w:bidi w:val="0"/>
                    <w:rPr>
                      <w:rFonts w:hint="eastAsia"/>
                      <w:color w:val="auto"/>
                      <w:highlight w:val="none"/>
                      <w:lang w:val="en-US" w:eastAsia="zh-CN"/>
                    </w:rPr>
                  </w:pPr>
                  <w:r>
                    <w:rPr>
                      <w:rFonts w:hint="eastAsia"/>
                      <w:color w:val="auto"/>
                      <w:highlight w:val="none"/>
                    </w:rPr>
                    <w:t>达标</w:t>
                  </w:r>
                </w:p>
              </w:tc>
            </w:tr>
            <w:tr w14:paraId="3A61C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92" w:type="pct"/>
                  <w:vMerge w:val="continue"/>
                  <w:vAlign w:val="center"/>
                </w:tcPr>
                <w:p w14:paraId="57C21143">
                  <w:pPr>
                    <w:pStyle w:val="20"/>
                    <w:bidi w:val="0"/>
                    <w:rPr>
                      <w:color w:val="auto"/>
                      <w:highlight w:val="none"/>
                    </w:rPr>
                  </w:pPr>
                  <w:bookmarkStart w:id="42" w:name="_Ref20868"/>
                </w:p>
              </w:tc>
              <w:tc>
                <w:tcPr>
                  <w:tcW w:w="319" w:type="pct"/>
                  <w:vMerge w:val="continue"/>
                  <w:vAlign w:val="center"/>
                </w:tcPr>
                <w:p w14:paraId="14C777BB">
                  <w:pPr>
                    <w:pStyle w:val="20"/>
                    <w:bidi w:val="0"/>
                    <w:rPr>
                      <w:color w:val="auto"/>
                      <w:highlight w:val="none"/>
                    </w:rPr>
                  </w:pPr>
                </w:p>
              </w:tc>
              <w:tc>
                <w:tcPr>
                  <w:tcW w:w="214" w:type="pct"/>
                  <w:vMerge w:val="continue"/>
                  <w:vAlign w:val="center"/>
                </w:tcPr>
                <w:p w14:paraId="24A293E4">
                  <w:pPr>
                    <w:pStyle w:val="20"/>
                    <w:bidi w:val="0"/>
                    <w:rPr>
                      <w:color w:val="auto"/>
                      <w:highlight w:val="none"/>
                    </w:rPr>
                  </w:pPr>
                </w:p>
              </w:tc>
              <w:tc>
                <w:tcPr>
                  <w:tcW w:w="438" w:type="pct"/>
                  <w:vAlign w:val="center"/>
                </w:tcPr>
                <w:p w14:paraId="5156F643">
                  <w:pPr>
                    <w:pStyle w:val="20"/>
                    <w:bidi w:val="0"/>
                    <w:rPr>
                      <w:rFonts w:hint="default"/>
                      <w:color w:val="auto"/>
                      <w:highlight w:val="none"/>
                      <w:lang w:val="en-US" w:eastAsia="zh-CN"/>
                    </w:rPr>
                  </w:pPr>
                  <w:r>
                    <w:rPr>
                      <w:rFonts w:hint="eastAsia"/>
                      <w:color w:val="auto"/>
                      <w:highlight w:val="none"/>
                      <w:lang w:val="en-US" w:eastAsia="zh-CN"/>
                    </w:rPr>
                    <w:t>TP</w:t>
                  </w:r>
                </w:p>
              </w:tc>
              <w:tc>
                <w:tcPr>
                  <w:tcW w:w="509" w:type="pct"/>
                  <w:vAlign w:val="center"/>
                </w:tcPr>
                <w:p w14:paraId="7B31D4F2">
                  <w:pPr>
                    <w:pStyle w:val="20"/>
                    <w:bidi w:val="0"/>
                    <w:rPr>
                      <w:rFonts w:hint="default"/>
                      <w:color w:val="auto"/>
                      <w:highlight w:val="none"/>
                      <w:lang w:val="en-US" w:eastAsia="zh-CN"/>
                    </w:rPr>
                  </w:pPr>
                  <w:r>
                    <w:rPr>
                      <w:rFonts w:hint="eastAsia"/>
                      <w:color w:val="auto"/>
                      <w:highlight w:val="none"/>
                      <w:lang w:val="en-US" w:eastAsia="zh-CN"/>
                    </w:rPr>
                    <w:t>/</w:t>
                  </w:r>
                </w:p>
              </w:tc>
              <w:tc>
                <w:tcPr>
                  <w:tcW w:w="393" w:type="pct"/>
                  <w:vAlign w:val="center"/>
                </w:tcPr>
                <w:p w14:paraId="5D267505">
                  <w:pPr>
                    <w:pStyle w:val="20"/>
                    <w:bidi w:val="0"/>
                    <w:rPr>
                      <w:rFonts w:hint="eastAsia"/>
                      <w:color w:val="auto"/>
                      <w:highlight w:val="none"/>
                      <w:lang w:val="en-US" w:eastAsia="zh-CN"/>
                    </w:rPr>
                  </w:pPr>
                  <w:r>
                    <w:rPr>
                      <w:rFonts w:hint="eastAsia"/>
                      <w:color w:val="auto"/>
                      <w:highlight w:val="none"/>
                      <w:lang w:val="en-US" w:eastAsia="zh-CN"/>
                    </w:rPr>
                    <w:t>/</w:t>
                  </w:r>
                </w:p>
              </w:tc>
              <w:tc>
                <w:tcPr>
                  <w:tcW w:w="459" w:type="pct"/>
                  <w:vMerge w:val="continue"/>
                  <w:vAlign w:val="center"/>
                </w:tcPr>
                <w:p w14:paraId="40142BC9">
                  <w:pPr>
                    <w:pStyle w:val="20"/>
                    <w:bidi w:val="0"/>
                    <w:rPr>
                      <w:color w:val="auto"/>
                      <w:highlight w:val="none"/>
                    </w:rPr>
                  </w:pPr>
                </w:p>
              </w:tc>
              <w:tc>
                <w:tcPr>
                  <w:tcW w:w="352" w:type="pct"/>
                  <w:vMerge w:val="continue"/>
                  <w:vAlign w:val="center"/>
                </w:tcPr>
                <w:p w14:paraId="775EBFC3">
                  <w:pPr>
                    <w:pStyle w:val="20"/>
                    <w:bidi w:val="0"/>
                    <w:rPr>
                      <w:color w:val="auto"/>
                      <w:highlight w:val="none"/>
                    </w:rPr>
                  </w:pPr>
                </w:p>
              </w:tc>
              <w:tc>
                <w:tcPr>
                  <w:tcW w:w="283" w:type="pct"/>
                  <w:vAlign w:val="center"/>
                </w:tcPr>
                <w:p w14:paraId="118E6174">
                  <w:pPr>
                    <w:pStyle w:val="20"/>
                    <w:bidi w:val="0"/>
                    <w:rPr>
                      <w:rFonts w:hint="default"/>
                      <w:color w:val="auto"/>
                      <w:highlight w:val="none"/>
                      <w:lang w:val="en-US" w:eastAsia="zh-CN"/>
                    </w:rPr>
                  </w:pPr>
                  <w:r>
                    <w:rPr>
                      <w:rFonts w:hint="eastAsia"/>
                      <w:color w:val="auto"/>
                      <w:highlight w:val="none"/>
                      <w:lang w:val="en-US" w:eastAsia="zh-CN"/>
                    </w:rPr>
                    <w:t>/</w:t>
                  </w:r>
                </w:p>
              </w:tc>
              <w:tc>
                <w:tcPr>
                  <w:tcW w:w="446" w:type="pct"/>
                  <w:vAlign w:val="center"/>
                </w:tcPr>
                <w:p w14:paraId="536235B7">
                  <w:pPr>
                    <w:keepNext w:val="0"/>
                    <w:keepLines w:val="0"/>
                    <w:widowControl/>
                    <w:suppressLineNumbers w:val="0"/>
                    <w:jc w:val="center"/>
                    <w:textAlignment w:val="center"/>
                    <w:rPr>
                      <w:rFonts w:hint="eastAsia"/>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4.6</w:t>
                  </w:r>
                </w:p>
              </w:tc>
              <w:tc>
                <w:tcPr>
                  <w:tcW w:w="372" w:type="pct"/>
                  <w:shd w:val="clear" w:color="auto" w:fill="auto"/>
                  <w:vAlign w:val="center"/>
                </w:tcPr>
                <w:p w14:paraId="575B5FEF">
                  <w:pPr>
                    <w:keepNext w:val="0"/>
                    <w:keepLines w:val="0"/>
                    <w:widowControl/>
                    <w:suppressLineNumbers w:val="0"/>
                    <w:jc w:val="center"/>
                    <w:textAlignment w:val="center"/>
                    <w:rPr>
                      <w:rFonts w:hint="eastAsia"/>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0.007</w:t>
                  </w:r>
                </w:p>
              </w:tc>
              <w:tc>
                <w:tcPr>
                  <w:tcW w:w="535" w:type="pct"/>
                  <w:shd w:val="clear" w:color="auto" w:fill="auto"/>
                  <w:vAlign w:val="center"/>
                </w:tcPr>
                <w:p w14:paraId="353F5ADB">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8</w:t>
                  </w:r>
                  <w:r>
                    <w:rPr>
                      <w:rFonts w:hint="default"/>
                      <w:color w:val="auto"/>
                      <w:highlight w:val="none"/>
                      <w:lang w:val="en-US" w:eastAsia="zh-CN"/>
                    </w:rPr>
                    <w:t>*</w:t>
                  </w:r>
                </w:p>
              </w:tc>
              <w:tc>
                <w:tcPr>
                  <w:tcW w:w="381" w:type="pct"/>
                  <w:gridSpan w:val="2"/>
                  <w:vAlign w:val="center"/>
                </w:tcPr>
                <w:p w14:paraId="1C888697">
                  <w:pPr>
                    <w:pStyle w:val="20"/>
                    <w:bidi w:val="0"/>
                    <w:rPr>
                      <w:rFonts w:hint="eastAsia"/>
                      <w:color w:val="auto"/>
                      <w:highlight w:val="none"/>
                    </w:rPr>
                  </w:pPr>
                  <w:r>
                    <w:rPr>
                      <w:rFonts w:hint="eastAsia"/>
                      <w:color w:val="auto"/>
                      <w:highlight w:val="none"/>
                    </w:rPr>
                    <w:t>达标</w:t>
                  </w:r>
                </w:p>
              </w:tc>
            </w:tr>
            <w:tr w14:paraId="5C95D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92" w:type="pct"/>
                  <w:vMerge w:val="continue"/>
                  <w:vAlign w:val="center"/>
                </w:tcPr>
                <w:p w14:paraId="337747DD">
                  <w:pPr>
                    <w:pStyle w:val="20"/>
                    <w:bidi w:val="0"/>
                    <w:rPr>
                      <w:color w:val="auto"/>
                      <w:highlight w:val="none"/>
                    </w:rPr>
                  </w:pPr>
                </w:p>
              </w:tc>
              <w:tc>
                <w:tcPr>
                  <w:tcW w:w="319" w:type="pct"/>
                  <w:vMerge w:val="continue"/>
                  <w:vAlign w:val="center"/>
                </w:tcPr>
                <w:p w14:paraId="653966B7">
                  <w:pPr>
                    <w:pStyle w:val="20"/>
                    <w:bidi w:val="0"/>
                    <w:rPr>
                      <w:color w:val="auto"/>
                      <w:highlight w:val="none"/>
                    </w:rPr>
                  </w:pPr>
                </w:p>
              </w:tc>
              <w:tc>
                <w:tcPr>
                  <w:tcW w:w="214" w:type="pct"/>
                  <w:vMerge w:val="continue"/>
                  <w:vAlign w:val="center"/>
                </w:tcPr>
                <w:p w14:paraId="668AA782">
                  <w:pPr>
                    <w:pStyle w:val="20"/>
                    <w:bidi w:val="0"/>
                    <w:rPr>
                      <w:color w:val="auto"/>
                      <w:highlight w:val="none"/>
                    </w:rPr>
                  </w:pPr>
                </w:p>
              </w:tc>
              <w:tc>
                <w:tcPr>
                  <w:tcW w:w="438" w:type="pct"/>
                  <w:vAlign w:val="center"/>
                </w:tcPr>
                <w:p w14:paraId="675124DE">
                  <w:pPr>
                    <w:pStyle w:val="20"/>
                    <w:bidi w:val="0"/>
                    <w:rPr>
                      <w:rFonts w:hint="eastAsia"/>
                      <w:color w:val="auto"/>
                      <w:highlight w:val="none"/>
                      <w:lang w:val="en-US" w:eastAsia="zh-CN"/>
                    </w:rPr>
                  </w:pPr>
                  <w:r>
                    <w:rPr>
                      <w:rFonts w:hint="eastAsia"/>
                      <w:color w:val="auto"/>
                      <w:highlight w:val="none"/>
                      <w:lang w:val="en-US" w:eastAsia="zh-CN"/>
                    </w:rPr>
                    <w:t>TN</w:t>
                  </w:r>
                </w:p>
              </w:tc>
              <w:tc>
                <w:tcPr>
                  <w:tcW w:w="509" w:type="pct"/>
                  <w:vAlign w:val="center"/>
                </w:tcPr>
                <w:p w14:paraId="62408AC6">
                  <w:pPr>
                    <w:pStyle w:val="20"/>
                    <w:bidi w:val="0"/>
                    <w:rPr>
                      <w:rFonts w:hint="eastAsia"/>
                      <w:color w:val="auto"/>
                      <w:highlight w:val="none"/>
                      <w:lang w:val="en-US" w:eastAsia="zh-CN"/>
                    </w:rPr>
                  </w:pPr>
                  <w:r>
                    <w:rPr>
                      <w:rFonts w:hint="eastAsia"/>
                      <w:color w:val="auto"/>
                      <w:highlight w:val="none"/>
                      <w:lang w:val="en-US" w:eastAsia="zh-CN"/>
                    </w:rPr>
                    <w:t>/</w:t>
                  </w:r>
                </w:p>
              </w:tc>
              <w:tc>
                <w:tcPr>
                  <w:tcW w:w="393" w:type="pct"/>
                  <w:vAlign w:val="center"/>
                </w:tcPr>
                <w:p w14:paraId="05A2E877">
                  <w:pPr>
                    <w:pStyle w:val="20"/>
                    <w:bidi w:val="0"/>
                    <w:rPr>
                      <w:rFonts w:hint="eastAsia"/>
                      <w:color w:val="auto"/>
                      <w:highlight w:val="none"/>
                      <w:lang w:val="en-US" w:eastAsia="zh-CN"/>
                    </w:rPr>
                  </w:pPr>
                  <w:r>
                    <w:rPr>
                      <w:rFonts w:hint="eastAsia"/>
                      <w:color w:val="auto"/>
                      <w:highlight w:val="none"/>
                      <w:lang w:val="en-US" w:eastAsia="zh-CN"/>
                    </w:rPr>
                    <w:t>/</w:t>
                  </w:r>
                </w:p>
              </w:tc>
              <w:tc>
                <w:tcPr>
                  <w:tcW w:w="459" w:type="pct"/>
                  <w:vMerge w:val="continue"/>
                  <w:vAlign w:val="center"/>
                </w:tcPr>
                <w:p w14:paraId="60527296">
                  <w:pPr>
                    <w:pStyle w:val="20"/>
                    <w:bidi w:val="0"/>
                    <w:rPr>
                      <w:color w:val="auto"/>
                      <w:highlight w:val="none"/>
                    </w:rPr>
                  </w:pPr>
                </w:p>
              </w:tc>
              <w:tc>
                <w:tcPr>
                  <w:tcW w:w="352" w:type="pct"/>
                  <w:vMerge w:val="continue"/>
                  <w:vAlign w:val="center"/>
                </w:tcPr>
                <w:p w14:paraId="14E5BB24">
                  <w:pPr>
                    <w:pStyle w:val="20"/>
                    <w:bidi w:val="0"/>
                    <w:rPr>
                      <w:color w:val="auto"/>
                      <w:highlight w:val="none"/>
                    </w:rPr>
                  </w:pPr>
                </w:p>
              </w:tc>
              <w:tc>
                <w:tcPr>
                  <w:tcW w:w="283" w:type="pct"/>
                  <w:vAlign w:val="center"/>
                </w:tcPr>
                <w:p w14:paraId="4518616D">
                  <w:pPr>
                    <w:pStyle w:val="20"/>
                    <w:bidi w:val="0"/>
                    <w:rPr>
                      <w:rFonts w:hint="eastAsia"/>
                      <w:color w:val="auto"/>
                      <w:highlight w:val="none"/>
                      <w:lang w:val="en-US" w:eastAsia="zh-CN"/>
                    </w:rPr>
                  </w:pPr>
                  <w:r>
                    <w:rPr>
                      <w:rFonts w:hint="eastAsia"/>
                      <w:color w:val="auto"/>
                      <w:highlight w:val="none"/>
                      <w:lang w:val="en-US" w:eastAsia="zh-CN"/>
                    </w:rPr>
                    <w:t>/</w:t>
                  </w:r>
                </w:p>
              </w:tc>
              <w:tc>
                <w:tcPr>
                  <w:tcW w:w="446" w:type="pct"/>
                  <w:vAlign w:val="center"/>
                </w:tcPr>
                <w:p w14:paraId="6D931C0D">
                  <w:pPr>
                    <w:keepNext w:val="0"/>
                    <w:keepLines w:val="0"/>
                    <w:widowControl/>
                    <w:suppressLineNumbers w:val="0"/>
                    <w:jc w:val="center"/>
                    <w:textAlignment w:val="center"/>
                    <w:rPr>
                      <w:rFonts w:hint="eastAsia"/>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26.3</w:t>
                  </w:r>
                </w:p>
              </w:tc>
              <w:tc>
                <w:tcPr>
                  <w:tcW w:w="372" w:type="pct"/>
                  <w:shd w:val="clear" w:color="auto" w:fill="auto"/>
                  <w:vAlign w:val="center"/>
                </w:tcPr>
                <w:p w14:paraId="533B0344">
                  <w:pPr>
                    <w:keepNext w:val="0"/>
                    <w:keepLines w:val="0"/>
                    <w:widowControl/>
                    <w:suppressLineNumbers w:val="0"/>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0.040</w:t>
                  </w:r>
                </w:p>
              </w:tc>
              <w:tc>
                <w:tcPr>
                  <w:tcW w:w="535" w:type="pct"/>
                  <w:shd w:val="clear" w:color="auto" w:fill="auto"/>
                  <w:vAlign w:val="center"/>
                </w:tcPr>
                <w:p w14:paraId="53DF9BB0">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70*</w:t>
                  </w:r>
                </w:p>
              </w:tc>
              <w:tc>
                <w:tcPr>
                  <w:tcW w:w="381" w:type="pct"/>
                  <w:gridSpan w:val="2"/>
                  <w:vAlign w:val="center"/>
                </w:tcPr>
                <w:p w14:paraId="58906505">
                  <w:pPr>
                    <w:pStyle w:val="20"/>
                    <w:bidi w:val="0"/>
                    <w:rPr>
                      <w:rFonts w:hint="eastAsia"/>
                      <w:color w:val="auto"/>
                      <w:highlight w:val="none"/>
                    </w:rPr>
                  </w:pPr>
                  <w:r>
                    <w:rPr>
                      <w:rFonts w:hint="eastAsia"/>
                      <w:color w:val="auto"/>
                      <w:highlight w:val="none"/>
                    </w:rPr>
                    <w:t>达标</w:t>
                  </w:r>
                </w:p>
              </w:tc>
            </w:tr>
            <w:tr w14:paraId="041E0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 w:type="pct"/>
                <w:trHeight w:val="397" w:hRule="atLeast"/>
              </w:trPr>
              <w:tc>
                <w:tcPr>
                  <w:tcW w:w="4998" w:type="pct"/>
                  <w:gridSpan w:val="13"/>
                  <w:vAlign w:val="center"/>
                </w:tcPr>
                <w:p w14:paraId="4E7A1A8B">
                  <w:pPr>
                    <w:pStyle w:val="20"/>
                    <w:bidi w:val="0"/>
                    <w:jc w:val="left"/>
                    <w:rPr>
                      <w:rFonts w:hint="eastAsia"/>
                      <w:color w:val="auto"/>
                      <w:highlight w:val="none"/>
                      <w:lang w:val="en-US" w:eastAsia="zh-CN"/>
                    </w:rPr>
                  </w:pPr>
                  <w:r>
                    <w:rPr>
                      <w:rFonts w:hint="eastAsia"/>
                      <w:color w:val="auto"/>
                      <w:highlight w:val="none"/>
                    </w:rPr>
                    <w:t>注：</w:t>
                  </w:r>
                  <w:r>
                    <w:rPr>
                      <w:rFonts w:hint="eastAsia"/>
                      <w:color w:val="auto"/>
                      <w:highlight w:val="none"/>
                      <w:lang w:val="en-US" w:eastAsia="zh-CN"/>
                    </w:rPr>
                    <w:t>*</w:t>
                  </w:r>
                  <w:r>
                    <w:rPr>
                      <w:rFonts w:hint="eastAsia"/>
                      <w:color w:val="auto"/>
                      <w:highlight w:val="none"/>
                    </w:rPr>
                    <w:t>氨氮、</w:t>
                  </w:r>
                  <w:r>
                    <w:rPr>
                      <w:rFonts w:hint="eastAsia"/>
                      <w:color w:val="auto"/>
                      <w:highlight w:val="none"/>
                      <w:lang w:val="en-US" w:eastAsia="zh-CN"/>
                    </w:rPr>
                    <w:t>TP、TN</w:t>
                  </w:r>
                  <w:r>
                    <w:rPr>
                      <w:rFonts w:hint="eastAsia"/>
                      <w:color w:val="auto"/>
                      <w:highlight w:val="none"/>
                    </w:rPr>
                    <w:t>执行《污水排入城镇下水道水质标准》（GB/T31962-2015）；</w:t>
                  </w:r>
                </w:p>
              </w:tc>
            </w:tr>
          </w:tbl>
          <w:p w14:paraId="13D15522">
            <w:pPr>
              <w:pStyle w:val="18"/>
              <w:bidi w:val="0"/>
              <w:rPr>
                <w:rFonts w:hint="default"/>
                <w:color w:val="auto"/>
                <w:highlight w:val="none"/>
                <w:lang w:val="en-US" w:eastAsia="zh-CN"/>
              </w:rPr>
            </w:pPr>
            <w:r>
              <w:rPr>
                <w:rFonts w:hint="eastAsia"/>
                <w:color w:val="auto"/>
                <w:highlight w:val="none"/>
                <w:lang w:val="en-US" w:eastAsia="zh-CN"/>
              </w:rPr>
              <w:t>根据</w:t>
            </w:r>
            <w:r>
              <w:rPr>
                <w:rFonts w:hint="eastAsia"/>
                <w:color w:val="auto"/>
                <w:highlight w:val="none"/>
              </w:rPr>
              <w:t>项目废水污染源</w:t>
            </w:r>
            <w:r>
              <w:rPr>
                <w:rFonts w:hint="eastAsia"/>
                <w:color w:val="auto"/>
                <w:highlight w:val="none"/>
                <w:lang w:val="en-US" w:eastAsia="zh-CN"/>
              </w:rPr>
              <w:t>强</w:t>
            </w:r>
            <w:r>
              <w:rPr>
                <w:rFonts w:hint="eastAsia"/>
                <w:color w:val="auto"/>
                <w:highlight w:val="none"/>
              </w:rPr>
              <w:t>核算结果</w:t>
            </w:r>
            <w:r>
              <w:rPr>
                <w:rFonts w:hint="eastAsia"/>
                <w:color w:val="auto"/>
                <w:highlight w:val="none"/>
                <w:lang w:val="en-US" w:eastAsia="zh-CN"/>
              </w:rPr>
              <w:t>和现有项目废水污染物排放情况，扩建部分实际废水污染物排放量见下表：</w:t>
            </w:r>
          </w:p>
          <w:p w14:paraId="10717F31">
            <w:pPr>
              <w:pStyle w:val="19"/>
              <w:bidi w:val="0"/>
              <w:rPr>
                <w:rFonts w:hint="default"/>
                <w:color w:val="auto"/>
                <w:highlight w:val="none"/>
                <w:lang w:val="en-US" w:eastAsia="zh-CN"/>
              </w:rPr>
            </w:pPr>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12</w:t>
            </w:r>
            <w:r>
              <w:rPr>
                <w:color w:val="auto"/>
                <w:highlight w:val="none"/>
              </w:rPr>
              <w:fldChar w:fldCharType="end"/>
            </w:r>
            <w:r>
              <w:rPr>
                <w:rFonts w:hint="eastAsia"/>
                <w:color w:val="auto"/>
                <w:highlight w:val="none"/>
                <w:lang w:val="en-US" w:eastAsia="zh-CN"/>
              </w:rPr>
              <w:t xml:space="preserve"> 扩建项目废水污染物排放量统计一览表</w:t>
            </w:r>
          </w:p>
          <w:tbl>
            <w:tblPr>
              <w:tblStyle w:val="1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57" w:type="dxa"/>
                <w:bottom w:w="0" w:type="dxa"/>
                <w:right w:w="57" w:type="dxa"/>
              </w:tblCellMar>
            </w:tblPr>
            <w:tblGrid>
              <w:gridCol w:w="1650"/>
              <w:gridCol w:w="1481"/>
              <w:gridCol w:w="1484"/>
              <w:gridCol w:w="1198"/>
              <w:gridCol w:w="1693"/>
              <w:gridCol w:w="1713"/>
              <w:gridCol w:w="1198"/>
              <w:gridCol w:w="1949"/>
              <w:gridCol w:w="2352"/>
            </w:tblGrid>
            <w:tr w14:paraId="6B05E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trPr>
              <w:tc>
                <w:tcPr>
                  <w:tcW w:w="561" w:type="pct"/>
                  <w:vMerge w:val="restart"/>
                  <w:shd w:val="clear" w:color="auto" w:fill="auto"/>
                  <w:vAlign w:val="center"/>
                </w:tcPr>
                <w:p w14:paraId="42F6ED0E">
                  <w:pPr>
                    <w:pStyle w:val="20"/>
                    <w:spacing w:before="31"/>
                    <w:rPr>
                      <w:rFonts w:hint="eastAsia"/>
                      <w:b/>
                      <w:bCs/>
                      <w:color w:val="auto"/>
                      <w:highlight w:val="none"/>
                    </w:rPr>
                  </w:pPr>
                  <w:r>
                    <w:rPr>
                      <w:rFonts w:hint="eastAsia"/>
                      <w:b/>
                      <w:bCs/>
                      <w:color w:val="auto"/>
                      <w:highlight w:val="none"/>
                    </w:rPr>
                    <w:t>污染物种类</w:t>
                  </w:r>
                </w:p>
              </w:tc>
              <w:tc>
                <w:tcPr>
                  <w:tcW w:w="1007" w:type="pct"/>
                  <w:gridSpan w:val="2"/>
                  <w:shd w:val="clear" w:color="auto" w:fill="auto"/>
                  <w:vAlign w:val="center"/>
                </w:tcPr>
                <w:p w14:paraId="66C5C584">
                  <w:pPr>
                    <w:pStyle w:val="20"/>
                    <w:bidi w:val="0"/>
                    <w:rPr>
                      <w:rFonts w:hint="eastAsia"/>
                      <w:b/>
                      <w:bCs/>
                      <w:color w:val="auto"/>
                      <w:highlight w:val="none"/>
                    </w:rPr>
                  </w:pPr>
                  <w:r>
                    <w:rPr>
                      <w:rFonts w:hint="eastAsia"/>
                      <w:b/>
                      <w:bCs/>
                      <w:color w:val="auto"/>
                      <w:highlight w:val="none"/>
                    </w:rPr>
                    <w:t>污水处理厂排放浓度mg/</w:t>
                  </w:r>
                  <w:r>
                    <w:rPr>
                      <w:b/>
                      <w:bCs/>
                      <w:color w:val="auto"/>
                      <w:highlight w:val="none"/>
                    </w:rPr>
                    <w:t>L</w:t>
                  </w:r>
                </w:p>
              </w:tc>
              <w:tc>
                <w:tcPr>
                  <w:tcW w:w="1564" w:type="pct"/>
                  <w:gridSpan w:val="3"/>
                  <w:shd w:val="clear" w:color="auto" w:fill="auto"/>
                  <w:vAlign w:val="center"/>
                </w:tcPr>
                <w:p w14:paraId="6A732E6E">
                  <w:pPr>
                    <w:pStyle w:val="20"/>
                    <w:bidi w:val="0"/>
                    <w:rPr>
                      <w:rFonts w:hint="eastAsia"/>
                      <w:b/>
                      <w:bCs/>
                      <w:color w:val="auto"/>
                      <w:highlight w:val="none"/>
                      <w:lang w:val="en-US" w:eastAsia="zh-CN"/>
                    </w:rPr>
                  </w:pPr>
                  <w:r>
                    <w:rPr>
                      <w:rFonts w:hint="eastAsia"/>
                      <w:b/>
                      <w:bCs/>
                      <w:color w:val="auto"/>
                      <w:highlight w:val="none"/>
                      <w:lang w:val="en-US" w:eastAsia="zh-CN"/>
                    </w:rPr>
                    <w:t>全厂</w:t>
                  </w:r>
                </w:p>
              </w:tc>
              <w:tc>
                <w:tcPr>
                  <w:tcW w:w="1069" w:type="pct"/>
                  <w:gridSpan w:val="2"/>
                  <w:shd w:val="clear" w:color="auto" w:fill="auto"/>
                  <w:vAlign w:val="center"/>
                </w:tcPr>
                <w:p w14:paraId="365206DE">
                  <w:pPr>
                    <w:pStyle w:val="20"/>
                    <w:bidi w:val="0"/>
                    <w:rPr>
                      <w:rFonts w:hint="eastAsia"/>
                      <w:b/>
                      <w:bCs/>
                      <w:color w:val="auto"/>
                      <w:highlight w:val="none"/>
                      <w:lang w:val="en-US" w:eastAsia="zh-CN"/>
                    </w:rPr>
                  </w:pPr>
                  <w:r>
                    <w:rPr>
                      <w:rFonts w:hint="eastAsia"/>
                      <w:b/>
                      <w:bCs/>
                      <w:color w:val="auto"/>
                      <w:highlight w:val="none"/>
                      <w:lang w:val="en-US" w:eastAsia="zh-CN"/>
                    </w:rPr>
                    <w:t>现有项目</w:t>
                  </w:r>
                </w:p>
              </w:tc>
              <w:tc>
                <w:tcPr>
                  <w:tcW w:w="796" w:type="pct"/>
                  <w:vMerge w:val="restart"/>
                  <w:shd w:val="clear" w:color="auto" w:fill="auto"/>
                  <w:vAlign w:val="center"/>
                </w:tcPr>
                <w:p w14:paraId="6123F90C">
                  <w:pPr>
                    <w:pStyle w:val="20"/>
                    <w:bidi w:val="0"/>
                    <w:rPr>
                      <w:rFonts w:hint="default"/>
                      <w:b/>
                      <w:bCs/>
                      <w:color w:val="auto"/>
                      <w:highlight w:val="none"/>
                      <w:lang w:val="en-US" w:eastAsia="zh-CN"/>
                    </w:rPr>
                  </w:pPr>
                  <w:r>
                    <w:rPr>
                      <w:rFonts w:hint="eastAsia"/>
                      <w:b/>
                      <w:bCs/>
                      <w:color w:val="auto"/>
                      <w:highlight w:val="none"/>
                      <w:lang w:val="en-US" w:eastAsia="zh-CN"/>
                    </w:rPr>
                    <w:t>扩建项目实际排放量t/a</w:t>
                  </w:r>
                </w:p>
              </w:tc>
            </w:tr>
            <w:tr w14:paraId="5916B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trPr>
              <w:tc>
                <w:tcPr>
                  <w:tcW w:w="561" w:type="pct"/>
                  <w:vMerge w:val="continue"/>
                  <w:shd w:val="clear" w:color="auto" w:fill="auto"/>
                  <w:vAlign w:val="center"/>
                </w:tcPr>
                <w:p w14:paraId="41D78718">
                  <w:pPr>
                    <w:pStyle w:val="20"/>
                    <w:bidi w:val="0"/>
                    <w:rPr>
                      <w:b/>
                      <w:bCs/>
                      <w:color w:val="auto"/>
                      <w:highlight w:val="none"/>
                    </w:rPr>
                  </w:pPr>
                </w:p>
              </w:tc>
              <w:tc>
                <w:tcPr>
                  <w:tcW w:w="503" w:type="pct"/>
                  <w:shd w:val="clear" w:color="auto" w:fill="auto"/>
                  <w:vAlign w:val="center"/>
                </w:tcPr>
                <w:p w14:paraId="6ACE1EB3">
                  <w:pPr>
                    <w:pStyle w:val="20"/>
                    <w:bidi w:val="0"/>
                    <w:rPr>
                      <w:rFonts w:hint="default" w:eastAsia="宋体"/>
                      <w:b/>
                      <w:bCs/>
                      <w:color w:val="auto"/>
                      <w:highlight w:val="none"/>
                      <w:lang w:val="en-US" w:eastAsia="zh-CN"/>
                    </w:rPr>
                  </w:pPr>
                  <w:r>
                    <w:rPr>
                      <w:rFonts w:hint="eastAsia"/>
                      <w:b/>
                      <w:bCs/>
                      <w:color w:val="auto"/>
                      <w:highlight w:val="none"/>
                      <w:lang w:val="en-US" w:eastAsia="zh-CN"/>
                    </w:rPr>
                    <w:t>现行</w:t>
                  </w:r>
                </w:p>
              </w:tc>
              <w:tc>
                <w:tcPr>
                  <w:tcW w:w="504" w:type="pct"/>
                  <w:shd w:val="clear" w:color="auto" w:fill="auto"/>
                  <w:vAlign w:val="center"/>
                </w:tcPr>
                <w:p w14:paraId="55E95649">
                  <w:pPr>
                    <w:pStyle w:val="20"/>
                    <w:bidi w:val="0"/>
                    <w:rPr>
                      <w:rFonts w:hint="eastAsia" w:eastAsia="宋体"/>
                      <w:b/>
                      <w:bCs/>
                      <w:color w:val="auto"/>
                      <w:highlight w:val="none"/>
                      <w:lang w:val="en-US" w:eastAsia="zh-CN"/>
                    </w:rPr>
                  </w:pPr>
                  <w:r>
                    <w:rPr>
                      <w:rFonts w:hint="eastAsia"/>
                      <w:b/>
                      <w:bCs/>
                      <w:color w:val="auto"/>
                      <w:highlight w:val="none"/>
                      <w:lang w:val="en-US" w:eastAsia="zh-CN"/>
                    </w:rPr>
                    <w:t>远期</w:t>
                  </w:r>
                </w:p>
              </w:tc>
              <w:tc>
                <w:tcPr>
                  <w:tcW w:w="407" w:type="pct"/>
                  <w:shd w:val="clear" w:color="auto" w:fill="auto"/>
                  <w:vAlign w:val="center"/>
                </w:tcPr>
                <w:p w14:paraId="34C14FED">
                  <w:pPr>
                    <w:pStyle w:val="20"/>
                    <w:bidi w:val="0"/>
                    <w:rPr>
                      <w:rFonts w:hint="eastAsia" w:ascii="Times New Roman" w:hAnsi="Times New Roman" w:eastAsia="宋体" w:cs="宋体"/>
                      <w:b/>
                      <w:bCs/>
                      <w:color w:val="auto"/>
                      <w:kern w:val="2"/>
                      <w:sz w:val="21"/>
                      <w:szCs w:val="21"/>
                      <w:highlight w:val="none"/>
                      <w:lang w:val="en-US" w:eastAsia="zh-CN" w:bidi="ar-SA"/>
                    </w:rPr>
                  </w:pPr>
                  <w:r>
                    <w:rPr>
                      <w:rFonts w:hint="eastAsia"/>
                      <w:b/>
                      <w:bCs/>
                      <w:color w:val="auto"/>
                      <w:highlight w:val="none"/>
                    </w:rPr>
                    <w:t>废水量</w:t>
                  </w:r>
                  <w:r>
                    <w:rPr>
                      <w:rFonts w:hint="eastAsia"/>
                      <w:b/>
                      <w:bCs/>
                      <w:color w:val="auto"/>
                      <w:highlight w:val="none"/>
                      <w:lang w:val="en-US" w:eastAsia="zh-CN"/>
                    </w:rPr>
                    <w:t>t/a</w:t>
                  </w:r>
                </w:p>
              </w:tc>
              <w:tc>
                <w:tcPr>
                  <w:tcW w:w="575" w:type="pct"/>
                  <w:shd w:val="clear" w:color="auto" w:fill="auto"/>
                  <w:vAlign w:val="center"/>
                </w:tcPr>
                <w:p w14:paraId="7A1EAA73">
                  <w:pPr>
                    <w:pStyle w:val="20"/>
                    <w:bidi w:val="0"/>
                    <w:rPr>
                      <w:rFonts w:hint="default" w:ascii="Times New Roman" w:hAnsi="Times New Roman" w:eastAsia="宋体" w:cs="宋体"/>
                      <w:b/>
                      <w:bCs/>
                      <w:color w:val="auto"/>
                      <w:kern w:val="2"/>
                      <w:sz w:val="21"/>
                      <w:szCs w:val="21"/>
                      <w:highlight w:val="none"/>
                      <w:lang w:val="en-US" w:eastAsia="zh-CN" w:bidi="ar-SA"/>
                    </w:rPr>
                  </w:pPr>
                  <w:r>
                    <w:rPr>
                      <w:rFonts w:hint="eastAsia"/>
                      <w:b/>
                      <w:bCs/>
                      <w:color w:val="auto"/>
                      <w:highlight w:val="none"/>
                      <w:lang w:val="en-US" w:eastAsia="zh-CN"/>
                    </w:rPr>
                    <w:t>近期排放量t/a</w:t>
                  </w:r>
                </w:p>
              </w:tc>
              <w:tc>
                <w:tcPr>
                  <w:tcW w:w="580" w:type="pct"/>
                  <w:shd w:val="clear" w:color="auto" w:fill="auto"/>
                  <w:vAlign w:val="center"/>
                </w:tcPr>
                <w:p w14:paraId="69677564">
                  <w:pPr>
                    <w:pStyle w:val="20"/>
                    <w:bidi w:val="0"/>
                    <w:rPr>
                      <w:rFonts w:hint="eastAsia" w:eastAsia="宋体"/>
                      <w:b/>
                      <w:bCs/>
                      <w:color w:val="auto"/>
                      <w:highlight w:val="none"/>
                      <w:lang w:val="en-US" w:eastAsia="zh-CN"/>
                    </w:rPr>
                  </w:pPr>
                  <w:r>
                    <w:rPr>
                      <w:rFonts w:hint="eastAsia"/>
                      <w:b/>
                      <w:bCs/>
                      <w:color w:val="auto"/>
                      <w:highlight w:val="none"/>
                      <w:lang w:val="en-US" w:eastAsia="zh-CN"/>
                    </w:rPr>
                    <w:t>远期排放量t/a</w:t>
                  </w:r>
                </w:p>
              </w:tc>
              <w:tc>
                <w:tcPr>
                  <w:tcW w:w="407" w:type="pct"/>
                  <w:shd w:val="clear" w:color="auto" w:fill="auto"/>
                  <w:vAlign w:val="center"/>
                </w:tcPr>
                <w:p w14:paraId="22263BB7">
                  <w:pPr>
                    <w:pStyle w:val="20"/>
                    <w:bidi w:val="0"/>
                    <w:rPr>
                      <w:rFonts w:hint="default" w:ascii="Times New Roman" w:hAnsi="Times New Roman" w:eastAsia="宋体" w:cs="宋体"/>
                      <w:b/>
                      <w:bCs/>
                      <w:color w:val="auto"/>
                      <w:kern w:val="2"/>
                      <w:sz w:val="21"/>
                      <w:szCs w:val="21"/>
                      <w:highlight w:val="none"/>
                      <w:lang w:val="en-US" w:eastAsia="zh-CN" w:bidi="ar-SA"/>
                    </w:rPr>
                  </w:pPr>
                  <w:r>
                    <w:rPr>
                      <w:rFonts w:hint="eastAsia"/>
                      <w:b/>
                      <w:bCs/>
                      <w:color w:val="auto"/>
                      <w:highlight w:val="none"/>
                    </w:rPr>
                    <w:t>废水量</w:t>
                  </w:r>
                  <w:r>
                    <w:rPr>
                      <w:rFonts w:hint="eastAsia"/>
                      <w:b/>
                      <w:bCs/>
                      <w:color w:val="auto"/>
                      <w:highlight w:val="none"/>
                      <w:lang w:val="en-US" w:eastAsia="zh-CN"/>
                    </w:rPr>
                    <w:t>t/a</w:t>
                  </w:r>
                </w:p>
              </w:tc>
              <w:tc>
                <w:tcPr>
                  <w:tcW w:w="661" w:type="pct"/>
                  <w:shd w:val="clear" w:color="auto" w:fill="auto"/>
                  <w:vAlign w:val="center"/>
                </w:tcPr>
                <w:p w14:paraId="7C7A70F3">
                  <w:pPr>
                    <w:pStyle w:val="20"/>
                    <w:bidi w:val="0"/>
                    <w:rPr>
                      <w:rFonts w:hint="eastAsia" w:ascii="Times New Roman" w:hAnsi="Times New Roman" w:eastAsia="宋体" w:cs="宋体"/>
                      <w:b/>
                      <w:bCs/>
                      <w:color w:val="auto"/>
                      <w:kern w:val="2"/>
                      <w:sz w:val="21"/>
                      <w:szCs w:val="21"/>
                      <w:highlight w:val="none"/>
                      <w:lang w:val="en-US" w:eastAsia="zh-CN" w:bidi="ar-SA"/>
                    </w:rPr>
                  </w:pPr>
                  <w:r>
                    <w:rPr>
                      <w:rFonts w:hint="eastAsia"/>
                      <w:b/>
                      <w:bCs/>
                      <w:color w:val="auto"/>
                      <w:highlight w:val="none"/>
                      <w:lang w:val="en-US" w:eastAsia="zh-CN"/>
                    </w:rPr>
                    <w:t>污染物排放量t/a</w:t>
                  </w:r>
                </w:p>
              </w:tc>
              <w:tc>
                <w:tcPr>
                  <w:tcW w:w="796" w:type="pct"/>
                  <w:vMerge w:val="continue"/>
                  <w:shd w:val="clear" w:color="auto" w:fill="auto"/>
                  <w:vAlign w:val="center"/>
                </w:tcPr>
                <w:p w14:paraId="11990DFA">
                  <w:pPr>
                    <w:pStyle w:val="20"/>
                    <w:bidi w:val="0"/>
                    <w:rPr>
                      <w:rFonts w:hint="eastAsia"/>
                      <w:color w:val="auto"/>
                      <w:highlight w:val="none"/>
                      <w:lang w:val="en-US" w:eastAsia="zh-CN"/>
                    </w:rPr>
                  </w:pPr>
                </w:p>
              </w:tc>
            </w:tr>
            <w:tr w14:paraId="7914E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61" w:type="pct"/>
                  <w:shd w:val="clear" w:color="auto" w:fill="auto"/>
                  <w:vAlign w:val="center"/>
                </w:tcPr>
                <w:p w14:paraId="7A7FA899">
                  <w:pPr>
                    <w:pStyle w:val="20"/>
                    <w:bidi w:val="0"/>
                    <w:rPr>
                      <w:rFonts w:hint="eastAsia" w:eastAsia="宋体"/>
                      <w:color w:val="auto"/>
                      <w:highlight w:val="none"/>
                      <w:lang w:val="en-US" w:eastAsia="zh-CN"/>
                    </w:rPr>
                  </w:pPr>
                  <w:r>
                    <w:rPr>
                      <w:rFonts w:hint="eastAsia"/>
                      <w:color w:val="auto"/>
                      <w:highlight w:val="none"/>
                    </w:rPr>
                    <w:t>pH</w:t>
                  </w:r>
                  <w:r>
                    <w:rPr>
                      <w:rFonts w:hint="eastAsia"/>
                      <w:color w:val="auto"/>
                      <w:highlight w:val="none"/>
                      <w:lang w:eastAsia="zh-CN"/>
                    </w:rPr>
                    <w:t>（</w:t>
                  </w:r>
                  <w:r>
                    <w:rPr>
                      <w:rFonts w:hint="eastAsia"/>
                      <w:color w:val="auto"/>
                      <w:highlight w:val="none"/>
                      <w:lang w:val="en-US" w:eastAsia="zh-CN"/>
                    </w:rPr>
                    <w:t>无量纲）</w:t>
                  </w:r>
                </w:p>
              </w:tc>
              <w:tc>
                <w:tcPr>
                  <w:tcW w:w="503" w:type="pct"/>
                  <w:shd w:val="clear" w:color="auto" w:fill="auto"/>
                  <w:vAlign w:val="center"/>
                </w:tcPr>
                <w:p w14:paraId="5DF5ACEF">
                  <w:pPr>
                    <w:pStyle w:val="20"/>
                    <w:bidi w:val="0"/>
                    <w:rPr>
                      <w:rFonts w:hint="eastAsia"/>
                      <w:color w:val="auto"/>
                      <w:highlight w:val="none"/>
                      <w:lang w:val="en-US" w:eastAsia="zh-CN"/>
                    </w:rPr>
                  </w:pPr>
                  <w:r>
                    <w:rPr>
                      <w:rFonts w:hint="default"/>
                      <w:color w:val="auto"/>
                      <w:highlight w:val="none"/>
                      <w:lang w:val="en-US" w:eastAsia="zh-CN"/>
                    </w:rPr>
                    <w:t>6~9</w:t>
                  </w:r>
                </w:p>
              </w:tc>
              <w:tc>
                <w:tcPr>
                  <w:tcW w:w="504" w:type="pct"/>
                  <w:shd w:val="clear" w:color="auto" w:fill="auto"/>
                  <w:vAlign w:val="center"/>
                </w:tcPr>
                <w:p w14:paraId="6C9FF537">
                  <w:pPr>
                    <w:pStyle w:val="20"/>
                    <w:bidi w:val="0"/>
                    <w:rPr>
                      <w:rFonts w:hint="default"/>
                      <w:color w:val="auto"/>
                      <w:highlight w:val="none"/>
                      <w:lang w:val="en-US" w:eastAsia="zh-CN"/>
                    </w:rPr>
                  </w:pPr>
                  <w:r>
                    <w:rPr>
                      <w:rFonts w:hint="default"/>
                      <w:color w:val="auto"/>
                      <w:highlight w:val="none"/>
                      <w:lang w:val="en-US" w:eastAsia="zh-CN"/>
                    </w:rPr>
                    <w:t>6~9</w:t>
                  </w:r>
                </w:p>
              </w:tc>
              <w:tc>
                <w:tcPr>
                  <w:tcW w:w="407" w:type="pct"/>
                  <w:vMerge w:val="restart"/>
                  <w:shd w:val="clear" w:color="auto" w:fill="auto"/>
                  <w:vAlign w:val="center"/>
                </w:tcPr>
                <w:p w14:paraId="73EEAF94">
                  <w:pPr>
                    <w:pStyle w:val="20"/>
                    <w:bidi w:val="0"/>
                    <w:rPr>
                      <w:rFonts w:hint="default"/>
                      <w:color w:val="auto"/>
                      <w:highlight w:val="none"/>
                      <w:lang w:val="en-US" w:eastAsia="zh-CN"/>
                    </w:rPr>
                  </w:pPr>
                  <w:r>
                    <w:rPr>
                      <w:rFonts w:hint="eastAsia"/>
                      <w:color w:val="auto"/>
                      <w:highlight w:val="none"/>
                      <w:lang w:val="en-US" w:eastAsia="zh-CN"/>
                    </w:rPr>
                    <w:t>1519.264</w:t>
                  </w:r>
                </w:p>
              </w:tc>
              <w:tc>
                <w:tcPr>
                  <w:tcW w:w="575" w:type="pct"/>
                  <w:shd w:val="clear" w:color="auto" w:fill="auto"/>
                  <w:vAlign w:val="center"/>
                </w:tcPr>
                <w:p w14:paraId="68952621">
                  <w:pPr>
                    <w:pStyle w:val="20"/>
                    <w:bidi w:val="0"/>
                    <w:rPr>
                      <w:rFonts w:hint="default"/>
                      <w:color w:val="auto"/>
                      <w:highlight w:val="none"/>
                      <w:lang w:val="en-US" w:eastAsia="zh-CN"/>
                    </w:rPr>
                  </w:pPr>
                  <w:r>
                    <w:rPr>
                      <w:rFonts w:hint="eastAsia"/>
                      <w:color w:val="auto"/>
                      <w:highlight w:val="none"/>
                      <w:lang w:val="en-US" w:eastAsia="zh-CN"/>
                    </w:rPr>
                    <w:t>/</w:t>
                  </w:r>
                </w:p>
              </w:tc>
              <w:tc>
                <w:tcPr>
                  <w:tcW w:w="580" w:type="pct"/>
                  <w:shd w:val="clear" w:color="auto" w:fill="auto"/>
                  <w:vAlign w:val="center"/>
                </w:tcPr>
                <w:p w14:paraId="5F3C0C8B">
                  <w:pPr>
                    <w:pStyle w:val="20"/>
                    <w:bidi w:val="0"/>
                    <w:rPr>
                      <w:rFonts w:hint="default"/>
                      <w:color w:val="auto"/>
                      <w:highlight w:val="none"/>
                      <w:lang w:val="en-US" w:eastAsia="zh-CN"/>
                    </w:rPr>
                  </w:pPr>
                  <w:r>
                    <w:rPr>
                      <w:rFonts w:hint="eastAsia"/>
                      <w:color w:val="auto"/>
                      <w:highlight w:val="none"/>
                      <w:lang w:val="en-US" w:eastAsia="zh-CN"/>
                    </w:rPr>
                    <w:t>/</w:t>
                  </w:r>
                </w:p>
              </w:tc>
              <w:tc>
                <w:tcPr>
                  <w:tcW w:w="407" w:type="pct"/>
                  <w:vMerge w:val="restart"/>
                  <w:shd w:val="clear" w:color="auto" w:fill="auto"/>
                  <w:vAlign w:val="center"/>
                </w:tcPr>
                <w:p w14:paraId="23DF390A">
                  <w:pPr>
                    <w:pStyle w:val="20"/>
                    <w:bidi w:val="0"/>
                    <w:rPr>
                      <w:rFonts w:hint="default"/>
                      <w:color w:val="auto"/>
                      <w:highlight w:val="none"/>
                      <w:lang w:val="en-US" w:eastAsia="zh-CN"/>
                    </w:rPr>
                  </w:pPr>
                  <w:r>
                    <w:rPr>
                      <w:rFonts w:hint="eastAsia"/>
                      <w:color w:val="auto"/>
                      <w:highlight w:val="none"/>
                      <w:lang w:val="en-US" w:eastAsia="zh-CN"/>
                    </w:rPr>
                    <w:t>419.692</w:t>
                  </w:r>
                </w:p>
              </w:tc>
              <w:tc>
                <w:tcPr>
                  <w:tcW w:w="661" w:type="pct"/>
                  <w:shd w:val="clear" w:color="auto" w:fill="auto"/>
                  <w:vAlign w:val="center"/>
                </w:tcPr>
                <w:p w14:paraId="3562CEBC">
                  <w:pPr>
                    <w:pStyle w:val="20"/>
                    <w:bidi w:val="0"/>
                    <w:rPr>
                      <w:rFonts w:hint="default"/>
                      <w:color w:val="auto"/>
                      <w:highlight w:val="none"/>
                      <w:lang w:val="en-US" w:eastAsia="zh-CN"/>
                    </w:rPr>
                  </w:pPr>
                  <w:r>
                    <w:rPr>
                      <w:rFonts w:hint="eastAsia"/>
                      <w:color w:val="auto"/>
                      <w:highlight w:val="none"/>
                      <w:lang w:val="en-US" w:eastAsia="zh-CN"/>
                    </w:rPr>
                    <w:t>/</w:t>
                  </w:r>
                </w:p>
              </w:tc>
              <w:tc>
                <w:tcPr>
                  <w:tcW w:w="796" w:type="pct"/>
                  <w:shd w:val="clear" w:color="auto" w:fill="auto"/>
                  <w:vAlign w:val="center"/>
                </w:tcPr>
                <w:p w14:paraId="5D65A066">
                  <w:pPr>
                    <w:pStyle w:val="20"/>
                    <w:bidi w:val="0"/>
                    <w:rPr>
                      <w:rFonts w:hint="eastAsia"/>
                      <w:color w:val="auto"/>
                      <w:highlight w:val="none"/>
                      <w:lang w:val="en-US" w:eastAsia="zh-CN"/>
                    </w:rPr>
                  </w:pPr>
                  <w:r>
                    <w:rPr>
                      <w:rFonts w:hint="eastAsia"/>
                      <w:color w:val="auto"/>
                      <w:highlight w:val="none"/>
                      <w:lang w:val="en-US" w:eastAsia="zh-CN"/>
                    </w:rPr>
                    <w:t>/</w:t>
                  </w:r>
                </w:p>
              </w:tc>
            </w:tr>
            <w:tr w14:paraId="18EB3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61" w:type="pct"/>
                  <w:shd w:val="clear" w:color="auto" w:fill="auto"/>
                  <w:vAlign w:val="center"/>
                </w:tcPr>
                <w:p w14:paraId="75C27D40">
                  <w:pPr>
                    <w:pStyle w:val="20"/>
                    <w:bidi w:val="0"/>
                    <w:rPr>
                      <w:rFonts w:hint="eastAsia" w:ascii="Times New Roman" w:hAnsi="Times New Roman" w:eastAsia="宋体" w:cstheme="minorBidi"/>
                      <w:color w:val="auto"/>
                      <w:kern w:val="2"/>
                      <w:sz w:val="24"/>
                      <w:szCs w:val="24"/>
                      <w:highlight w:val="none"/>
                      <w:lang w:val="en-US" w:eastAsia="zh-CN" w:bidi="ar-SA"/>
                    </w:rPr>
                  </w:pPr>
                  <w:r>
                    <w:rPr>
                      <w:rFonts w:hint="eastAsia"/>
                      <w:color w:val="auto"/>
                      <w:highlight w:val="none"/>
                    </w:rPr>
                    <w:t>COD</w:t>
                  </w:r>
                </w:p>
              </w:tc>
              <w:tc>
                <w:tcPr>
                  <w:tcW w:w="503" w:type="pct"/>
                  <w:shd w:val="clear" w:color="auto" w:fill="auto"/>
                  <w:vAlign w:val="center"/>
                </w:tcPr>
                <w:p w14:paraId="5BD0C3D6">
                  <w:pPr>
                    <w:pStyle w:val="20"/>
                    <w:bidi w:val="0"/>
                    <w:rPr>
                      <w:rFonts w:hint="eastAsia"/>
                      <w:color w:val="auto"/>
                      <w:highlight w:val="none"/>
                      <w:lang w:val="en-US" w:eastAsia="zh-CN"/>
                    </w:rPr>
                  </w:pPr>
                  <w:r>
                    <w:rPr>
                      <w:rFonts w:hint="default"/>
                      <w:color w:val="auto"/>
                      <w:highlight w:val="none"/>
                      <w:lang w:val="en-US" w:eastAsia="zh-CN"/>
                    </w:rPr>
                    <w:t>100</w:t>
                  </w:r>
                </w:p>
              </w:tc>
              <w:tc>
                <w:tcPr>
                  <w:tcW w:w="504" w:type="pct"/>
                  <w:shd w:val="clear" w:color="auto" w:fill="auto"/>
                  <w:vAlign w:val="center"/>
                </w:tcPr>
                <w:p w14:paraId="6209A4DF">
                  <w:pPr>
                    <w:pStyle w:val="20"/>
                    <w:bidi w:val="0"/>
                    <w:rPr>
                      <w:rFonts w:hint="default"/>
                      <w:color w:val="auto"/>
                      <w:highlight w:val="none"/>
                      <w:lang w:val="en-US" w:eastAsia="zh-CN"/>
                    </w:rPr>
                  </w:pPr>
                  <w:r>
                    <w:rPr>
                      <w:rFonts w:hint="default"/>
                      <w:color w:val="auto"/>
                      <w:highlight w:val="none"/>
                      <w:lang w:val="en-US" w:eastAsia="zh-CN"/>
                    </w:rPr>
                    <w:t>30</w:t>
                  </w:r>
                </w:p>
              </w:tc>
              <w:tc>
                <w:tcPr>
                  <w:tcW w:w="407" w:type="pct"/>
                  <w:vMerge w:val="continue"/>
                  <w:shd w:val="clear" w:color="auto" w:fill="auto"/>
                  <w:vAlign w:val="center"/>
                </w:tcPr>
                <w:p w14:paraId="335ADDA6">
                  <w:pPr>
                    <w:pStyle w:val="20"/>
                    <w:bidi w:val="0"/>
                    <w:rPr>
                      <w:rFonts w:hint="default"/>
                      <w:color w:val="auto"/>
                      <w:highlight w:val="none"/>
                      <w:lang w:val="en-US" w:eastAsia="zh-CN"/>
                    </w:rPr>
                  </w:pPr>
                </w:p>
              </w:tc>
              <w:tc>
                <w:tcPr>
                  <w:tcW w:w="575" w:type="pct"/>
                  <w:shd w:val="clear" w:color="auto" w:fill="auto"/>
                  <w:vAlign w:val="center"/>
                </w:tcPr>
                <w:p w14:paraId="3AE69C6C">
                  <w:pPr>
                    <w:pStyle w:val="20"/>
                    <w:bidi w:val="0"/>
                    <w:rPr>
                      <w:rFonts w:hint="default"/>
                      <w:color w:val="auto"/>
                      <w:highlight w:val="none"/>
                      <w:lang w:val="en-US" w:eastAsia="zh-CN"/>
                    </w:rPr>
                  </w:pPr>
                  <w:r>
                    <w:rPr>
                      <w:rFonts w:hint="default"/>
                      <w:color w:val="auto"/>
                      <w:highlight w:val="none"/>
                      <w:lang w:val="en-US" w:eastAsia="zh-CN"/>
                    </w:rPr>
                    <w:t>0.1519</w:t>
                  </w:r>
                </w:p>
              </w:tc>
              <w:tc>
                <w:tcPr>
                  <w:tcW w:w="580" w:type="pct"/>
                  <w:shd w:val="clear" w:color="auto" w:fill="auto"/>
                  <w:vAlign w:val="center"/>
                </w:tcPr>
                <w:p w14:paraId="1DEF0B72">
                  <w:pPr>
                    <w:pStyle w:val="20"/>
                    <w:bidi w:val="0"/>
                    <w:rPr>
                      <w:rFonts w:hint="default"/>
                      <w:color w:val="auto"/>
                      <w:highlight w:val="none"/>
                      <w:lang w:val="en-US" w:eastAsia="zh-CN"/>
                    </w:rPr>
                  </w:pPr>
                  <w:r>
                    <w:rPr>
                      <w:rFonts w:hint="default"/>
                      <w:color w:val="auto"/>
                      <w:highlight w:val="none"/>
                      <w:lang w:val="en-US" w:eastAsia="zh-CN"/>
                    </w:rPr>
                    <w:t>0.0456</w:t>
                  </w:r>
                </w:p>
              </w:tc>
              <w:tc>
                <w:tcPr>
                  <w:tcW w:w="407" w:type="pct"/>
                  <w:vMerge w:val="continue"/>
                  <w:shd w:val="clear" w:color="auto" w:fill="auto"/>
                  <w:vAlign w:val="center"/>
                </w:tcPr>
                <w:p w14:paraId="73414917">
                  <w:pPr>
                    <w:pStyle w:val="20"/>
                    <w:bidi w:val="0"/>
                    <w:rPr>
                      <w:rFonts w:hint="default"/>
                      <w:color w:val="auto"/>
                      <w:highlight w:val="none"/>
                      <w:lang w:val="en-US" w:eastAsia="zh-CN"/>
                    </w:rPr>
                  </w:pPr>
                </w:p>
              </w:tc>
              <w:tc>
                <w:tcPr>
                  <w:tcW w:w="661" w:type="pct"/>
                  <w:shd w:val="clear" w:color="auto" w:fill="auto"/>
                  <w:vAlign w:val="center"/>
                </w:tcPr>
                <w:p w14:paraId="319B1C7E">
                  <w:pPr>
                    <w:pStyle w:val="20"/>
                    <w:bidi w:val="0"/>
                    <w:rPr>
                      <w:rFonts w:hint="default"/>
                      <w:color w:val="auto"/>
                      <w:highlight w:val="none"/>
                      <w:lang w:val="en-US" w:eastAsia="zh-CN"/>
                    </w:rPr>
                  </w:pPr>
                  <w:r>
                    <w:rPr>
                      <w:rFonts w:hint="default"/>
                      <w:color w:val="auto"/>
                      <w:highlight w:val="none"/>
                      <w:lang w:val="en-US" w:eastAsia="zh-CN"/>
                    </w:rPr>
                    <w:t>0.0420</w:t>
                  </w:r>
                </w:p>
              </w:tc>
              <w:tc>
                <w:tcPr>
                  <w:tcW w:w="796" w:type="pct"/>
                  <w:shd w:val="clear" w:color="auto" w:fill="auto"/>
                  <w:vAlign w:val="center"/>
                </w:tcPr>
                <w:p w14:paraId="24BB7343">
                  <w:pPr>
                    <w:pStyle w:val="20"/>
                    <w:bidi w:val="0"/>
                    <w:rPr>
                      <w:rFonts w:hint="default"/>
                      <w:color w:val="auto"/>
                      <w:highlight w:val="none"/>
                      <w:lang w:val="en-US" w:eastAsia="zh-CN"/>
                    </w:rPr>
                  </w:pPr>
                  <w:r>
                    <w:rPr>
                      <w:rFonts w:hint="eastAsia"/>
                      <w:color w:val="auto"/>
                      <w:highlight w:val="none"/>
                      <w:lang w:val="en-US" w:eastAsia="zh-CN"/>
                    </w:rPr>
                    <w:t>0.1099</w:t>
                  </w:r>
                </w:p>
              </w:tc>
            </w:tr>
            <w:tr w14:paraId="742A3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61" w:type="pct"/>
                  <w:shd w:val="clear" w:color="auto" w:fill="auto"/>
                  <w:vAlign w:val="center"/>
                </w:tcPr>
                <w:p w14:paraId="33ED1B59">
                  <w:pPr>
                    <w:pStyle w:val="20"/>
                    <w:bidi w:val="0"/>
                    <w:rPr>
                      <w:rFonts w:hint="eastAsia" w:ascii="Times New Roman" w:hAnsi="Times New Roman" w:eastAsia="宋体" w:cstheme="minorBidi"/>
                      <w:color w:val="auto"/>
                      <w:kern w:val="2"/>
                      <w:sz w:val="24"/>
                      <w:szCs w:val="24"/>
                      <w:highlight w:val="none"/>
                      <w:lang w:val="en-US" w:eastAsia="zh-CN" w:bidi="ar-SA"/>
                    </w:rPr>
                  </w:pPr>
                  <w:r>
                    <w:rPr>
                      <w:rFonts w:hint="eastAsia"/>
                      <w:color w:val="auto"/>
                      <w:highlight w:val="none"/>
                    </w:rPr>
                    <w:t>BOD5</w:t>
                  </w:r>
                </w:p>
              </w:tc>
              <w:tc>
                <w:tcPr>
                  <w:tcW w:w="503" w:type="pct"/>
                  <w:shd w:val="clear" w:color="auto" w:fill="auto"/>
                  <w:vAlign w:val="center"/>
                </w:tcPr>
                <w:p w14:paraId="58A2EF09">
                  <w:pPr>
                    <w:pStyle w:val="20"/>
                    <w:bidi w:val="0"/>
                    <w:rPr>
                      <w:rFonts w:hint="eastAsia"/>
                      <w:color w:val="auto"/>
                      <w:highlight w:val="none"/>
                      <w:lang w:val="en-US" w:eastAsia="zh-CN"/>
                    </w:rPr>
                  </w:pPr>
                  <w:r>
                    <w:rPr>
                      <w:rFonts w:hint="default"/>
                      <w:color w:val="auto"/>
                      <w:highlight w:val="none"/>
                      <w:lang w:val="en-US" w:eastAsia="zh-CN"/>
                    </w:rPr>
                    <w:t>20</w:t>
                  </w:r>
                </w:p>
              </w:tc>
              <w:tc>
                <w:tcPr>
                  <w:tcW w:w="504" w:type="pct"/>
                  <w:shd w:val="clear" w:color="auto" w:fill="auto"/>
                  <w:vAlign w:val="center"/>
                </w:tcPr>
                <w:p w14:paraId="74193ECE">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10</w:t>
                  </w:r>
                </w:p>
              </w:tc>
              <w:tc>
                <w:tcPr>
                  <w:tcW w:w="407" w:type="pct"/>
                  <w:vMerge w:val="continue"/>
                  <w:shd w:val="clear" w:color="auto" w:fill="auto"/>
                  <w:vAlign w:val="center"/>
                </w:tcPr>
                <w:p w14:paraId="194E4725">
                  <w:pPr>
                    <w:pStyle w:val="20"/>
                    <w:bidi w:val="0"/>
                    <w:rPr>
                      <w:rFonts w:hint="default"/>
                      <w:color w:val="auto"/>
                      <w:highlight w:val="none"/>
                      <w:lang w:val="en-US" w:eastAsia="zh-CN"/>
                    </w:rPr>
                  </w:pPr>
                </w:p>
              </w:tc>
              <w:tc>
                <w:tcPr>
                  <w:tcW w:w="575" w:type="pct"/>
                  <w:shd w:val="clear" w:color="auto" w:fill="auto"/>
                  <w:vAlign w:val="center"/>
                </w:tcPr>
                <w:p w14:paraId="2794CC90">
                  <w:pPr>
                    <w:pStyle w:val="20"/>
                    <w:bidi w:val="0"/>
                    <w:rPr>
                      <w:rFonts w:hint="default"/>
                      <w:color w:val="auto"/>
                      <w:highlight w:val="none"/>
                      <w:lang w:val="en-US" w:eastAsia="zh-CN"/>
                    </w:rPr>
                  </w:pPr>
                  <w:r>
                    <w:rPr>
                      <w:rFonts w:hint="default"/>
                      <w:color w:val="auto"/>
                      <w:highlight w:val="none"/>
                      <w:lang w:val="en-US" w:eastAsia="zh-CN"/>
                    </w:rPr>
                    <w:t>0.0304</w:t>
                  </w:r>
                </w:p>
              </w:tc>
              <w:tc>
                <w:tcPr>
                  <w:tcW w:w="580" w:type="pct"/>
                  <w:shd w:val="clear" w:color="auto" w:fill="auto"/>
                  <w:vAlign w:val="center"/>
                </w:tcPr>
                <w:p w14:paraId="1D545928">
                  <w:pPr>
                    <w:pStyle w:val="20"/>
                    <w:bidi w:val="0"/>
                    <w:rPr>
                      <w:rFonts w:hint="default"/>
                      <w:color w:val="auto"/>
                      <w:highlight w:val="none"/>
                      <w:lang w:val="en-US" w:eastAsia="zh-CN"/>
                    </w:rPr>
                  </w:pPr>
                  <w:r>
                    <w:rPr>
                      <w:rFonts w:hint="default"/>
                      <w:color w:val="auto"/>
                      <w:highlight w:val="none"/>
                      <w:lang w:val="en-US" w:eastAsia="zh-CN"/>
                    </w:rPr>
                    <w:t>0.0152</w:t>
                  </w:r>
                </w:p>
              </w:tc>
              <w:tc>
                <w:tcPr>
                  <w:tcW w:w="407" w:type="pct"/>
                  <w:vMerge w:val="continue"/>
                  <w:shd w:val="clear" w:color="auto" w:fill="auto"/>
                  <w:vAlign w:val="center"/>
                </w:tcPr>
                <w:p w14:paraId="28EC2AF0">
                  <w:pPr>
                    <w:pStyle w:val="20"/>
                    <w:bidi w:val="0"/>
                    <w:rPr>
                      <w:rFonts w:hint="default"/>
                      <w:color w:val="auto"/>
                      <w:highlight w:val="none"/>
                      <w:lang w:val="en-US" w:eastAsia="zh-CN"/>
                    </w:rPr>
                  </w:pPr>
                </w:p>
              </w:tc>
              <w:tc>
                <w:tcPr>
                  <w:tcW w:w="661" w:type="pct"/>
                  <w:shd w:val="clear" w:color="auto" w:fill="auto"/>
                  <w:vAlign w:val="center"/>
                </w:tcPr>
                <w:p w14:paraId="74699390">
                  <w:pPr>
                    <w:pStyle w:val="20"/>
                    <w:bidi w:val="0"/>
                    <w:rPr>
                      <w:rFonts w:hint="default"/>
                      <w:color w:val="auto"/>
                      <w:highlight w:val="none"/>
                      <w:lang w:val="en-US" w:eastAsia="zh-CN"/>
                    </w:rPr>
                  </w:pPr>
                  <w:r>
                    <w:rPr>
                      <w:rFonts w:hint="default"/>
                      <w:color w:val="auto"/>
                      <w:highlight w:val="none"/>
                      <w:lang w:val="en-US" w:eastAsia="zh-CN"/>
                    </w:rPr>
                    <w:t>0.0084</w:t>
                  </w:r>
                </w:p>
              </w:tc>
              <w:tc>
                <w:tcPr>
                  <w:tcW w:w="796" w:type="pct"/>
                  <w:shd w:val="clear" w:color="auto" w:fill="auto"/>
                  <w:vAlign w:val="center"/>
                </w:tcPr>
                <w:p w14:paraId="00E3092F">
                  <w:pPr>
                    <w:pStyle w:val="20"/>
                    <w:bidi w:val="0"/>
                    <w:rPr>
                      <w:rFonts w:hint="eastAsia"/>
                      <w:color w:val="auto"/>
                      <w:highlight w:val="none"/>
                      <w:lang w:val="en-US" w:eastAsia="zh-CN"/>
                    </w:rPr>
                  </w:pPr>
                  <w:r>
                    <w:rPr>
                      <w:rFonts w:hint="eastAsia"/>
                      <w:color w:val="auto"/>
                      <w:highlight w:val="none"/>
                      <w:lang w:val="en-US" w:eastAsia="zh-CN"/>
                    </w:rPr>
                    <w:t>0.0220</w:t>
                  </w:r>
                </w:p>
              </w:tc>
            </w:tr>
            <w:tr w14:paraId="0F2B9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61" w:type="pct"/>
                  <w:shd w:val="clear" w:color="auto" w:fill="auto"/>
                  <w:vAlign w:val="center"/>
                </w:tcPr>
                <w:p w14:paraId="43B7641E">
                  <w:pPr>
                    <w:pStyle w:val="20"/>
                    <w:bidi w:val="0"/>
                    <w:rPr>
                      <w:rFonts w:hint="eastAsia" w:ascii="Times New Roman" w:hAnsi="Times New Roman" w:eastAsia="宋体" w:cstheme="minorBidi"/>
                      <w:color w:val="auto"/>
                      <w:kern w:val="2"/>
                      <w:sz w:val="24"/>
                      <w:szCs w:val="24"/>
                      <w:highlight w:val="none"/>
                      <w:lang w:val="en-US" w:eastAsia="zh-CN" w:bidi="ar-SA"/>
                    </w:rPr>
                  </w:pPr>
                  <w:r>
                    <w:rPr>
                      <w:rFonts w:hint="eastAsia"/>
                      <w:color w:val="auto"/>
                      <w:highlight w:val="none"/>
                    </w:rPr>
                    <w:t>SS</w:t>
                  </w:r>
                </w:p>
              </w:tc>
              <w:tc>
                <w:tcPr>
                  <w:tcW w:w="503" w:type="pct"/>
                  <w:shd w:val="clear" w:color="auto" w:fill="auto"/>
                  <w:vAlign w:val="center"/>
                </w:tcPr>
                <w:p w14:paraId="75BD93B0">
                  <w:pPr>
                    <w:pStyle w:val="20"/>
                    <w:bidi w:val="0"/>
                    <w:rPr>
                      <w:rFonts w:hint="eastAsia"/>
                      <w:color w:val="auto"/>
                      <w:highlight w:val="none"/>
                      <w:lang w:val="en-US" w:eastAsia="zh-CN"/>
                    </w:rPr>
                  </w:pPr>
                  <w:r>
                    <w:rPr>
                      <w:rFonts w:hint="default"/>
                      <w:color w:val="auto"/>
                      <w:highlight w:val="none"/>
                      <w:lang w:val="en-US" w:eastAsia="zh-CN"/>
                    </w:rPr>
                    <w:t>70</w:t>
                  </w:r>
                </w:p>
              </w:tc>
              <w:tc>
                <w:tcPr>
                  <w:tcW w:w="504" w:type="pct"/>
                  <w:shd w:val="clear" w:color="auto" w:fill="auto"/>
                  <w:vAlign w:val="center"/>
                </w:tcPr>
                <w:p w14:paraId="31667C00">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10</w:t>
                  </w:r>
                </w:p>
              </w:tc>
              <w:tc>
                <w:tcPr>
                  <w:tcW w:w="407" w:type="pct"/>
                  <w:vMerge w:val="continue"/>
                  <w:shd w:val="clear" w:color="auto" w:fill="auto"/>
                  <w:vAlign w:val="center"/>
                </w:tcPr>
                <w:p w14:paraId="14EB8D1C">
                  <w:pPr>
                    <w:pStyle w:val="20"/>
                    <w:bidi w:val="0"/>
                    <w:rPr>
                      <w:rFonts w:hint="default"/>
                      <w:color w:val="auto"/>
                      <w:highlight w:val="none"/>
                      <w:lang w:val="en-US" w:eastAsia="zh-CN"/>
                    </w:rPr>
                  </w:pPr>
                </w:p>
              </w:tc>
              <w:tc>
                <w:tcPr>
                  <w:tcW w:w="575" w:type="pct"/>
                  <w:shd w:val="clear" w:color="auto" w:fill="auto"/>
                  <w:vAlign w:val="center"/>
                </w:tcPr>
                <w:p w14:paraId="464716E9">
                  <w:pPr>
                    <w:pStyle w:val="20"/>
                    <w:bidi w:val="0"/>
                    <w:rPr>
                      <w:rFonts w:hint="default"/>
                      <w:color w:val="auto"/>
                      <w:highlight w:val="none"/>
                      <w:lang w:val="en-US" w:eastAsia="zh-CN"/>
                    </w:rPr>
                  </w:pPr>
                  <w:r>
                    <w:rPr>
                      <w:rFonts w:hint="default"/>
                      <w:color w:val="auto"/>
                      <w:highlight w:val="none"/>
                      <w:lang w:val="en-US" w:eastAsia="zh-CN"/>
                    </w:rPr>
                    <w:t>0.1063</w:t>
                  </w:r>
                </w:p>
              </w:tc>
              <w:tc>
                <w:tcPr>
                  <w:tcW w:w="580" w:type="pct"/>
                  <w:shd w:val="clear" w:color="auto" w:fill="auto"/>
                  <w:vAlign w:val="center"/>
                </w:tcPr>
                <w:p w14:paraId="02635133">
                  <w:pPr>
                    <w:pStyle w:val="20"/>
                    <w:bidi w:val="0"/>
                    <w:rPr>
                      <w:rFonts w:hint="default"/>
                      <w:color w:val="auto"/>
                      <w:highlight w:val="none"/>
                      <w:lang w:val="en-US" w:eastAsia="zh-CN"/>
                    </w:rPr>
                  </w:pPr>
                  <w:r>
                    <w:rPr>
                      <w:rFonts w:hint="default"/>
                      <w:color w:val="auto"/>
                      <w:highlight w:val="none"/>
                      <w:lang w:val="en-US" w:eastAsia="zh-CN"/>
                    </w:rPr>
                    <w:t>0.0152</w:t>
                  </w:r>
                </w:p>
              </w:tc>
              <w:tc>
                <w:tcPr>
                  <w:tcW w:w="407" w:type="pct"/>
                  <w:vMerge w:val="continue"/>
                  <w:shd w:val="clear" w:color="auto" w:fill="auto"/>
                  <w:vAlign w:val="center"/>
                </w:tcPr>
                <w:p w14:paraId="18D98D43">
                  <w:pPr>
                    <w:pStyle w:val="20"/>
                    <w:bidi w:val="0"/>
                    <w:rPr>
                      <w:rFonts w:hint="default"/>
                      <w:color w:val="auto"/>
                      <w:highlight w:val="none"/>
                      <w:lang w:val="en-US" w:eastAsia="zh-CN"/>
                    </w:rPr>
                  </w:pPr>
                </w:p>
              </w:tc>
              <w:tc>
                <w:tcPr>
                  <w:tcW w:w="661" w:type="pct"/>
                  <w:shd w:val="clear" w:color="auto" w:fill="auto"/>
                  <w:vAlign w:val="center"/>
                </w:tcPr>
                <w:p w14:paraId="57448F6A">
                  <w:pPr>
                    <w:pStyle w:val="20"/>
                    <w:bidi w:val="0"/>
                    <w:rPr>
                      <w:rFonts w:hint="default"/>
                      <w:color w:val="auto"/>
                      <w:highlight w:val="none"/>
                      <w:lang w:val="en-US" w:eastAsia="zh-CN"/>
                    </w:rPr>
                  </w:pPr>
                  <w:r>
                    <w:rPr>
                      <w:rFonts w:hint="default"/>
                      <w:color w:val="auto"/>
                      <w:highlight w:val="none"/>
                      <w:lang w:val="en-US" w:eastAsia="zh-CN"/>
                    </w:rPr>
                    <w:t>0.0294</w:t>
                  </w:r>
                </w:p>
              </w:tc>
              <w:tc>
                <w:tcPr>
                  <w:tcW w:w="796" w:type="pct"/>
                  <w:shd w:val="clear" w:color="auto" w:fill="auto"/>
                  <w:vAlign w:val="center"/>
                </w:tcPr>
                <w:p w14:paraId="4D5465EB">
                  <w:pPr>
                    <w:pStyle w:val="20"/>
                    <w:bidi w:val="0"/>
                    <w:rPr>
                      <w:rFonts w:hint="eastAsia"/>
                      <w:color w:val="auto"/>
                      <w:highlight w:val="none"/>
                      <w:lang w:val="en-US" w:eastAsia="zh-CN"/>
                    </w:rPr>
                  </w:pPr>
                  <w:r>
                    <w:rPr>
                      <w:rFonts w:hint="eastAsia"/>
                      <w:color w:val="auto"/>
                      <w:highlight w:val="none"/>
                      <w:lang w:val="en-US" w:eastAsia="zh-CN"/>
                    </w:rPr>
                    <w:t>0.0769</w:t>
                  </w:r>
                </w:p>
              </w:tc>
            </w:tr>
            <w:tr w14:paraId="2747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61" w:type="pct"/>
                  <w:shd w:val="clear" w:color="auto" w:fill="auto"/>
                  <w:vAlign w:val="center"/>
                </w:tcPr>
                <w:p w14:paraId="44AF2150">
                  <w:pPr>
                    <w:pStyle w:val="20"/>
                    <w:bidi w:val="0"/>
                    <w:rPr>
                      <w:rFonts w:hint="eastAsia" w:ascii="Times New Roman" w:hAnsi="Times New Roman" w:eastAsia="宋体" w:cstheme="minorBidi"/>
                      <w:color w:val="auto"/>
                      <w:kern w:val="2"/>
                      <w:sz w:val="24"/>
                      <w:szCs w:val="24"/>
                      <w:highlight w:val="none"/>
                      <w:lang w:val="en-US" w:eastAsia="zh-CN" w:bidi="ar-SA"/>
                    </w:rPr>
                  </w:pPr>
                  <w:r>
                    <w:rPr>
                      <w:rFonts w:hint="eastAsia"/>
                      <w:color w:val="auto"/>
                      <w:highlight w:val="none"/>
                      <w:lang w:val="en-US" w:eastAsia="zh-CN"/>
                    </w:rPr>
                    <w:t>氨氮</w:t>
                  </w:r>
                </w:p>
              </w:tc>
              <w:tc>
                <w:tcPr>
                  <w:tcW w:w="503" w:type="pct"/>
                  <w:shd w:val="clear" w:color="auto" w:fill="auto"/>
                  <w:vAlign w:val="center"/>
                </w:tcPr>
                <w:p w14:paraId="63F04022">
                  <w:pPr>
                    <w:pStyle w:val="20"/>
                    <w:bidi w:val="0"/>
                    <w:rPr>
                      <w:rFonts w:hint="eastAsia"/>
                      <w:color w:val="auto"/>
                      <w:highlight w:val="none"/>
                      <w:lang w:val="en-US" w:eastAsia="zh-CN"/>
                    </w:rPr>
                  </w:pPr>
                  <w:r>
                    <w:rPr>
                      <w:rFonts w:hint="default"/>
                      <w:color w:val="auto"/>
                      <w:highlight w:val="none"/>
                      <w:lang w:val="en-US" w:eastAsia="zh-CN"/>
                    </w:rPr>
                    <w:t>15</w:t>
                  </w:r>
                </w:p>
              </w:tc>
              <w:tc>
                <w:tcPr>
                  <w:tcW w:w="504" w:type="pct"/>
                  <w:shd w:val="clear" w:color="auto" w:fill="auto"/>
                  <w:vAlign w:val="center"/>
                </w:tcPr>
                <w:p w14:paraId="108A8429">
                  <w:pPr>
                    <w:pStyle w:val="20"/>
                    <w:bidi w:val="0"/>
                    <w:rPr>
                      <w:rFonts w:hint="default"/>
                      <w:color w:val="auto"/>
                      <w:highlight w:val="none"/>
                      <w:lang w:val="en-US" w:eastAsia="zh-CN"/>
                    </w:rPr>
                  </w:pPr>
                  <w:r>
                    <w:rPr>
                      <w:rFonts w:hint="default"/>
                      <w:color w:val="auto"/>
                      <w:highlight w:val="none"/>
                      <w:lang w:val="en-US" w:eastAsia="zh-CN"/>
                    </w:rPr>
                    <w:t>1.5</w:t>
                  </w:r>
                </w:p>
              </w:tc>
              <w:tc>
                <w:tcPr>
                  <w:tcW w:w="407" w:type="pct"/>
                  <w:vMerge w:val="continue"/>
                  <w:shd w:val="clear" w:color="auto" w:fill="auto"/>
                  <w:vAlign w:val="center"/>
                </w:tcPr>
                <w:p w14:paraId="38524B83">
                  <w:pPr>
                    <w:pStyle w:val="20"/>
                    <w:bidi w:val="0"/>
                    <w:rPr>
                      <w:rFonts w:hint="default"/>
                      <w:color w:val="auto"/>
                      <w:highlight w:val="none"/>
                      <w:lang w:val="en-US" w:eastAsia="zh-CN"/>
                    </w:rPr>
                  </w:pPr>
                </w:p>
              </w:tc>
              <w:tc>
                <w:tcPr>
                  <w:tcW w:w="575" w:type="pct"/>
                  <w:shd w:val="clear" w:color="auto" w:fill="auto"/>
                  <w:vAlign w:val="center"/>
                </w:tcPr>
                <w:p w14:paraId="0A97D9D6">
                  <w:pPr>
                    <w:pStyle w:val="20"/>
                    <w:bidi w:val="0"/>
                    <w:rPr>
                      <w:rFonts w:hint="default"/>
                      <w:color w:val="auto"/>
                      <w:highlight w:val="none"/>
                      <w:lang w:val="en-US" w:eastAsia="zh-CN"/>
                    </w:rPr>
                  </w:pPr>
                  <w:r>
                    <w:rPr>
                      <w:rFonts w:hint="default"/>
                      <w:color w:val="auto"/>
                      <w:highlight w:val="none"/>
                      <w:lang w:val="en-US" w:eastAsia="zh-CN"/>
                    </w:rPr>
                    <w:t>0.0228</w:t>
                  </w:r>
                </w:p>
              </w:tc>
              <w:tc>
                <w:tcPr>
                  <w:tcW w:w="580" w:type="pct"/>
                  <w:shd w:val="clear" w:color="auto" w:fill="auto"/>
                  <w:vAlign w:val="center"/>
                </w:tcPr>
                <w:p w14:paraId="5E01ECD4">
                  <w:pPr>
                    <w:pStyle w:val="20"/>
                    <w:bidi w:val="0"/>
                    <w:rPr>
                      <w:rFonts w:hint="default"/>
                      <w:color w:val="auto"/>
                      <w:highlight w:val="none"/>
                      <w:lang w:val="en-US" w:eastAsia="zh-CN"/>
                    </w:rPr>
                  </w:pPr>
                  <w:r>
                    <w:rPr>
                      <w:rFonts w:hint="default"/>
                      <w:color w:val="auto"/>
                      <w:highlight w:val="none"/>
                      <w:lang w:val="en-US" w:eastAsia="zh-CN"/>
                    </w:rPr>
                    <w:t>0.0023</w:t>
                  </w:r>
                </w:p>
              </w:tc>
              <w:tc>
                <w:tcPr>
                  <w:tcW w:w="407" w:type="pct"/>
                  <w:vMerge w:val="continue"/>
                  <w:shd w:val="clear" w:color="auto" w:fill="auto"/>
                  <w:vAlign w:val="center"/>
                </w:tcPr>
                <w:p w14:paraId="74536A5D">
                  <w:pPr>
                    <w:pStyle w:val="20"/>
                    <w:bidi w:val="0"/>
                    <w:rPr>
                      <w:rFonts w:hint="default"/>
                      <w:color w:val="auto"/>
                      <w:highlight w:val="none"/>
                      <w:lang w:val="en-US" w:eastAsia="zh-CN"/>
                    </w:rPr>
                  </w:pPr>
                </w:p>
              </w:tc>
              <w:tc>
                <w:tcPr>
                  <w:tcW w:w="661" w:type="pct"/>
                  <w:shd w:val="clear" w:color="auto" w:fill="auto"/>
                  <w:vAlign w:val="center"/>
                </w:tcPr>
                <w:p w14:paraId="64378E30">
                  <w:pPr>
                    <w:pStyle w:val="20"/>
                    <w:bidi w:val="0"/>
                    <w:rPr>
                      <w:rFonts w:hint="default"/>
                      <w:color w:val="auto"/>
                      <w:highlight w:val="none"/>
                      <w:lang w:val="en-US" w:eastAsia="zh-CN"/>
                    </w:rPr>
                  </w:pPr>
                  <w:r>
                    <w:rPr>
                      <w:rFonts w:hint="default"/>
                      <w:color w:val="auto"/>
                      <w:highlight w:val="none"/>
                      <w:lang w:val="en-US" w:eastAsia="zh-CN"/>
                    </w:rPr>
                    <w:t>0.0063</w:t>
                  </w:r>
                </w:p>
              </w:tc>
              <w:tc>
                <w:tcPr>
                  <w:tcW w:w="796" w:type="pct"/>
                  <w:shd w:val="clear" w:color="auto" w:fill="auto"/>
                  <w:vAlign w:val="center"/>
                </w:tcPr>
                <w:p w14:paraId="33B1978D">
                  <w:pPr>
                    <w:pStyle w:val="20"/>
                    <w:bidi w:val="0"/>
                    <w:rPr>
                      <w:rFonts w:hint="eastAsia"/>
                      <w:color w:val="auto"/>
                      <w:highlight w:val="none"/>
                      <w:lang w:val="en-US" w:eastAsia="zh-CN"/>
                    </w:rPr>
                  </w:pPr>
                  <w:r>
                    <w:rPr>
                      <w:rFonts w:hint="eastAsia"/>
                      <w:color w:val="auto"/>
                      <w:highlight w:val="none"/>
                      <w:lang w:val="en-US" w:eastAsia="zh-CN"/>
                    </w:rPr>
                    <w:t>0.0165</w:t>
                  </w:r>
                </w:p>
              </w:tc>
            </w:tr>
            <w:tr w14:paraId="1B7F1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61" w:type="pct"/>
                  <w:shd w:val="clear" w:color="auto" w:fill="auto"/>
                  <w:vAlign w:val="center"/>
                </w:tcPr>
                <w:p w14:paraId="251137C7">
                  <w:pPr>
                    <w:pStyle w:val="20"/>
                    <w:bidi w:val="0"/>
                    <w:rPr>
                      <w:rFonts w:hint="eastAsia" w:ascii="Times New Roman" w:hAnsi="Times New Roman" w:eastAsia="宋体" w:cstheme="minorBidi"/>
                      <w:color w:val="auto"/>
                      <w:kern w:val="2"/>
                      <w:sz w:val="24"/>
                      <w:szCs w:val="24"/>
                      <w:highlight w:val="none"/>
                      <w:lang w:val="en-US" w:eastAsia="zh-CN" w:bidi="ar-SA"/>
                    </w:rPr>
                  </w:pPr>
                  <w:r>
                    <w:rPr>
                      <w:rFonts w:hint="eastAsia"/>
                      <w:color w:val="auto"/>
                      <w:highlight w:val="none"/>
                      <w:lang w:val="en-US" w:eastAsia="zh-CN"/>
                    </w:rPr>
                    <w:t>石油类</w:t>
                  </w:r>
                </w:p>
              </w:tc>
              <w:tc>
                <w:tcPr>
                  <w:tcW w:w="503" w:type="pct"/>
                  <w:shd w:val="clear" w:color="auto" w:fill="auto"/>
                  <w:vAlign w:val="center"/>
                </w:tcPr>
                <w:p w14:paraId="68CE399E">
                  <w:pPr>
                    <w:pStyle w:val="20"/>
                    <w:bidi w:val="0"/>
                    <w:rPr>
                      <w:rFonts w:hint="eastAsia"/>
                      <w:color w:val="auto"/>
                      <w:highlight w:val="none"/>
                      <w:lang w:val="en-US" w:eastAsia="zh-CN"/>
                    </w:rPr>
                  </w:pPr>
                  <w:r>
                    <w:rPr>
                      <w:rFonts w:hint="default"/>
                      <w:color w:val="auto"/>
                      <w:highlight w:val="none"/>
                      <w:lang w:val="en-US" w:eastAsia="zh-CN"/>
                    </w:rPr>
                    <w:t>5</w:t>
                  </w:r>
                </w:p>
              </w:tc>
              <w:tc>
                <w:tcPr>
                  <w:tcW w:w="504" w:type="pct"/>
                  <w:shd w:val="clear" w:color="auto" w:fill="auto"/>
                  <w:vAlign w:val="center"/>
                </w:tcPr>
                <w:p w14:paraId="152BBCC2">
                  <w:pPr>
                    <w:pStyle w:val="20"/>
                    <w:bidi w:val="0"/>
                    <w:rPr>
                      <w:rFonts w:hint="default"/>
                      <w:color w:val="auto"/>
                      <w:highlight w:val="none"/>
                      <w:lang w:val="en-US" w:eastAsia="zh-CN"/>
                    </w:rPr>
                  </w:pPr>
                  <w:r>
                    <w:rPr>
                      <w:rFonts w:hint="default"/>
                      <w:color w:val="auto"/>
                      <w:highlight w:val="none"/>
                      <w:lang w:val="en-US" w:eastAsia="zh-CN"/>
                    </w:rPr>
                    <w:t>1</w:t>
                  </w:r>
                </w:p>
              </w:tc>
              <w:tc>
                <w:tcPr>
                  <w:tcW w:w="407" w:type="pct"/>
                  <w:vMerge w:val="continue"/>
                  <w:shd w:val="clear" w:color="auto" w:fill="auto"/>
                  <w:vAlign w:val="center"/>
                </w:tcPr>
                <w:p w14:paraId="66748A39">
                  <w:pPr>
                    <w:pStyle w:val="20"/>
                    <w:bidi w:val="0"/>
                    <w:rPr>
                      <w:rFonts w:hint="default"/>
                      <w:color w:val="auto"/>
                      <w:highlight w:val="none"/>
                      <w:lang w:val="en-US" w:eastAsia="zh-CN"/>
                    </w:rPr>
                  </w:pPr>
                </w:p>
              </w:tc>
              <w:tc>
                <w:tcPr>
                  <w:tcW w:w="575" w:type="pct"/>
                  <w:shd w:val="clear" w:color="auto" w:fill="auto"/>
                  <w:vAlign w:val="center"/>
                </w:tcPr>
                <w:p w14:paraId="42D61CE3">
                  <w:pPr>
                    <w:pStyle w:val="20"/>
                    <w:bidi w:val="0"/>
                    <w:rPr>
                      <w:rFonts w:hint="default"/>
                      <w:color w:val="auto"/>
                      <w:highlight w:val="none"/>
                      <w:lang w:val="en-US" w:eastAsia="zh-CN"/>
                    </w:rPr>
                  </w:pPr>
                  <w:r>
                    <w:rPr>
                      <w:rFonts w:hint="default"/>
                      <w:color w:val="auto"/>
                      <w:highlight w:val="none"/>
                      <w:lang w:val="en-US" w:eastAsia="zh-CN"/>
                    </w:rPr>
                    <w:t>0.0076</w:t>
                  </w:r>
                </w:p>
              </w:tc>
              <w:tc>
                <w:tcPr>
                  <w:tcW w:w="580" w:type="pct"/>
                  <w:shd w:val="clear" w:color="auto" w:fill="auto"/>
                  <w:vAlign w:val="center"/>
                </w:tcPr>
                <w:p w14:paraId="4D66EA51">
                  <w:pPr>
                    <w:pStyle w:val="20"/>
                    <w:bidi w:val="0"/>
                    <w:rPr>
                      <w:rFonts w:hint="default"/>
                      <w:color w:val="auto"/>
                      <w:highlight w:val="none"/>
                      <w:lang w:val="en-US" w:eastAsia="zh-CN"/>
                    </w:rPr>
                  </w:pPr>
                  <w:r>
                    <w:rPr>
                      <w:rFonts w:hint="default"/>
                      <w:color w:val="auto"/>
                      <w:highlight w:val="none"/>
                      <w:lang w:val="en-US" w:eastAsia="zh-CN"/>
                    </w:rPr>
                    <w:t>0.0015</w:t>
                  </w:r>
                </w:p>
              </w:tc>
              <w:tc>
                <w:tcPr>
                  <w:tcW w:w="407" w:type="pct"/>
                  <w:vMerge w:val="continue"/>
                  <w:shd w:val="clear" w:color="auto" w:fill="auto"/>
                  <w:vAlign w:val="center"/>
                </w:tcPr>
                <w:p w14:paraId="5C826BD2">
                  <w:pPr>
                    <w:pStyle w:val="20"/>
                    <w:bidi w:val="0"/>
                    <w:rPr>
                      <w:rFonts w:hint="default"/>
                      <w:color w:val="auto"/>
                      <w:highlight w:val="none"/>
                      <w:lang w:val="en-US" w:eastAsia="zh-CN"/>
                    </w:rPr>
                  </w:pPr>
                </w:p>
              </w:tc>
              <w:tc>
                <w:tcPr>
                  <w:tcW w:w="661" w:type="pct"/>
                  <w:shd w:val="clear" w:color="auto" w:fill="auto"/>
                  <w:vAlign w:val="center"/>
                </w:tcPr>
                <w:p w14:paraId="3D22FD30">
                  <w:pPr>
                    <w:pStyle w:val="20"/>
                    <w:bidi w:val="0"/>
                    <w:rPr>
                      <w:rFonts w:hint="default"/>
                      <w:color w:val="auto"/>
                      <w:highlight w:val="none"/>
                      <w:lang w:val="en-US" w:eastAsia="zh-CN"/>
                    </w:rPr>
                  </w:pPr>
                  <w:r>
                    <w:rPr>
                      <w:rFonts w:hint="default"/>
                      <w:color w:val="auto"/>
                      <w:highlight w:val="none"/>
                      <w:lang w:val="en-US" w:eastAsia="zh-CN"/>
                    </w:rPr>
                    <w:t>0.0021</w:t>
                  </w:r>
                </w:p>
              </w:tc>
              <w:tc>
                <w:tcPr>
                  <w:tcW w:w="796" w:type="pct"/>
                  <w:shd w:val="clear" w:color="auto" w:fill="auto"/>
                  <w:vAlign w:val="center"/>
                </w:tcPr>
                <w:p w14:paraId="7F782365">
                  <w:pPr>
                    <w:pStyle w:val="20"/>
                    <w:bidi w:val="0"/>
                    <w:rPr>
                      <w:rFonts w:hint="eastAsia"/>
                      <w:color w:val="auto"/>
                      <w:highlight w:val="none"/>
                      <w:lang w:val="en-US" w:eastAsia="zh-CN"/>
                    </w:rPr>
                  </w:pPr>
                  <w:r>
                    <w:rPr>
                      <w:rFonts w:hint="eastAsia"/>
                      <w:color w:val="auto"/>
                      <w:highlight w:val="none"/>
                      <w:lang w:val="en-US" w:eastAsia="zh-CN"/>
                    </w:rPr>
                    <w:t>0.0055</w:t>
                  </w:r>
                </w:p>
              </w:tc>
            </w:tr>
            <w:tr w14:paraId="34082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397" w:hRule="atLeast"/>
              </w:trPr>
              <w:tc>
                <w:tcPr>
                  <w:tcW w:w="561" w:type="pct"/>
                  <w:shd w:val="clear" w:color="auto" w:fill="auto"/>
                  <w:vAlign w:val="center"/>
                </w:tcPr>
                <w:p w14:paraId="3D3C75E3">
                  <w:pPr>
                    <w:pStyle w:val="20"/>
                    <w:bidi w:val="0"/>
                    <w:rPr>
                      <w:rFonts w:hint="eastAsia" w:ascii="Times New Roman" w:hAnsi="Times New Roman" w:eastAsia="宋体" w:cstheme="minorBidi"/>
                      <w:color w:val="auto"/>
                      <w:kern w:val="2"/>
                      <w:sz w:val="24"/>
                      <w:szCs w:val="24"/>
                      <w:highlight w:val="none"/>
                      <w:lang w:val="en-US" w:eastAsia="zh-CN" w:bidi="ar-SA"/>
                    </w:rPr>
                  </w:pPr>
                  <w:r>
                    <w:rPr>
                      <w:rFonts w:hint="eastAsia"/>
                      <w:color w:val="auto"/>
                      <w:highlight w:val="none"/>
                      <w:lang w:val="en-US" w:eastAsia="zh-CN"/>
                    </w:rPr>
                    <w:t>TP</w:t>
                  </w:r>
                </w:p>
              </w:tc>
              <w:tc>
                <w:tcPr>
                  <w:tcW w:w="503" w:type="pct"/>
                  <w:shd w:val="clear" w:color="auto" w:fill="auto"/>
                  <w:vAlign w:val="center"/>
                </w:tcPr>
                <w:p w14:paraId="3794FAC4">
                  <w:pPr>
                    <w:pStyle w:val="20"/>
                    <w:bidi w:val="0"/>
                    <w:rPr>
                      <w:rFonts w:hint="eastAsia"/>
                      <w:color w:val="auto"/>
                      <w:highlight w:val="none"/>
                      <w:lang w:val="en-US" w:eastAsia="zh-CN"/>
                    </w:rPr>
                  </w:pPr>
                  <w:r>
                    <w:rPr>
                      <w:rFonts w:hint="default"/>
                      <w:color w:val="auto"/>
                      <w:highlight w:val="none"/>
                      <w:lang w:val="en-US" w:eastAsia="zh-CN"/>
                    </w:rPr>
                    <w:t>0.5</w:t>
                  </w:r>
                </w:p>
              </w:tc>
              <w:tc>
                <w:tcPr>
                  <w:tcW w:w="504" w:type="pct"/>
                  <w:shd w:val="clear" w:color="auto" w:fill="auto"/>
                  <w:vAlign w:val="center"/>
                </w:tcPr>
                <w:p w14:paraId="2AAFEBD7">
                  <w:pPr>
                    <w:pStyle w:val="20"/>
                    <w:bidi w:val="0"/>
                    <w:rPr>
                      <w:rFonts w:hint="default"/>
                      <w:color w:val="auto"/>
                      <w:highlight w:val="none"/>
                      <w:lang w:val="en-US" w:eastAsia="zh-CN"/>
                    </w:rPr>
                  </w:pPr>
                  <w:r>
                    <w:rPr>
                      <w:rFonts w:hint="eastAsia"/>
                      <w:color w:val="auto"/>
                      <w:highlight w:val="none"/>
                      <w:lang w:val="en-US" w:eastAsia="zh-CN"/>
                    </w:rPr>
                    <w:t>0.3</w:t>
                  </w:r>
                </w:p>
              </w:tc>
              <w:tc>
                <w:tcPr>
                  <w:tcW w:w="407" w:type="pct"/>
                  <w:vMerge w:val="continue"/>
                  <w:shd w:val="clear" w:color="auto" w:fill="auto"/>
                  <w:vAlign w:val="center"/>
                </w:tcPr>
                <w:p w14:paraId="70BD79A9">
                  <w:pPr>
                    <w:pStyle w:val="20"/>
                    <w:bidi w:val="0"/>
                    <w:rPr>
                      <w:rFonts w:hint="default"/>
                      <w:color w:val="auto"/>
                      <w:highlight w:val="none"/>
                      <w:lang w:val="en-US" w:eastAsia="zh-CN"/>
                    </w:rPr>
                  </w:pPr>
                </w:p>
              </w:tc>
              <w:tc>
                <w:tcPr>
                  <w:tcW w:w="575" w:type="pct"/>
                  <w:shd w:val="clear" w:color="auto" w:fill="auto"/>
                  <w:vAlign w:val="center"/>
                </w:tcPr>
                <w:p w14:paraId="2121E254">
                  <w:pPr>
                    <w:pStyle w:val="20"/>
                    <w:bidi w:val="0"/>
                    <w:rPr>
                      <w:rFonts w:hint="default"/>
                      <w:color w:val="auto"/>
                      <w:highlight w:val="none"/>
                      <w:lang w:val="en-US" w:eastAsia="zh-CN"/>
                    </w:rPr>
                  </w:pPr>
                  <w:r>
                    <w:rPr>
                      <w:rFonts w:hint="default"/>
                      <w:color w:val="auto"/>
                      <w:highlight w:val="none"/>
                      <w:lang w:val="en-US" w:eastAsia="zh-CN"/>
                    </w:rPr>
                    <w:t>0.0008</w:t>
                  </w:r>
                </w:p>
              </w:tc>
              <w:tc>
                <w:tcPr>
                  <w:tcW w:w="580" w:type="pct"/>
                  <w:shd w:val="clear" w:color="auto" w:fill="auto"/>
                  <w:vAlign w:val="center"/>
                </w:tcPr>
                <w:p w14:paraId="2A64BE24">
                  <w:pPr>
                    <w:pStyle w:val="20"/>
                    <w:bidi w:val="0"/>
                    <w:rPr>
                      <w:rFonts w:hint="default"/>
                      <w:color w:val="auto"/>
                      <w:highlight w:val="none"/>
                      <w:lang w:val="en-US" w:eastAsia="zh-CN"/>
                    </w:rPr>
                  </w:pPr>
                  <w:r>
                    <w:rPr>
                      <w:rFonts w:hint="default"/>
                      <w:color w:val="auto"/>
                      <w:highlight w:val="none"/>
                      <w:lang w:val="en-US" w:eastAsia="zh-CN"/>
                    </w:rPr>
                    <w:t>0.0005</w:t>
                  </w:r>
                </w:p>
              </w:tc>
              <w:tc>
                <w:tcPr>
                  <w:tcW w:w="407" w:type="pct"/>
                  <w:vMerge w:val="continue"/>
                  <w:shd w:val="clear" w:color="auto" w:fill="auto"/>
                  <w:vAlign w:val="center"/>
                </w:tcPr>
                <w:p w14:paraId="5225B6D7">
                  <w:pPr>
                    <w:pStyle w:val="20"/>
                    <w:bidi w:val="0"/>
                    <w:rPr>
                      <w:rFonts w:hint="default"/>
                      <w:color w:val="auto"/>
                      <w:highlight w:val="none"/>
                      <w:lang w:val="en-US" w:eastAsia="zh-CN"/>
                    </w:rPr>
                  </w:pPr>
                </w:p>
              </w:tc>
              <w:tc>
                <w:tcPr>
                  <w:tcW w:w="661" w:type="pct"/>
                  <w:shd w:val="clear" w:color="auto" w:fill="auto"/>
                  <w:vAlign w:val="center"/>
                </w:tcPr>
                <w:p w14:paraId="1060E059">
                  <w:pPr>
                    <w:pStyle w:val="20"/>
                    <w:bidi w:val="0"/>
                    <w:rPr>
                      <w:rFonts w:hint="default"/>
                      <w:color w:val="auto"/>
                      <w:highlight w:val="none"/>
                      <w:lang w:val="en-US" w:eastAsia="zh-CN"/>
                    </w:rPr>
                  </w:pPr>
                  <w:r>
                    <w:rPr>
                      <w:rFonts w:hint="default"/>
                      <w:color w:val="auto"/>
                      <w:highlight w:val="none"/>
                      <w:lang w:val="en-US" w:eastAsia="zh-CN"/>
                    </w:rPr>
                    <w:t>0.0002</w:t>
                  </w:r>
                </w:p>
              </w:tc>
              <w:tc>
                <w:tcPr>
                  <w:tcW w:w="796" w:type="pct"/>
                  <w:shd w:val="clear" w:color="auto" w:fill="auto"/>
                  <w:vAlign w:val="center"/>
                </w:tcPr>
                <w:p w14:paraId="5FE93055">
                  <w:pPr>
                    <w:pStyle w:val="20"/>
                    <w:bidi w:val="0"/>
                    <w:rPr>
                      <w:rFonts w:hint="default"/>
                      <w:color w:val="auto"/>
                      <w:highlight w:val="none"/>
                      <w:lang w:val="en-US" w:eastAsia="zh-CN"/>
                    </w:rPr>
                  </w:pPr>
                  <w:r>
                    <w:rPr>
                      <w:rFonts w:hint="eastAsia"/>
                      <w:color w:val="auto"/>
                      <w:highlight w:val="none"/>
                      <w:lang w:val="en-US" w:eastAsia="zh-CN"/>
                    </w:rPr>
                    <w:t>0.0006</w:t>
                  </w:r>
                </w:p>
              </w:tc>
            </w:tr>
            <w:tr w14:paraId="48414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397" w:hRule="atLeast"/>
              </w:trPr>
              <w:tc>
                <w:tcPr>
                  <w:tcW w:w="561" w:type="pct"/>
                  <w:shd w:val="clear" w:color="auto" w:fill="auto"/>
                  <w:vAlign w:val="center"/>
                </w:tcPr>
                <w:p w14:paraId="510B3967">
                  <w:pPr>
                    <w:pStyle w:val="20"/>
                    <w:bidi w:val="0"/>
                    <w:rPr>
                      <w:rFonts w:hint="eastAsia" w:ascii="Times New Roman" w:hAnsi="Times New Roman" w:eastAsia="宋体" w:cstheme="minorBidi"/>
                      <w:color w:val="auto"/>
                      <w:kern w:val="2"/>
                      <w:sz w:val="24"/>
                      <w:szCs w:val="24"/>
                      <w:highlight w:val="none"/>
                      <w:lang w:val="en-US" w:eastAsia="zh-CN" w:bidi="ar-SA"/>
                    </w:rPr>
                  </w:pPr>
                  <w:r>
                    <w:rPr>
                      <w:rFonts w:hint="eastAsia"/>
                      <w:color w:val="auto"/>
                      <w:highlight w:val="none"/>
                      <w:lang w:val="en-US" w:eastAsia="zh-CN"/>
                    </w:rPr>
                    <w:t>TN</w:t>
                  </w:r>
                </w:p>
              </w:tc>
              <w:tc>
                <w:tcPr>
                  <w:tcW w:w="503" w:type="pct"/>
                  <w:shd w:val="clear" w:color="auto" w:fill="auto"/>
                  <w:vAlign w:val="center"/>
                </w:tcPr>
                <w:p w14:paraId="00A22D55">
                  <w:pPr>
                    <w:pStyle w:val="20"/>
                    <w:bidi w:val="0"/>
                    <w:rPr>
                      <w:rFonts w:hint="default"/>
                      <w:color w:val="auto"/>
                      <w:highlight w:val="none"/>
                      <w:lang w:val="en-US" w:eastAsia="zh-CN"/>
                    </w:rPr>
                  </w:pPr>
                  <w:r>
                    <w:rPr>
                      <w:rFonts w:hint="eastAsia"/>
                      <w:color w:val="auto"/>
                      <w:highlight w:val="none"/>
                      <w:lang w:val="en-US" w:eastAsia="zh-CN"/>
                    </w:rPr>
                    <w:t>/</w:t>
                  </w:r>
                </w:p>
              </w:tc>
              <w:tc>
                <w:tcPr>
                  <w:tcW w:w="504" w:type="pct"/>
                  <w:shd w:val="clear" w:color="auto" w:fill="auto"/>
                  <w:vAlign w:val="center"/>
                </w:tcPr>
                <w:p w14:paraId="25B504E8">
                  <w:pPr>
                    <w:pStyle w:val="20"/>
                    <w:bidi w:val="0"/>
                    <w:rPr>
                      <w:rFonts w:hint="default"/>
                      <w:color w:val="auto"/>
                      <w:highlight w:val="none"/>
                      <w:lang w:val="en-US" w:eastAsia="zh-CN"/>
                    </w:rPr>
                  </w:pPr>
                  <w:r>
                    <w:rPr>
                      <w:rFonts w:hint="eastAsia"/>
                      <w:color w:val="auto"/>
                      <w:highlight w:val="none"/>
                      <w:lang w:val="en-US" w:eastAsia="zh-CN"/>
                    </w:rPr>
                    <w:t>15</w:t>
                  </w:r>
                </w:p>
              </w:tc>
              <w:tc>
                <w:tcPr>
                  <w:tcW w:w="407" w:type="pct"/>
                  <w:vMerge w:val="continue"/>
                  <w:shd w:val="clear" w:color="auto" w:fill="auto"/>
                  <w:vAlign w:val="center"/>
                </w:tcPr>
                <w:p w14:paraId="4B012745">
                  <w:pPr>
                    <w:pStyle w:val="20"/>
                    <w:bidi w:val="0"/>
                    <w:rPr>
                      <w:rFonts w:hint="default"/>
                      <w:color w:val="auto"/>
                      <w:highlight w:val="none"/>
                      <w:lang w:val="en-US" w:eastAsia="zh-CN"/>
                    </w:rPr>
                  </w:pPr>
                </w:p>
              </w:tc>
              <w:tc>
                <w:tcPr>
                  <w:tcW w:w="575" w:type="pct"/>
                  <w:shd w:val="clear" w:color="auto" w:fill="auto"/>
                  <w:vAlign w:val="center"/>
                </w:tcPr>
                <w:p w14:paraId="3E7B6550">
                  <w:pPr>
                    <w:pStyle w:val="20"/>
                    <w:bidi w:val="0"/>
                    <w:rPr>
                      <w:rFonts w:hint="default"/>
                      <w:color w:val="auto"/>
                      <w:highlight w:val="none"/>
                      <w:lang w:val="en-US" w:eastAsia="zh-CN"/>
                    </w:rPr>
                  </w:pPr>
                  <w:r>
                    <w:rPr>
                      <w:rFonts w:hint="default"/>
                      <w:color w:val="auto"/>
                      <w:highlight w:val="none"/>
                      <w:lang w:val="en-US" w:eastAsia="zh-CN"/>
                    </w:rPr>
                    <w:t>/</w:t>
                  </w:r>
                </w:p>
              </w:tc>
              <w:tc>
                <w:tcPr>
                  <w:tcW w:w="580" w:type="pct"/>
                  <w:shd w:val="clear" w:color="auto" w:fill="auto"/>
                  <w:vAlign w:val="center"/>
                </w:tcPr>
                <w:p w14:paraId="2E4DC150">
                  <w:pPr>
                    <w:pStyle w:val="20"/>
                    <w:bidi w:val="0"/>
                    <w:rPr>
                      <w:rFonts w:hint="default"/>
                      <w:color w:val="auto"/>
                      <w:highlight w:val="none"/>
                      <w:lang w:val="en-US" w:eastAsia="zh-CN"/>
                    </w:rPr>
                  </w:pPr>
                  <w:r>
                    <w:rPr>
                      <w:rFonts w:hint="default"/>
                      <w:color w:val="auto"/>
                      <w:highlight w:val="none"/>
                      <w:lang w:val="en-US" w:eastAsia="zh-CN"/>
                    </w:rPr>
                    <w:t>0.0228</w:t>
                  </w:r>
                </w:p>
              </w:tc>
              <w:tc>
                <w:tcPr>
                  <w:tcW w:w="407" w:type="pct"/>
                  <w:vMerge w:val="continue"/>
                  <w:shd w:val="clear" w:color="auto" w:fill="auto"/>
                  <w:vAlign w:val="center"/>
                </w:tcPr>
                <w:p w14:paraId="3D7CBE27">
                  <w:pPr>
                    <w:pStyle w:val="20"/>
                    <w:bidi w:val="0"/>
                    <w:rPr>
                      <w:rFonts w:hint="default"/>
                      <w:color w:val="auto"/>
                      <w:highlight w:val="none"/>
                      <w:lang w:val="en-US" w:eastAsia="zh-CN"/>
                    </w:rPr>
                  </w:pPr>
                </w:p>
              </w:tc>
              <w:tc>
                <w:tcPr>
                  <w:tcW w:w="661" w:type="pct"/>
                  <w:shd w:val="clear" w:color="auto" w:fill="auto"/>
                  <w:vAlign w:val="center"/>
                </w:tcPr>
                <w:p w14:paraId="695AB5F4">
                  <w:pPr>
                    <w:pStyle w:val="20"/>
                    <w:bidi w:val="0"/>
                    <w:rPr>
                      <w:rFonts w:hint="default"/>
                      <w:color w:val="auto"/>
                      <w:highlight w:val="none"/>
                      <w:lang w:val="en-US" w:eastAsia="zh-CN"/>
                    </w:rPr>
                  </w:pPr>
                  <w:r>
                    <w:rPr>
                      <w:rFonts w:hint="eastAsia"/>
                      <w:color w:val="auto"/>
                      <w:highlight w:val="none"/>
                      <w:lang w:val="en-US" w:eastAsia="zh-CN"/>
                    </w:rPr>
                    <w:t>/</w:t>
                  </w:r>
                </w:p>
              </w:tc>
              <w:tc>
                <w:tcPr>
                  <w:tcW w:w="796" w:type="pct"/>
                  <w:shd w:val="clear" w:color="auto" w:fill="auto"/>
                  <w:vAlign w:val="center"/>
                </w:tcPr>
                <w:p w14:paraId="410F860C">
                  <w:pPr>
                    <w:pStyle w:val="20"/>
                    <w:bidi w:val="0"/>
                    <w:rPr>
                      <w:rFonts w:hint="default"/>
                      <w:color w:val="auto"/>
                      <w:highlight w:val="none"/>
                      <w:lang w:val="en-US" w:eastAsia="zh-CN"/>
                    </w:rPr>
                  </w:pPr>
                  <w:r>
                    <w:rPr>
                      <w:rFonts w:hint="eastAsia"/>
                      <w:color w:val="auto"/>
                      <w:highlight w:val="none"/>
                      <w:lang w:val="en-US" w:eastAsia="zh-CN"/>
                    </w:rPr>
                    <w:t>/</w:t>
                  </w:r>
                </w:p>
              </w:tc>
            </w:tr>
            <w:tr w14:paraId="53EFD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397" w:hRule="atLeast"/>
              </w:trPr>
              <w:tc>
                <w:tcPr>
                  <w:tcW w:w="5000" w:type="pct"/>
                  <w:gridSpan w:val="9"/>
                  <w:shd w:val="clear" w:color="auto" w:fill="auto"/>
                  <w:vAlign w:val="center"/>
                </w:tcPr>
                <w:p w14:paraId="5E58CD5B">
                  <w:pPr>
                    <w:pStyle w:val="20"/>
                    <w:bidi w:val="0"/>
                    <w:jc w:val="left"/>
                    <w:rPr>
                      <w:rFonts w:hint="eastAsia" w:eastAsia="宋体"/>
                      <w:color w:val="auto"/>
                      <w:highlight w:val="none"/>
                      <w:lang w:val="en-US" w:eastAsia="zh-CN"/>
                    </w:rPr>
                  </w:pPr>
                  <w:r>
                    <w:rPr>
                      <w:rFonts w:hint="eastAsia"/>
                      <w:color w:val="auto"/>
                      <w:highlight w:val="none"/>
                    </w:rPr>
                    <w:t>西彭工业园区污水处理厂提标改造完成后，出水执行《城镇污水处理厂污染物排放标准》（GB18918-2002）一级A标准，其中COD、NH</w:t>
                  </w:r>
                  <w:r>
                    <w:rPr>
                      <w:rFonts w:hint="eastAsia"/>
                      <w:color w:val="auto"/>
                      <w:highlight w:val="none"/>
                      <w:vertAlign w:val="subscript"/>
                    </w:rPr>
                    <w:t>3</w:t>
                  </w:r>
                  <w:r>
                    <w:rPr>
                      <w:rFonts w:hint="eastAsia"/>
                      <w:color w:val="auto"/>
                      <w:highlight w:val="none"/>
                    </w:rPr>
                    <w:t>-N、TP达《地表水环境质量标准》（GB3838-2002）</w:t>
                  </w:r>
                  <w:r>
                    <w:rPr>
                      <w:rFonts w:hint="eastAsia"/>
                      <w:color w:val="auto"/>
                      <w:highlight w:val="none"/>
                      <w:lang w:eastAsia="zh-CN"/>
                    </w:rPr>
                    <w:t>Ⅳ类</w:t>
                  </w:r>
                  <w:r>
                    <w:rPr>
                      <w:rFonts w:hint="eastAsia"/>
                      <w:color w:val="auto"/>
                      <w:highlight w:val="none"/>
                    </w:rPr>
                    <w:t>标准</w:t>
                  </w:r>
                  <w:r>
                    <w:rPr>
                      <w:rFonts w:hint="eastAsia"/>
                      <w:color w:val="auto"/>
                      <w:highlight w:val="none"/>
                      <w:lang w:eastAsia="zh-CN"/>
                    </w:rPr>
                    <w:t>，</w:t>
                  </w:r>
                  <w:r>
                    <w:rPr>
                      <w:rFonts w:hint="eastAsia"/>
                      <w:color w:val="auto"/>
                      <w:highlight w:val="none"/>
                      <w:lang w:val="en-US" w:eastAsia="zh-CN"/>
                    </w:rPr>
                    <w:t>现行为</w:t>
                  </w:r>
                  <w:r>
                    <w:rPr>
                      <w:rFonts w:hint="eastAsia"/>
                      <w:color w:val="auto"/>
                      <w:highlight w:val="none"/>
                    </w:rPr>
                    <w:t>《污水综合排放标准》（GB8978-1996）一级标准</w:t>
                  </w:r>
                  <w:r>
                    <w:rPr>
                      <w:rFonts w:hint="eastAsia"/>
                      <w:color w:val="auto"/>
                      <w:highlight w:val="none"/>
                      <w:lang w:eastAsia="zh-CN"/>
                    </w:rPr>
                    <w:t>。</w:t>
                  </w:r>
                </w:p>
              </w:tc>
            </w:tr>
          </w:tbl>
          <w:p w14:paraId="0B9FC793">
            <w:pPr>
              <w:pStyle w:val="19"/>
              <w:spacing w:before="156"/>
              <w:rPr>
                <w:rFonts w:hint="eastAsia"/>
                <w:color w:val="auto"/>
                <w:highlight w:val="none"/>
              </w:rPr>
            </w:pPr>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13</w:t>
            </w:r>
            <w:r>
              <w:rPr>
                <w:color w:val="auto"/>
                <w:highlight w:val="none"/>
              </w:rPr>
              <w:fldChar w:fldCharType="end"/>
            </w:r>
            <w:bookmarkEnd w:id="42"/>
            <w:r>
              <w:rPr>
                <w:rFonts w:hint="eastAsia"/>
                <w:color w:val="auto"/>
                <w:highlight w:val="none"/>
              </w:rPr>
              <w:t xml:space="preserve">  废水间接排放口基本情况表</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27"/>
              <w:gridCol w:w="636"/>
              <w:gridCol w:w="751"/>
              <w:gridCol w:w="1242"/>
              <w:gridCol w:w="1325"/>
              <w:gridCol w:w="1266"/>
              <w:gridCol w:w="998"/>
              <w:gridCol w:w="1166"/>
              <w:gridCol w:w="730"/>
              <w:gridCol w:w="966"/>
              <w:gridCol w:w="748"/>
              <w:gridCol w:w="1381"/>
              <w:gridCol w:w="1298"/>
              <w:gridCol w:w="1387"/>
            </w:tblGrid>
            <w:tr w14:paraId="791EE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81" w:type="pct"/>
                  <w:vMerge w:val="restart"/>
                  <w:tcMar>
                    <w:top w:w="0" w:type="dxa"/>
                    <w:left w:w="57" w:type="dxa"/>
                    <w:bottom w:w="0" w:type="dxa"/>
                    <w:right w:w="57" w:type="dxa"/>
                  </w:tcMar>
                  <w:vAlign w:val="center"/>
                </w:tcPr>
                <w:p w14:paraId="46F296C8">
                  <w:pPr>
                    <w:pStyle w:val="20"/>
                    <w:spacing w:before="31"/>
                    <w:rPr>
                      <w:b/>
                      <w:bCs/>
                      <w:color w:val="auto"/>
                      <w:highlight w:val="none"/>
                    </w:rPr>
                  </w:pPr>
                  <w:r>
                    <w:rPr>
                      <w:rFonts w:hint="eastAsia"/>
                      <w:b/>
                      <w:bCs/>
                      <w:color w:val="auto"/>
                      <w:highlight w:val="none"/>
                    </w:rPr>
                    <w:t>排放口编号</w:t>
                  </w:r>
                </w:p>
              </w:tc>
              <w:tc>
                <w:tcPr>
                  <w:tcW w:w="216" w:type="pct"/>
                  <w:vMerge w:val="restart"/>
                  <w:tcMar>
                    <w:top w:w="0" w:type="dxa"/>
                    <w:left w:w="57" w:type="dxa"/>
                    <w:bottom w:w="0" w:type="dxa"/>
                    <w:right w:w="57" w:type="dxa"/>
                  </w:tcMar>
                  <w:vAlign w:val="center"/>
                </w:tcPr>
                <w:p w14:paraId="502D51BF">
                  <w:pPr>
                    <w:pStyle w:val="20"/>
                    <w:spacing w:before="31"/>
                    <w:rPr>
                      <w:b/>
                      <w:bCs/>
                      <w:color w:val="auto"/>
                      <w:highlight w:val="none"/>
                    </w:rPr>
                  </w:pPr>
                  <w:r>
                    <w:rPr>
                      <w:rFonts w:hint="eastAsia"/>
                      <w:b/>
                      <w:bCs/>
                      <w:color w:val="auto"/>
                      <w:highlight w:val="none"/>
                    </w:rPr>
                    <w:t>名称</w:t>
                  </w:r>
                </w:p>
              </w:tc>
              <w:tc>
                <w:tcPr>
                  <w:tcW w:w="255" w:type="pct"/>
                  <w:vMerge w:val="restart"/>
                  <w:tcMar>
                    <w:top w:w="0" w:type="dxa"/>
                    <w:left w:w="57" w:type="dxa"/>
                    <w:bottom w:w="0" w:type="dxa"/>
                    <w:right w:w="57" w:type="dxa"/>
                  </w:tcMar>
                  <w:vAlign w:val="center"/>
                </w:tcPr>
                <w:p w14:paraId="09B523C2">
                  <w:pPr>
                    <w:pStyle w:val="20"/>
                    <w:spacing w:before="31"/>
                    <w:rPr>
                      <w:b/>
                      <w:bCs/>
                      <w:color w:val="auto"/>
                      <w:highlight w:val="none"/>
                    </w:rPr>
                  </w:pPr>
                  <w:r>
                    <w:rPr>
                      <w:rFonts w:hint="eastAsia"/>
                      <w:b/>
                      <w:bCs/>
                      <w:color w:val="auto"/>
                      <w:highlight w:val="none"/>
                    </w:rPr>
                    <w:t>排放口类型</w:t>
                  </w:r>
                </w:p>
              </w:tc>
              <w:tc>
                <w:tcPr>
                  <w:tcW w:w="422" w:type="pct"/>
                  <w:vMerge w:val="restart"/>
                  <w:tcMar>
                    <w:top w:w="0" w:type="dxa"/>
                    <w:left w:w="57" w:type="dxa"/>
                    <w:bottom w:w="0" w:type="dxa"/>
                    <w:right w:w="57" w:type="dxa"/>
                  </w:tcMar>
                  <w:vAlign w:val="center"/>
                </w:tcPr>
                <w:p w14:paraId="500C7959">
                  <w:pPr>
                    <w:pStyle w:val="20"/>
                    <w:spacing w:before="31"/>
                    <w:rPr>
                      <w:b/>
                      <w:bCs/>
                      <w:color w:val="auto"/>
                      <w:highlight w:val="none"/>
                    </w:rPr>
                  </w:pPr>
                  <w:r>
                    <w:rPr>
                      <w:rFonts w:hint="eastAsia"/>
                      <w:b/>
                      <w:bCs/>
                      <w:color w:val="auto"/>
                      <w:highlight w:val="none"/>
                    </w:rPr>
                    <w:t>污染物种类</w:t>
                  </w:r>
                </w:p>
              </w:tc>
              <w:tc>
                <w:tcPr>
                  <w:tcW w:w="880" w:type="pct"/>
                  <w:gridSpan w:val="2"/>
                  <w:tcMar>
                    <w:top w:w="0" w:type="dxa"/>
                    <w:left w:w="57" w:type="dxa"/>
                    <w:bottom w:w="0" w:type="dxa"/>
                    <w:right w:w="57" w:type="dxa"/>
                  </w:tcMar>
                  <w:vAlign w:val="center"/>
                </w:tcPr>
                <w:p w14:paraId="548C4DFB">
                  <w:pPr>
                    <w:pStyle w:val="20"/>
                    <w:spacing w:before="31"/>
                    <w:rPr>
                      <w:b/>
                      <w:bCs/>
                      <w:color w:val="auto"/>
                      <w:highlight w:val="none"/>
                    </w:rPr>
                  </w:pPr>
                  <w:r>
                    <w:rPr>
                      <w:rFonts w:hint="eastAsia"/>
                      <w:b/>
                      <w:bCs/>
                      <w:color w:val="auto"/>
                      <w:highlight w:val="none"/>
                    </w:rPr>
                    <w:t>排放口地理坐标</w:t>
                  </w:r>
                </w:p>
              </w:tc>
              <w:tc>
                <w:tcPr>
                  <w:tcW w:w="339" w:type="pct"/>
                  <w:vMerge w:val="restart"/>
                  <w:tcMar>
                    <w:top w:w="0" w:type="dxa"/>
                    <w:left w:w="57" w:type="dxa"/>
                    <w:bottom w:w="0" w:type="dxa"/>
                    <w:right w:w="57" w:type="dxa"/>
                  </w:tcMar>
                  <w:vAlign w:val="center"/>
                </w:tcPr>
                <w:p w14:paraId="36255642">
                  <w:pPr>
                    <w:pStyle w:val="20"/>
                    <w:spacing w:before="31"/>
                    <w:rPr>
                      <w:b/>
                      <w:bCs/>
                      <w:color w:val="auto"/>
                      <w:highlight w:val="none"/>
                    </w:rPr>
                  </w:pPr>
                  <w:r>
                    <w:rPr>
                      <w:rFonts w:hint="eastAsia"/>
                      <w:b/>
                      <w:bCs/>
                      <w:color w:val="auto"/>
                      <w:highlight w:val="none"/>
                    </w:rPr>
                    <w:t>本项目废水排放量</w:t>
                  </w:r>
                </w:p>
              </w:tc>
              <w:tc>
                <w:tcPr>
                  <w:tcW w:w="396" w:type="pct"/>
                  <w:vMerge w:val="restart"/>
                  <w:tcMar>
                    <w:top w:w="0" w:type="dxa"/>
                    <w:left w:w="57" w:type="dxa"/>
                    <w:bottom w:w="0" w:type="dxa"/>
                    <w:right w:w="57" w:type="dxa"/>
                  </w:tcMar>
                  <w:vAlign w:val="center"/>
                </w:tcPr>
                <w:p w14:paraId="38294D21">
                  <w:pPr>
                    <w:pStyle w:val="20"/>
                    <w:spacing w:before="31"/>
                    <w:rPr>
                      <w:b/>
                      <w:bCs/>
                      <w:color w:val="auto"/>
                      <w:highlight w:val="none"/>
                    </w:rPr>
                  </w:pPr>
                  <w:r>
                    <w:rPr>
                      <w:rFonts w:hint="eastAsia"/>
                      <w:b/>
                      <w:bCs/>
                      <w:color w:val="auto"/>
                      <w:highlight w:val="none"/>
                    </w:rPr>
                    <w:t>排放标准（mg/</w:t>
                  </w:r>
                  <w:r>
                    <w:rPr>
                      <w:b/>
                      <w:bCs/>
                      <w:color w:val="auto"/>
                      <w:highlight w:val="none"/>
                    </w:rPr>
                    <w:t>L</w:t>
                  </w:r>
                  <w:r>
                    <w:rPr>
                      <w:rFonts w:hint="eastAsia"/>
                      <w:b/>
                      <w:bCs/>
                      <w:color w:val="auto"/>
                      <w:highlight w:val="none"/>
                    </w:rPr>
                    <w:t>）</w:t>
                  </w:r>
                </w:p>
              </w:tc>
              <w:tc>
                <w:tcPr>
                  <w:tcW w:w="248" w:type="pct"/>
                  <w:vMerge w:val="restart"/>
                  <w:tcMar>
                    <w:top w:w="0" w:type="dxa"/>
                    <w:left w:w="57" w:type="dxa"/>
                    <w:bottom w:w="0" w:type="dxa"/>
                    <w:right w:w="57" w:type="dxa"/>
                  </w:tcMar>
                  <w:vAlign w:val="center"/>
                </w:tcPr>
                <w:p w14:paraId="3F51E57C">
                  <w:pPr>
                    <w:pStyle w:val="20"/>
                    <w:spacing w:before="31"/>
                    <w:rPr>
                      <w:b/>
                      <w:bCs/>
                      <w:color w:val="auto"/>
                      <w:highlight w:val="none"/>
                    </w:rPr>
                  </w:pPr>
                  <w:r>
                    <w:rPr>
                      <w:rFonts w:hint="eastAsia"/>
                      <w:b/>
                      <w:bCs/>
                      <w:color w:val="auto"/>
                      <w:highlight w:val="none"/>
                    </w:rPr>
                    <w:t>排放去向</w:t>
                  </w:r>
                </w:p>
              </w:tc>
              <w:tc>
                <w:tcPr>
                  <w:tcW w:w="328" w:type="pct"/>
                  <w:vMerge w:val="restart"/>
                  <w:tcMar>
                    <w:top w:w="0" w:type="dxa"/>
                    <w:left w:w="57" w:type="dxa"/>
                    <w:bottom w:w="0" w:type="dxa"/>
                    <w:right w:w="57" w:type="dxa"/>
                  </w:tcMar>
                  <w:vAlign w:val="center"/>
                </w:tcPr>
                <w:p w14:paraId="779BB5F4">
                  <w:pPr>
                    <w:pStyle w:val="20"/>
                    <w:spacing w:before="31"/>
                    <w:rPr>
                      <w:b/>
                      <w:bCs/>
                      <w:color w:val="auto"/>
                      <w:highlight w:val="none"/>
                    </w:rPr>
                  </w:pPr>
                  <w:r>
                    <w:rPr>
                      <w:rFonts w:hint="eastAsia"/>
                      <w:b/>
                      <w:bCs/>
                      <w:color w:val="auto"/>
                      <w:highlight w:val="none"/>
                    </w:rPr>
                    <w:t>排放规律</w:t>
                  </w:r>
                </w:p>
              </w:tc>
              <w:tc>
                <w:tcPr>
                  <w:tcW w:w="1628" w:type="pct"/>
                  <w:gridSpan w:val="4"/>
                  <w:tcMar>
                    <w:top w:w="0" w:type="dxa"/>
                    <w:left w:w="57" w:type="dxa"/>
                    <w:bottom w:w="0" w:type="dxa"/>
                    <w:right w:w="57" w:type="dxa"/>
                  </w:tcMar>
                  <w:vAlign w:val="center"/>
                </w:tcPr>
                <w:p w14:paraId="5CFED25C">
                  <w:pPr>
                    <w:pStyle w:val="20"/>
                    <w:spacing w:before="31"/>
                    <w:rPr>
                      <w:rFonts w:hint="eastAsia"/>
                      <w:b/>
                      <w:bCs/>
                      <w:color w:val="auto"/>
                      <w:highlight w:val="none"/>
                    </w:rPr>
                  </w:pPr>
                  <w:r>
                    <w:rPr>
                      <w:rFonts w:hint="eastAsia"/>
                      <w:b/>
                      <w:bCs/>
                      <w:color w:val="auto"/>
                      <w:highlight w:val="none"/>
                    </w:rPr>
                    <w:t>受纳污水处理厂排放信息</w:t>
                  </w:r>
                </w:p>
              </w:tc>
            </w:tr>
            <w:tr w14:paraId="68242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81" w:type="pct"/>
                  <w:vMerge w:val="continue"/>
                  <w:tcMar>
                    <w:top w:w="0" w:type="dxa"/>
                    <w:left w:w="57" w:type="dxa"/>
                    <w:bottom w:w="0" w:type="dxa"/>
                    <w:right w:w="57" w:type="dxa"/>
                  </w:tcMar>
                  <w:vAlign w:val="center"/>
                </w:tcPr>
                <w:p w14:paraId="406A1B2E">
                  <w:pPr>
                    <w:pStyle w:val="20"/>
                    <w:spacing w:before="31"/>
                    <w:rPr>
                      <w:b/>
                      <w:bCs/>
                      <w:color w:val="auto"/>
                      <w:highlight w:val="none"/>
                    </w:rPr>
                  </w:pPr>
                </w:p>
              </w:tc>
              <w:tc>
                <w:tcPr>
                  <w:tcW w:w="216" w:type="pct"/>
                  <w:vMerge w:val="continue"/>
                  <w:tcMar>
                    <w:top w:w="0" w:type="dxa"/>
                    <w:left w:w="57" w:type="dxa"/>
                    <w:bottom w:w="0" w:type="dxa"/>
                    <w:right w:w="57" w:type="dxa"/>
                  </w:tcMar>
                  <w:vAlign w:val="center"/>
                </w:tcPr>
                <w:p w14:paraId="68876E75">
                  <w:pPr>
                    <w:pStyle w:val="20"/>
                    <w:spacing w:before="31"/>
                    <w:rPr>
                      <w:b/>
                      <w:bCs/>
                      <w:color w:val="auto"/>
                      <w:highlight w:val="none"/>
                    </w:rPr>
                  </w:pPr>
                </w:p>
              </w:tc>
              <w:tc>
                <w:tcPr>
                  <w:tcW w:w="255" w:type="pct"/>
                  <w:vMerge w:val="continue"/>
                  <w:tcMar>
                    <w:top w:w="0" w:type="dxa"/>
                    <w:left w:w="57" w:type="dxa"/>
                    <w:bottom w:w="0" w:type="dxa"/>
                    <w:right w:w="57" w:type="dxa"/>
                  </w:tcMar>
                  <w:vAlign w:val="center"/>
                </w:tcPr>
                <w:p w14:paraId="47644968">
                  <w:pPr>
                    <w:pStyle w:val="20"/>
                    <w:spacing w:before="31"/>
                    <w:rPr>
                      <w:b/>
                      <w:bCs/>
                      <w:color w:val="auto"/>
                      <w:highlight w:val="none"/>
                    </w:rPr>
                  </w:pPr>
                </w:p>
              </w:tc>
              <w:tc>
                <w:tcPr>
                  <w:tcW w:w="422" w:type="pct"/>
                  <w:vMerge w:val="continue"/>
                  <w:tcMar>
                    <w:top w:w="0" w:type="dxa"/>
                    <w:left w:w="57" w:type="dxa"/>
                    <w:bottom w:w="0" w:type="dxa"/>
                    <w:right w:w="57" w:type="dxa"/>
                  </w:tcMar>
                  <w:vAlign w:val="center"/>
                </w:tcPr>
                <w:p w14:paraId="474BA8A6">
                  <w:pPr>
                    <w:pStyle w:val="20"/>
                    <w:spacing w:before="31"/>
                    <w:rPr>
                      <w:b/>
                      <w:bCs/>
                      <w:color w:val="auto"/>
                      <w:highlight w:val="none"/>
                    </w:rPr>
                  </w:pPr>
                </w:p>
              </w:tc>
              <w:tc>
                <w:tcPr>
                  <w:tcW w:w="450" w:type="pct"/>
                  <w:tcMar>
                    <w:top w:w="0" w:type="dxa"/>
                    <w:left w:w="57" w:type="dxa"/>
                    <w:bottom w:w="0" w:type="dxa"/>
                    <w:right w:w="57" w:type="dxa"/>
                  </w:tcMar>
                  <w:vAlign w:val="center"/>
                </w:tcPr>
                <w:p w14:paraId="06809C83">
                  <w:pPr>
                    <w:pStyle w:val="20"/>
                    <w:spacing w:before="31"/>
                    <w:rPr>
                      <w:b/>
                      <w:bCs/>
                      <w:color w:val="auto"/>
                      <w:highlight w:val="none"/>
                    </w:rPr>
                  </w:pPr>
                  <w:r>
                    <w:rPr>
                      <w:rFonts w:hint="eastAsia"/>
                      <w:b/>
                      <w:bCs/>
                      <w:color w:val="auto"/>
                      <w:highlight w:val="none"/>
                    </w:rPr>
                    <w:t>经度（E）</w:t>
                  </w:r>
                </w:p>
              </w:tc>
              <w:tc>
                <w:tcPr>
                  <w:tcW w:w="430" w:type="pct"/>
                  <w:tcMar>
                    <w:top w:w="0" w:type="dxa"/>
                    <w:left w:w="57" w:type="dxa"/>
                    <w:bottom w:w="0" w:type="dxa"/>
                    <w:right w:w="57" w:type="dxa"/>
                  </w:tcMar>
                  <w:vAlign w:val="center"/>
                </w:tcPr>
                <w:p w14:paraId="73468B85">
                  <w:pPr>
                    <w:pStyle w:val="20"/>
                    <w:spacing w:before="31"/>
                    <w:rPr>
                      <w:b/>
                      <w:bCs/>
                      <w:color w:val="auto"/>
                      <w:highlight w:val="none"/>
                    </w:rPr>
                  </w:pPr>
                  <w:r>
                    <w:rPr>
                      <w:rFonts w:hint="eastAsia"/>
                      <w:b/>
                      <w:bCs/>
                      <w:color w:val="auto"/>
                      <w:highlight w:val="none"/>
                    </w:rPr>
                    <w:t>纬度（N）</w:t>
                  </w:r>
                </w:p>
              </w:tc>
              <w:tc>
                <w:tcPr>
                  <w:tcW w:w="339" w:type="pct"/>
                  <w:vMerge w:val="continue"/>
                  <w:tcMar>
                    <w:top w:w="0" w:type="dxa"/>
                    <w:left w:w="57" w:type="dxa"/>
                    <w:bottom w:w="0" w:type="dxa"/>
                    <w:right w:w="57" w:type="dxa"/>
                  </w:tcMar>
                  <w:vAlign w:val="center"/>
                </w:tcPr>
                <w:p w14:paraId="5FBFE738">
                  <w:pPr>
                    <w:pStyle w:val="20"/>
                    <w:spacing w:before="31"/>
                    <w:rPr>
                      <w:b/>
                      <w:bCs/>
                      <w:color w:val="auto"/>
                      <w:highlight w:val="none"/>
                    </w:rPr>
                  </w:pPr>
                </w:p>
              </w:tc>
              <w:tc>
                <w:tcPr>
                  <w:tcW w:w="396" w:type="pct"/>
                  <w:vMerge w:val="continue"/>
                  <w:tcMar>
                    <w:top w:w="0" w:type="dxa"/>
                    <w:left w:w="57" w:type="dxa"/>
                    <w:bottom w:w="0" w:type="dxa"/>
                    <w:right w:w="57" w:type="dxa"/>
                  </w:tcMar>
                  <w:vAlign w:val="center"/>
                </w:tcPr>
                <w:p w14:paraId="7A0B3AF9">
                  <w:pPr>
                    <w:pStyle w:val="20"/>
                    <w:spacing w:before="31"/>
                    <w:rPr>
                      <w:b/>
                      <w:bCs/>
                      <w:color w:val="auto"/>
                      <w:highlight w:val="none"/>
                    </w:rPr>
                  </w:pPr>
                </w:p>
              </w:tc>
              <w:tc>
                <w:tcPr>
                  <w:tcW w:w="248" w:type="pct"/>
                  <w:vMerge w:val="continue"/>
                  <w:tcMar>
                    <w:top w:w="0" w:type="dxa"/>
                    <w:left w:w="57" w:type="dxa"/>
                    <w:bottom w:w="0" w:type="dxa"/>
                    <w:right w:w="57" w:type="dxa"/>
                  </w:tcMar>
                  <w:vAlign w:val="center"/>
                </w:tcPr>
                <w:p w14:paraId="42F9FD6F">
                  <w:pPr>
                    <w:pStyle w:val="20"/>
                    <w:spacing w:before="31"/>
                    <w:rPr>
                      <w:b/>
                      <w:bCs/>
                      <w:color w:val="auto"/>
                      <w:highlight w:val="none"/>
                    </w:rPr>
                  </w:pPr>
                </w:p>
              </w:tc>
              <w:tc>
                <w:tcPr>
                  <w:tcW w:w="328" w:type="pct"/>
                  <w:vMerge w:val="continue"/>
                  <w:tcMar>
                    <w:top w:w="0" w:type="dxa"/>
                    <w:left w:w="57" w:type="dxa"/>
                    <w:bottom w:w="0" w:type="dxa"/>
                    <w:right w:w="57" w:type="dxa"/>
                  </w:tcMar>
                  <w:vAlign w:val="center"/>
                </w:tcPr>
                <w:p w14:paraId="2BC8444E">
                  <w:pPr>
                    <w:pStyle w:val="20"/>
                    <w:spacing w:before="31"/>
                    <w:rPr>
                      <w:b/>
                      <w:bCs/>
                      <w:color w:val="auto"/>
                      <w:highlight w:val="none"/>
                    </w:rPr>
                  </w:pPr>
                </w:p>
              </w:tc>
              <w:tc>
                <w:tcPr>
                  <w:tcW w:w="254" w:type="pct"/>
                  <w:tcMar>
                    <w:top w:w="0" w:type="dxa"/>
                    <w:left w:w="57" w:type="dxa"/>
                    <w:bottom w:w="0" w:type="dxa"/>
                    <w:right w:w="57" w:type="dxa"/>
                  </w:tcMar>
                  <w:vAlign w:val="center"/>
                </w:tcPr>
                <w:p w14:paraId="6FD64536">
                  <w:pPr>
                    <w:pStyle w:val="20"/>
                    <w:spacing w:before="31"/>
                    <w:rPr>
                      <w:b/>
                      <w:bCs/>
                      <w:color w:val="auto"/>
                      <w:highlight w:val="none"/>
                    </w:rPr>
                  </w:pPr>
                  <w:r>
                    <w:rPr>
                      <w:rFonts w:hint="eastAsia"/>
                      <w:b/>
                      <w:bCs/>
                      <w:color w:val="auto"/>
                      <w:highlight w:val="none"/>
                    </w:rPr>
                    <w:t>名称</w:t>
                  </w:r>
                </w:p>
              </w:tc>
              <w:tc>
                <w:tcPr>
                  <w:tcW w:w="469" w:type="pct"/>
                  <w:tcMar>
                    <w:top w:w="0" w:type="dxa"/>
                    <w:left w:w="57" w:type="dxa"/>
                    <w:bottom w:w="0" w:type="dxa"/>
                    <w:right w:w="57" w:type="dxa"/>
                  </w:tcMar>
                  <w:vAlign w:val="center"/>
                </w:tcPr>
                <w:p w14:paraId="52CC798B">
                  <w:pPr>
                    <w:pStyle w:val="20"/>
                    <w:spacing w:before="31"/>
                    <w:rPr>
                      <w:b/>
                      <w:bCs/>
                      <w:color w:val="auto"/>
                      <w:highlight w:val="none"/>
                    </w:rPr>
                  </w:pPr>
                  <w:r>
                    <w:rPr>
                      <w:rFonts w:hint="eastAsia"/>
                      <w:b/>
                      <w:bCs/>
                      <w:color w:val="auto"/>
                      <w:highlight w:val="none"/>
                    </w:rPr>
                    <w:t>污染物种类</w:t>
                  </w:r>
                </w:p>
              </w:tc>
              <w:tc>
                <w:tcPr>
                  <w:tcW w:w="441" w:type="pct"/>
                  <w:tcMar>
                    <w:top w:w="0" w:type="dxa"/>
                    <w:left w:w="57" w:type="dxa"/>
                    <w:bottom w:w="0" w:type="dxa"/>
                    <w:right w:w="57" w:type="dxa"/>
                  </w:tcMar>
                  <w:vAlign w:val="center"/>
                </w:tcPr>
                <w:p w14:paraId="2ED3078E">
                  <w:pPr>
                    <w:pStyle w:val="20"/>
                    <w:spacing w:before="31"/>
                    <w:rPr>
                      <w:b/>
                      <w:bCs/>
                      <w:color w:val="auto"/>
                      <w:highlight w:val="none"/>
                    </w:rPr>
                  </w:pPr>
                  <w:r>
                    <w:rPr>
                      <w:rFonts w:hint="eastAsia"/>
                      <w:b/>
                      <w:bCs/>
                      <w:color w:val="auto"/>
                      <w:highlight w:val="none"/>
                      <w:lang w:val="en-US" w:eastAsia="zh-CN"/>
                    </w:rPr>
                    <w:t>现行</w:t>
                  </w:r>
                  <w:r>
                    <w:rPr>
                      <w:rFonts w:hint="eastAsia"/>
                      <w:b/>
                      <w:bCs/>
                      <w:color w:val="auto"/>
                      <w:highlight w:val="none"/>
                    </w:rPr>
                    <w:t>排放标准（mg/</w:t>
                  </w:r>
                  <w:r>
                    <w:rPr>
                      <w:b/>
                      <w:bCs/>
                      <w:color w:val="auto"/>
                      <w:highlight w:val="none"/>
                    </w:rPr>
                    <w:t>L</w:t>
                  </w:r>
                  <w:r>
                    <w:rPr>
                      <w:rFonts w:hint="eastAsia"/>
                      <w:b/>
                      <w:bCs/>
                      <w:color w:val="auto"/>
                      <w:highlight w:val="none"/>
                    </w:rPr>
                    <w:t>）</w:t>
                  </w:r>
                </w:p>
              </w:tc>
              <w:tc>
                <w:tcPr>
                  <w:tcW w:w="462" w:type="pct"/>
                  <w:tcMar>
                    <w:top w:w="0" w:type="dxa"/>
                    <w:left w:w="57" w:type="dxa"/>
                    <w:bottom w:w="0" w:type="dxa"/>
                    <w:right w:w="57" w:type="dxa"/>
                  </w:tcMar>
                  <w:vAlign w:val="center"/>
                </w:tcPr>
                <w:p w14:paraId="155BFF00">
                  <w:pPr>
                    <w:pStyle w:val="20"/>
                    <w:spacing w:before="31"/>
                    <w:rPr>
                      <w:rFonts w:hint="default" w:eastAsia="宋体"/>
                      <w:b/>
                      <w:bCs/>
                      <w:color w:val="auto"/>
                      <w:highlight w:val="none"/>
                      <w:lang w:val="en-US" w:eastAsia="zh-CN"/>
                    </w:rPr>
                  </w:pPr>
                  <w:r>
                    <w:rPr>
                      <w:rFonts w:hint="eastAsia"/>
                      <w:b/>
                      <w:bCs/>
                      <w:color w:val="auto"/>
                      <w:highlight w:val="none"/>
                      <w:lang w:val="en-US" w:eastAsia="zh-CN"/>
                    </w:rPr>
                    <w:t>远期排放标准</w:t>
                  </w:r>
                  <w:r>
                    <w:rPr>
                      <w:rFonts w:hint="eastAsia"/>
                      <w:b/>
                      <w:bCs/>
                      <w:color w:val="auto"/>
                      <w:highlight w:val="none"/>
                    </w:rPr>
                    <w:t>（mg/</w:t>
                  </w:r>
                  <w:r>
                    <w:rPr>
                      <w:b/>
                      <w:bCs/>
                      <w:color w:val="auto"/>
                      <w:highlight w:val="none"/>
                    </w:rPr>
                    <w:t>L</w:t>
                  </w:r>
                  <w:r>
                    <w:rPr>
                      <w:rFonts w:hint="eastAsia"/>
                      <w:b/>
                      <w:bCs/>
                      <w:color w:val="auto"/>
                      <w:highlight w:val="none"/>
                    </w:rPr>
                    <w:t>）</w:t>
                  </w:r>
                </w:p>
              </w:tc>
            </w:tr>
            <w:tr w14:paraId="4A858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81" w:type="pct"/>
                  <w:vMerge w:val="restart"/>
                  <w:tcMar>
                    <w:top w:w="0" w:type="dxa"/>
                    <w:left w:w="57" w:type="dxa"/>
                    <w:bottom w:w="0" w:type="dxa"/>
                    <w:right w:w="57" w:type="dxa"/>
                  </w:tcMar>
                  <w:vAlign w:val="center"/>
                </w:tcPr>
                <w:p w14:paraId="5BCDBF8B">
                  <w:pPr>
                    <w:pStyle w:val="20"/>
                    <w:spacing w:before="31"/>
                    <w:rPr>
                      <w:color w:val="auto"/>
                      <w:highlight w:val="none"/>
                    </w:rPr>
                  </w:pPr>
                  <w:r>
                    <w:rPr>
                      <w:rFonts w:hint="eastAsia"/>
                      <w:color w:val="auto"/>
                      <w:highlight w:val="none"/>
                    </w:rPr>
                    <w:t>DW001</w:t>
                  </w:r>
                </w:p>
              </w:tc>
              <w:tc>
                <w:tcPr>
                  <w:tcW w:w="216" w:type="pct"/>
                  <w:vMerge w:val="restart"/>
                  <w:tcMar>
                    <w:top w:w="0" w:type="dxa"/>
                    <w:left w:w="57" w:type="dxa"/>
                    <w:bottom w:w="0" w:type="dxa"/>
                    <w:right w:w="57" w:type="dxa"/>
                  </w:tcMar>
                  <w:vAlign w:val="center"/>
                </w:tcPr>
                <w:p w14:paraId="681942E4">
                  <w:pPr>
                    <w:pStyle w:val="20"/>
                    <w:spacing w:before="31"/>
                    <w:rPr>
                      <w:color w:val="auto"/>
                      <w:highlight w:val="none"/>
                    </w:rPr>
                  </w:pPr>
                  <w:r>
                    <w:rPr>
                      <w:rFonts w:hint="eastAsia"/>
                      <w:color w:val="auto"/>
                      <w:highlight w:val="none"/>
                    </w:rPr>
                    <w:t>厂区</w:t>
                  </w:r>
                  <w:r>
                    <w:rPr>
                      <w:rFonts w:hint="eastAsia"/>
                      <w:color w:val="auto"/>
                      <w:highlight w:val="none"/>
                      <w:lang w:val="en-US" w:eastAsia="zh-CN"/>
                    </w:rPr>
                    <w:t>废水</w:t>
                  </w:r>
                  <w:r>
                    <w:rPr>
                      <w:rFonts w:hint="eastAsia"/>
                      <w:color w:val="auto"/>
                      <w:highlight w:val="none"/>
                    </w:rPr>
                    <w:t>排放口</w:t>
                  </w:r>
                </w:p>
              </w:tc>
              <w:tc>
                <w:tcPr>
                  <w:tcW w:w="255" w:type="pct"/>
                  <w:vMerge w:val="restart"/>
                  <w:tcMar>
                    <w:top w:w="0" w:type="dxa"/>
                    <w:left w:w="57" w:type="dxa"/>
                    <w:bottom w:w="0" w:type="dxa"/>
                    <w:right w:w="57" w:type="dxa"/>
                  </w:tcMar>
                  <w:vAlign w:val="center"/>
                </w:tcPr>
                <w:p w14:paraId="2DCBA73C">
                  <w:pPr>
                    <w:pStyle w:val="20"/>
                    <w:spacing w:before="31"/>
                    <w:rPr>
                      <w:color w:val="auto"/>
                      <w:highlight w:val="none"/>
                    </w:rPr>
                  </w:pPr>
                  <w:r>
                    <w:rPr>
                      <w:rFonts w:hint="eastAsia"/>
                      <w:color w:val="auto"/>
                      <w:highlight w:val="none"/>
                    </w:rPr>
                    <w:t>一般排放口</w:t>
                  </w:r>
                </w:p>
              </w:tc>
              <w:tc>
                <w:tcPr>
                  <w:tcW w:w="422" w:type="pct"/>
                  <w:shd w:val="clear" w:color="auto" w:fill="auto"/>
                  <w:tcMar>
                    <w:top w:w="0" w:type="dxa"/>
                    <w:left w:w="57" w:type="dxa"/>
                    <w:bottom w:w="0" w:type="dxa"/>
                    <w:right w:w="57" w:type="dxa"/>
                  </w:tcMar>
                  <w:vAlign w:val="center"/>
                </w:tcPr>
                <w:p w14:paraId="255EE7E0">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pH</w:t>
                  </w:r>
                  <w:r>
                    <w:rPr>
                      <w:rFonts w:hint="eastAsia"/>
                      <w:color w:val="auto"/>
                      <w:highlight w:val="none"/>
                      <w:lang w:eastAsia="zh-CN"/>
                    </w:rPr>
                    <w:t>（</w:t>
                  </w:r>
                  <w:r>
                    <w:rPr>
                      <w:rFonts w:hint="eastAsia"/>
                      <w:color w:val="auto"/>
                      <w:highlight w:val="none"/>
                      <w:lang w:val="en-US" w:eastAsia="zh-CN"/>
                    </w:rPr>
                    <w:t>无量纲）</w:t>
                  </w:r>
                </w:p>
              </w:tc>
              <w:tc>
                <w:tcPr>
                  <w:tcW w:w="450" w:type="pct"/>
                  <w:vMerge w:val="restart"/>
                  <w:tcMar>
                    <w:top w:w="0" w:type="dxa"/>
                    <w:left w:w="57" w:type="dxa"/>
                    <w:bottom w:w="0" w:type="dxa"/>
                    <w:right w:w="57" w:type="dxa"/>
                  </w:tcMar>
                  <w:vAlign w:val="center"/>
                </w:tcPr>
                <w:p w14:paraId="31E6BCEB">
                  <w:pPr>
                    <w:pStyle w:val="20"/>
                    <w:spacing w:before="31"/>
                    <w:rPr>
                      <w:rFonts w:hint="default" w:eastAsia="宋体"/>
                      <w:color w:val="auto"/>
                      <w:highlight w:val="none"/>
                      <w:lang w:val="en-US" w:eastAsia="zh-CN"/>
                    </w:rPr>
                  </w:pPr>
                  <w:r>
                    <w:rPr>
                      <w:rFonts w:hint="eastAsia"/>
                      <w:color w:val="auto"/>
                      <w:highlight w:val="none"/>
                    </w:rPr>
                    <w:t>106.</w:t>
                  </w:r>
                  <w:r>
                    <w:rPr>
                      <w:rFonts w:hint="eastAsia"/>
                      <w:color w:val="auto"/>
                      <w:highlight w:val="none"/>
                      <w:lang w:val="en-US" w:eastAsia="zh-CN"/>
                    </w:rPr>
                    <w:t>316201</w:t>
                  </w:r>
                </w:p>
              </w:tc>
              <w:tc>
                <w:tcPr>
                  <w:tcW w:w="430" w:type="pct"/>
                  <w:vMerge w:val="restart"/>
                  <w:tcMar>
                    <w:top w:w="0" w:type="dxa"/>
                    <w:left w:w="57" w:type="dxa"/>
                    <w:bottom w:w="0" w:type="dxa"/>
                    <w:right w:w="57" w:type="dxa"/>
                  </w:tcMar>
                  <w:vAlign w:val="center"/>
                </w:tcPr>
                <w:p w14:paraId="0218C954">
                  <w:pPr>
                    <w:pStyle w:val="20"/>
                    <w:spacing w:before="31"/>
                    <w:rPr>
                      <w:rFonts w:hint="default" w:eastAsia="宋体"/>
                      <w:color w:val="auto"/>
                      <w:highlight w:val="none"/>
                      <w:lang w:val="en-US" w:eastAsia="zh-CN"/>
                    </w:rPr>
                  </w:pPr>
                  <w:r>
                    <w:rPr>
                      <w:rFonts w:hint="eastAsia"/>
                      <w:color w:val="auto"/>
                      <w:highlight w:val="none"/>
                    </w:rPr>
                    <w:t>29.</w:t>
                  </w:r>
                  <w:r>
                    <w:rPr>
                      <w:rFonts w:hint="eastAsia"/>
                      <w:color w:val="auto"/>
                      <w:highlight w:val="none"/>
                      <w:lang w:val="en-US" w:eastAsia="zh-CN"/>
                    </w:rPr>
                    <w:t>291878</w:t>
                  </w:r>
                </w:p>
              </w:tc>
              <w:tc>
                <w:tcPr>
                  <w:tcW w:w="339" w:type="pct"/>
                  <w:vMerge w:val="restart"/>
                  <w:tcMar>
                    <w:top w:w="0" w:type="dxa"/>
                    <w:left w:w="57" w:type="dxa"/>
                    <w:bottom w:w="0" w:type="dxa"/>
                    <w:right w:w="57" w:type="dxa"/>
                  </w:tcMar>
                  <w:vAlign w:val="center"/>
                </w:tcPr>
                <w:p w14:paraId="186BDF99">
                  <w:pPr>
                    <w:pStyle w:val="20"/>
                    <w:spacing w:before="31"/>
                    <w:rPr>
                      <w:color w:val="auto"/>
                      <w:highlight w:val="none"/>
                    </w:rPr>
                  </w:pPr>
                  <w:r>
                    <w:rPr>
                      <w:rFonts w:hint="eastAsia"/>
                      <w:color w:val="auto"/>
                      <w:highlight w:val="none"/>
                      <w:lang w:val="en-US" w:eastAsia="zh-CN"/>
                    </w:rPr>
                    <w:t>1519.264</w:t>
                  </w:r>
                  <w:r>
                    <w:rPr>
                      <w:rFonts w:hint="eastAsia"/>
                      <w:color w:val="auto"/>
                      <w:highlight w:val="none"/>
                    </w:rPr>
                    <w:t>（m</w:t>
                  </w:r>
                  <w:r>
                    <w:rPr>
                      <w:rFonts w:hint="eastAsia"/>
                      <w:color w:val="auto"/>
                      <w:highlight w:val="none"/>
                      <w:vertAlign w:val="superscript"/>
                    </w:rPr>
                    <w:t>3</w:t>
                  </w:r>
                  <w:r>
                    <w:rPr>
                      <w:rFonts w:hint="eastAsia"/>
                      <w:color w:val="auto"/>
                      <w:highlight w:val="none"/>
                    </w:rPr>
                    <w:t>/a）</w:t>
                  </w:r>
                </w:p>
              </w:tc>
              <w:tc>
                <w:tcPr>
                  <w:tcW w:w="396" w:type="pct"/>
                  <w:tcMar>
                    <w:top w:w="0" w:type="dxa"/>
                    <w:left w:w="57" w:type="dxa"/>
                    <w:bottom w:w="0" w:type="dxa"/>
                    <w:right w:w="57" w:type="dxa"/>
                  </w:tcMar>
                  <w:vAlign w:val="center"/>
                </w:tcPr>
                <w:p w14:paraId="492C778E">
                  <w:pPr>
                    <w:pStyle w:val="20"/>
                    <w:bidi w:val="0"/>
                    <w:rPr>
                      <w:color w:val="auto"/>
                      <w:highlight w:val="none"/>
                    </w:rPr>
                  </w:pPr>
                  <w:r>
                    <w:rPr>
                      <w:rFonts w:hint="eastAsia"/>
                      <w:color w:val="auto"/>
                      <w:highlight w:val="none"/>
                    </w:rPr>
                    <w:t>6~9</w:t>
                  </w:r>
                </w:p>
              </w:tc>
              <w:tc>
                <w:tcPr>
                  <w:tcW w:w="248" w:type="pct"/>
                  <w:vMerge w:val="restart"/>
                  <w:tcMar>
                    <w:top w:w="0" w:type="dxa"/>
                    <w:left w:w="57" w:type="dxa"/>
                    <w:bottom w:w="0" w:type="dxa"/>
                    <w:right w:w="57" w:type="dxa"/>
                  </w:tcMar>
                  <w:vAlign w:val="center"/>
                </w:tcPr>
                <w:p w14:paraId="379FB413">
                  <w:pPr>
                    <w:pStyle w:val="20"/>
                    <w:spacing w:before="31"/>
                    <w:rPr>
                      <w:color w:val="auto"/>
                      <w:highlight w:val="none"/>
                    </w:rPr>
                  </w:pPr>
                  <w:r>
                    <w:rPr>
                      <w:rFonts w:hint="eastAsia"/>
                      <w:color w:val="auto"/>
                      <w:highlight w:val="none"/>
                    </w:rPr>
                    <w:t>西彭工业园区污水处理厂</w:t>
                  </w:r>
                </w:p>
              </w:tc>
              <w:tc>
                <w:tcPr>
                  <w:tcW w:w="328" w:type="pct"/>
                  <w:vMerge w:val="restart"/>
                  <w:tcMar>
                    <w:top w:w="0" w:type="dxa"/>
                    <w:left w:w="57" w:type="dxa"/>
                    <w:bottom w:w="0" w:type="dxa"/>
                    <w:right w:w="57" w:type="dxa"/>
                  </w:tcMar>
                  <w:vAlign w:val="center"/>
                </w:tcPr>
                <w:p w14:paraId="6D2250BD">
                  <w:pPr>
                    <w:pStyle w:val="20"/>
                    <w:spacing w:before="31"/>
                    <w:rPr>
                      <w:color w:val="auto"/>
                      <w:highlight w:val="none"/>
                    </w:rPr>
                  </w:pPr>
                  <w:r>
                    <w:rPr>
                      <w:rFonts w:hint="eastAsia"/>
                      <w:color w:val="auto"/>
                      <w:highlight w:val="none"/>
                    </w:rPr>
                    <w:t>间断排放，排放期间流量不稳定且无规律，但不属于冲击型排放。</w:t>
                  </w:r>
                </w:p>
              </w:tc>
              <w:tc>
                <w:tcPr>
                  <w:tcW w:w="254" w:type="pct"/>
                  <w:vMerge w:val="restart"/>
                  <w:tcMar>
                    <w:top w:w="0" w:type="dxa"/>
                    <w:left w:w="57" w:type="dxa"/>
                    <w:bottom w:w="0" w:type="dxa"/>
                    <w:right w:w="57" w:type="dxa"/>
                  </w:tcMar>
                  <w:vAlign w:val="center"/>
                </w:tcPr>
                <w:p w14:paraId="17850F3B">
                  <w:pPr>
                    <w:pStyle w:val="20"/>
                    <w:spacing w:before="31"/>
                    <w:rPr>
                      <w:color w:val="auto"/>
                      <w:highlight w:val="none"/>
                    </w:rPr>
                  </w:pPr>
                  <w:r>
                    <w:rPr>
                      <w:rFonts w:hint="eastAsia"/>
                      <w:color w:val="auto"/>
                      <w:highlight w:val="none"/>
                    </w:rPr>
                    <w:t>西彭工业园区污水处理厂</w:t>
                  </w:r>
                </w:p>
              </w:tc>
              <w:tc>
                <w:tcPr>
                  <w:tcW w:w="469" w:type="pct"/>
                  <w:shd w:val="clear" w:color="auto" w:fill="auto"/>
                  <w:tcMar>
                    <w:top w:w="0" w:type="dxa"/>
                    <w:left w:w="57" w:type="dxa"/>
                    <w:bottom w:w="0" w:type="dxa"/>
                    <w:right w:w="57" w:type="dxa"/>
                  </w:tcMar>
                  <w:vAlign w:val="center"/>
                </w:tcPr>
                <w:p w14:paraId="01990B34">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pH</w:t>
                  </w:r>
                  <w:r>
                    <w:rPr>
                      <w:rFonts w:hint="eastAsia"/>
                      <w:color w:val="auto"/>
                      <w:highlight w:val="none"/>
                      <w:lang w:eastAsia="zh-CN"/>
                    </w:rPr>
                    <w:t>（</w:t>
                  </w:r>
                  <w:r>
                    <w:rPr>
                      <w:rFonts w:hint="eastAsia"/>
                      <w:color w:val="auto"/>
                      <w:highlight w:val="none"/>
                      <w:lang w:val="en-US" w:eastAsia="zh-CN"/>
                    </w:rPr>
                    <w:t>无量纲）</w:t>
                  </w:r>
                </w:p>
              </w:tc>
              <w:tc>
                <w:tcPr>
                  <w:tcW w:w="441" w:type="pct"/>
                  <w:shd w:val="clear" w:color="auto" w:fill="auto"/>
                  <w:tcMar>
                    <w:top w:w="0" w:type="dxa"/>
                    <w:left w:w="57" w:type="dxa"/>
                    <w:bottom w:w="0" w:type="dxa"/>
                    <w:right w:w="57" w:type="dxa"/>
                  </w:tcMar>
                  <w:vAlign w:val="center"/>
                </w:tcPr>
                <w:p w14:paraId="7274235E">
                  <w:pPr>
                    <w:pStyle w:val="20"/>
                    <w:bidi w:val="0"/>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6~9</w:t>
                  </w:r>
                </w:p>
              </w:tc>
              <w:tc>
                <w:tcPr>
                  <w:tcW w:w="462" w:type="pct"/>
                  <w:shd w:val="clear" w:color="auto" w:fill="auto"/>
                  <w:tcMar>
                    <w:top w:w="0" w:type="dxa"/>
                    <w:left w:w="57" w:type="dxa"/>
                    <w:bottom w:w="0" w:type="dxa"/>
                    <w:right w:w="57" w:type="dxa"/>
                  </w:tcMar>
                  <w:vAlign w:val="center"/>
                </w:tcPr>
                <w:p w14:paraId="75EF9C70">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6~9</w:t>
                  </w:r>
                </w:p>
              </w:tc>
            </w:tr>
            <w:tr w14:paraId="0045E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81" w:type="pct"/>
                  <w:vMerge w:val="continue"/>
                  <w:tcMar>
                    <w:top w:w="0" w:type="dxa"/>
                    <w:left w:w="57" w:type="dxa"/>
                    <w:bottom w:w="0" w:type="dxa"/>
                    <w:right w:w="57" w:type="dxa"/>
                  </w:tcMar>
                  <w:vAlign w:val="center"/>
                </w:tcPr>
                <w:p w14:paraId="0AD81B60">
                  <w:pPr>
                    <w:pStyle w:val="20"/>
                    <w:spacing w:before="31"/>
                    <w:rPr>
                      <w:color w:val="auto"/>
                      <w:highlight w:val="none"/>
                    </w:rPr>
                  </w:pPr>
                </w:p>
              </w:tc>
              <w:tc>
                <w:tcPr>
                  <w:tcW w:w="216" w:type="pct"/>
                  <w:vMerge w:val="continue"/>
                  <w:tcMar>
                    <w:top w:w="0" w:type="dxa"/>
                    <w:left w:w="57" w:type="dxa"/>
                    <w:bottom w:w="0" w:type="dxa"/>
                    <w:right w:w="57" w:type="dxa"/>
                  </w:tcMar>
                  <w:vAlign w:val="center"/>
                </w:tcPr>
                <w:p w14:paraId="5DBB6690">
                  <w:pPr>
                    <w:pStyle w:val="20"/>
                    <w:spacing w:before="31"/>
                    <w:rPr>
                      <w:color w:val="auto"/>
                      <w:highlight w:val="none"/>
                    </w:rPr>
                  </w:pPr>
                </w:p>
              </w:tc>
              <w:tc>
                <w:tcPr>
                  <w:tcW w:w="255" w:type="pct"/>
                  <w:vMerge w:val="continue"/>
                  <w:tcMar>
                    <w:top w:w="0" w:type="dxa"/>
                    <w:left w:w="57" w:type="dxa"/>
                    <w:bottom w:w="0" w:type="dxa"/>
                    <w:right w:w="57" w:type="dxa"/>
                  </w:tcMar>
                  <w:vAlign w:val="center"/>
                </w:tcPr>
                <w:p w14:paraId="3FB30ECC">
                  <w:pPr>
                    <w:pStyle w:val="20"/>
                    <w:spacing w:before="31"/>
                    <w:rPr>
                      <w:color w:val="auto"/>
                      <w:highlight w:val="none"/>
                    </w:rPr>
                  </w:pPr>
                </w:p>
              </w:tc>
              <w:tc>
                <w:tcPr>
                  <w:tcW w:w="422" w:type="pct"/>
                  <w:shd w:val="clear" w:color="auto" w:fill="auto"/>
                  <w:tcMar>
                    <w:top w:w="0" w:type="dxa"/>
                    <w:left w:w="57" w:type="dxa"/>
                    <w:bottom w:w="0" w:type="dxa"/>
                    <w:right w:w="57" w:type="dxa"/>
                  </w:tcMar>
                  <w:vAlign w:val="center"/>
                </w:tcPr>
                <w:p w14:paraId="2F93CD18">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COD</w:t>
                  </w:r>
                </w:p>
              </w:tc>
              <w:tc>
                <w:tcPr>
                  <w:tcW w:w="450" w:type="pct"/>
                  <w:vMerge w:val="continue"/>
                  <w:tcMar>
                    <w:top w:w="0" w:type="dxa"/>
                    <w:left w:w="57" w:type="dxa"/>
                    <w:bottom w:w="0" w:type="dxa"/>
                    <w:right w:w="57" w:type="dxa"/>
                  </w:tcMar>
                  <w:vAlign w:val="center"/>
                </w:tcPr>
                <w:p w14:paraId="2558D5A3">
                  <w:pPr>
                    <w:pStyle w:val="20"/>
                    <w:spacing w:before="31"/>
                    <w:rPr>
                      <w:color w:val="auto"/>
                      <w:highlight w:val="none"/>
                    </w:rPr>
                  </w:pPr>
                </w:p>
              </w:tc>
              <w:tc>
                <w:tcPr>
                  <w:tcW w:w="430" w:type="pct"/>
                  <w:vMerge w:val="continue"/>
                  <w:tcMar>
                    <w:top w:w="0" w:type="dxa"/>
                    <w:left w:w="57" w:type="dxa"/>
                    <w:bottom w:w="0" w:type="dxa"/>
                    <w:right w:w="57" w:type="dxa"/>
                  </w:tcMar>
                  <w:vAlign w:val="center"/>
                </w:tcPr>
                <w:p w14:paraId="14897028">
                  <w:pPr>
                    <w:pStyle w:val="20"/>
                    <w:spacing w:before="31"/>
                    <w:rPr>
                      <w:color w:val="auto"/>
                      <w:highlight w:val="none"/>
                    </w:rPr>
                  </w:pPr>
                </w:p>
              </w:tc>
              <w:tc>
                <w:tcPr>
                  <w:tcW w:w="339" w:type="pct"/>
                  <w:vMerge w:val="continue"/>
                  <w:tcMar>
                    <w:top w:w="0" w:type="dxa"/>
                    <w:left w:w="57" w:type="dxa"/>
                    <w:bottom w:w="0" w:type="dxa"/>
                    <w:right w:w="57" w:type="dxa"/>
                  </w:tcMar>
                  <w:vAlign w:val="center"/>
                </w:tcPr>
                <w:p w14:paraId="51CD2830">
                  <w:pPr>
                    <w:pStyle w:val="20"/>
                    <w:spacing w:before="31"/>
                    <w:rPr>
                      <w:color w:val="auto"/>
                      <w:highlight w:val="none"/>
                    </w:rPr>
                  </w:pPr>
                </w:p>
              </w:tc>
              <w:tc>
                <w:tcPr>
                  <w:tcW w:w="396" w:type="pct"/>
                  <w:tcMar>
                    <w:top w:w="0" w:type="dxa"/>
                    <w:left w:w="57" w:type="dxa"/>
                    <w:bottom w:w="0" w:type="dxa"/>
                    <w:right w:w="57" w:type="dxa"/>
                  </w:tcMar>
                  <w:vAlign w:val="center"/>
                </w:tcPr>
                <w:p w14:paraId="2AC15F9E">
                  <w:pPr>
                    <w:pStyle w:val="20"/>
                    <w:bidi w:val="0"/>
                    <w:rPr>
                      <w:color w:val="auto"/>
                      <w:highlight w:val="none"/>
                    </w:rPr>
                  </w:pPr>
                  <w:r>
                    <w:rPr>
                      <w:rFonts w:hint="default"/>
                      <w:color w:val="auto"/>
                      <w:highlight w:val="none"/>
                      <w:lang w:val="en-US" w:eastAsia="zh-CN"/>
                    </w:rPr>
                    <w:t>500</w:t>
                  </w:r>
                </w:p>
              </w:tc>
              <w:tc>
                <w:tcPr>
                  <w:tcW w:w="248" w:type="pct"/>
                  <w:vMerge w:val="continue"/>
                  <w:tcMar>
                    <w:top w:w="0" w:type="dxa"/>
                    <w:left w:w="57" w:type="dxa"/>
                    <w:bottom w:w="0" w:type="dxa"/>
                    <w:right w:w="57" w:type="dxa"/>
                  </w:tcMar>
                  <w:vAlign w:val="center"/>
                </w:tcPr>
                <w:p w14:paraId="3064B6BD">
                  <w:pPr>
                    <w:pStyle w:val="20"/>
                    <w:spacing w:before="31"/>
                    <w:rPr>
                      <w:color w:val="auto"/>
                      <w:highlight w:val="none"/>
                    </w:rPr>
                  </w:pPr>
                </w:p>
              </w:tc>
              <w:tc>
                <w:tcPr>
                  <w:tcW w:w="328" w:type="pct"/>
                  <w:vMerge w:val="continue"/>
                  <w:tcMar>
                    <w:top w:w="0" w:type="dxa"/>
                    <w:left w:w="57" w:type="dxa"/>
                    <w:bottom w:w="0" w:type="dxa"/>
                    <w:right w:w="57" w:type="dxa"/>
                  </w:tcMar>
                  <w:vAlign w:val="center"/>
                </w:tcPr>
                <w:p w14:paraId="58D9E0E3">
                  <w:pPr>
                    <w:pStyle w:val="20"/>
                    <w:spacing w:before="31"/>
                    <w:rPr>
                      <w:color w:val="auto"/>
                      <w:highlight w:val="none"/>
                    </w:rPr>
                  </w:pPr>
                </w:p>
              </w:tc>
              <w:tc>
                <w:tcPr>
                  <w:tcW w:w="254" w:type="pct"/>
                  <w:vMerge w:val="continue"/>
                  <w:tcMar>
                    <w:top w:w="0" w:type="dxa"/>
                    <w:left w:w="57" w:type="dxa"/>
                    <w:bottom w:w="0" w:type="dxa"/>
                    <w:right w:w="57" w:type="dxa"/>
                  </w:tcMar>
                  <w:vAlign w:val="center"/>
                </w:tcPr>
                <w:p w14:paraId="62BE4A0C">
                  <w:pPr>
                    <w:pStyle w:val="20"/>
                    <w:spacing w:before="31"/>
                    <w:rPr>
                      <w:color w:val="auto"/>
                      <w:highlight w:val="none"/>
                    </w:rPr>
                  </w:pPr>
                </w:p>
              </w:tc>
              <w:tc>
                <w:tcPr>
                  <w:tcW w:w="469" w:type="pct"/>
                  <w:shd w:val="clear" w:color="auto" w:fill="auto"/>
                  <w:tcMar>
                    <w:top w:w="0" w:type="dxa"/>
                    <w:left w:w="57" w:type="dxa"/>
                    <w:bottom w:w="0" w:type="dxa"/>
                    <w:right w:w="57" w:type="dxa"/>
                  </w:tcMar>
                  <w:vAlign w:val="center"/>
                </w:tcPr>
                <w:p w14:paraId="65BD4D3F">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COD</w:t>
                  </w:r>
                </w:p>
              </w:tc>
              <w:tc>
                <w:tcPr>
                  <w:tcW w:w="441" w:type="pct"/>
                  <w:shd w:val="clear" w:color="auto" w:fill="auto"/>
                  <w:tcMar>
                    <w:top w:w="0" w:type="dxa"/>
                    <w:left w:w="57" w:type="dxa"/>
                    <w:bottom w:w="0" w:type="dxa"/>
                    <w:right w:w="57" w:type="dxa"/>
                  </w:tcMar>
                  <w:vAlign w:val="center"/>
                </w:tcPr>
                <w:p w14:paraId="725E4A15">
                  <w:pPr>
                    <w:pStyle w:val="20"/>
                    <w:bidi w:val="0"/>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100</w:t>
                  </w:r>
                </w:p>
              </w:tc>
              <w:tc>
                <w:tcPr>
                  <w:tcW w:w="462" w:type="pct"/>
                  <w:shd w:val="clear" w:color="auto" w:fill="auto"/>
                  <w:tcMar>
                    <w:top w:w="0" w:type="dxa"/>
                    <w:left w:w="57" w:type="dxa"/>
                    <w:bottom w:w="0" w:type="dxa"/>
                    <w:right w:w="57" w:type="dxa"/>
                  </w:tcMar>
                  <w:vAlign w:val="center"/>
                </w:tcPr>
                <w:p w14:paraId="1863B28A">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30</w:t>
                  </w:r>
                </w:p>
              </w:tc>
            </w:tr>
            <w:tr w14:paraId="03A97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81" w:type="pct"/>
                  <w:vMerge w:val="continue"/>
                  <w:tcMar>
                    <w:top w:w="0" w:type="dxa"/>
                    <w:left w:w="57" w:type="dxa"/>
                    <w:bottom w:w="0" w:type="dxa"/>
                    <w:right w:w="57" w:type="dxa"/>
                  </w:tcMar>
                  <w:vAlign w:val="center"/>
                </w:tcPr>
                <w:p w14:paraId="55A37123">
                  <w:pPr>
                    <w:pStyle w:val="20"/>
                    <w:spacing w:before="31"/>
                    <w:rPr>
                      <w:color w:val="auto"/>
                      <w:highlight w:val="none"/>
                    </w:rPr>
                  </w:pPr>
                </w:p>
              </w:tc>
              <w:tc>
                <w:tcPr>
                  <w:tcW w:w="216" w:type="pct"/>
                  <w:vMerge w:val="continue"/>
                  <w:tcMar>
                    <w:top w:w="0" w:type="dxa"/>
                    <w:left w:w="57" w:type="dxa"/>
                    <w:bottom w:w="0" w:type="dxa"/>
                    <w:right w:w="57" w:type="dxa"/>
                  </w:tcMar>
                  <w:vAlign w:val="center"/>
                </w:tcPr>
                <w:p w14:paraId="2072E3B9">
                  <w:pPr>
                    <w:pStyle w:val="20"/>
                    <w:spacing w:before="31"/>
                    <w:rPr>
                      <w:color w:val="auto"/>
                      <w:highlight w:val="none"/>
                    </w:rPr>
                  </w:pPr>
                </w:p>
              </w:tc>
              <w:tc>
                <w:tcPr>
                  <w:tcW w:w="255" w:type="pct"/>
                  <w:vMerge w:val="continue"/>
                  <w:tcMar>
                    <w:top w:w="0" w:type="dxa"/>
                    <w:left w:w="57" w:type="dxa"/>
                    <w:bottom w:w="0" w:type="dxa"/>
                    <w:right w:w="57" w:type="dxa"/>
                  </w:tcMar>
                  <w:vAlign w:val="center"/>
                </w:tcPr>
                <w:p w14:paraId="4D81D184">
                  <w:pPr>
                    <w:pStyle w:val="20"/>
                    <w:spacing w:before="31"/>
                    <w:rPr>
                      <w:color w:val="auto"/>
                      <w:highlight w:val="none"/>
                    </w:rPr>
                  </w:pPr>
                </w:p>
              </w:tc>
              <w:tc>
                <w:tcPr>
                  <w:tcW w:w="422" w:type="pct"/>
                  <w:shd w:val="clear" w:color="auto" w:fill="auto"/>
                  <w:tcMar>
                    <w:top w:w="0" w:type="dxa"/>
                    <w:left w:w="57" w:type="dxa"/>
                    <w:bottom w:w="0" w:type="dxa"/>
                    <w:right w:w="57" w:type="dxa"/>
                  </w:tcMar>
                  <w:vAlign w:val="center"/>
                </w:tcPr>
                <w:p w14:paraId="65E9E426">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BOD5</w:t>
                  </w:r>
                </w:p>
              </w:tc>
              <w:tc>
                <w:tcPr>
                  <w:tcW w:w="450" w:type="pct"/>
                  <w:vMerge w:val="continue"/>
                  <w:tcMar>
                    <w:top w:w="0" w:type="dxa"/>
                    <w:left w:w="57" w:type="dxa"/>
                    <w:bottom w:w="0" w:type="dxa"/>
                    <w:right w:w="57" w:type="dxa"/>
                  </w:tcMar>
                  <w:vAlign w:val="center"/>
                </w:tcPr>
                <w:p w14:paraId="56E00D47">
                  <w:pPr>
                    <w:pStyle w:val="20"/>
                    <w:spacing w:before="31"/>
                    <w:rPr>
                      <w:color w:val="auto"/>
                      <w:highlight w:val="none"/>
                    </w:rPr>
                  </w:pPr>
                </w:p>
              </w:tc>
              <w:tc>
                <w:tcPr>
                  <w:tcW w:w="430" w:type="pct"/>
                  <w:vMerge w:val="continue"/>
                  <w:tcMar>
                    <w:top w:w="0" w:type="dxa"/>
                    <w:left w:w="57" w:type="dxa"/>
                    <w:bottom w:w="0" w:type="dxa"/>
                    <w:right w:w="57" w:type="dxa"/>
                  </w:tcMar>
                  <w:vAlign w:val="center"/>
                </w:tcPr>
                <w:p w14:paraId="601923E8">
                  <w:pPr>
                    <w:pStyle w:val="20"/>
                    <w:spacing w:before="31"/>
                    <w:rPr>
                      <w:color w:val="auto"/>
                      <w:highlight w:val="none"/>
                    </w:rPr>
                  </w:pPr>
                </w:p>
              </w:tc>
              <w:tc>
                <w:tcPr>
                  <w:tcW w:w="339" w:type="pct"/>
                  <w:vMerge w:val="continue"/>
                  <w:tcMar>
                    <w:top w:w="0" w:type="dxa"/>
                    <w:left w:w="57" w:type="dxa"/>
                    <w:bottom w:w="0" w:type="dxa"/>
                    <w:right w:w="57" w:type="dxa"/>
                  </w:tcMar>
                  <w:vAlign w:val="center"/>
                </w:tcPr>
                <w:p w14:paraId="12F085D5">
                  <w:pPr>
                    <w:pStyle w:val="20"/>
                    <w:spacing w:before="31"/>
                    <w:rPr>
                      <w:color w:val="auto"/>
                      <w:highlight w:val="none"/>
                    </w:rPr>
                  </w:pPr>
                </w:p>
              </w:tc>
              <w:tc>
                <w:tcPr>
                  <w:tcW w:w="396" w:type="pct"/>
                  <w:tcMar>
                    <w:top w:w="0" w:type="dxa"/>
                    <w:left w:w="57" w:type="dxa"/>
                    <w:bottom w:w="0" w:type="dxa"/>
                    <w:right w:w="57" w:type="dxa"/>
                  </w:tcMar>
                  <w:vAlign w:val="center"/>
                </w:tcPr>
                <w:p w14:paraId="316D1C0F">
                  <w:pPr>
                    <w:pStyle w:val="20"/>
                    <w:bidi w:val="0"/>
                    <w:rPr>
                      <w:color w:val="auto"/>
                      <w:highlight w:val="none"/>
                    </w:rPr>
                  </w:pPr>
                  <w:r>
                    <w:rPr>
                      <w:rFonts w:hint="default"/>
                      <w:color w:val="auto"/>
                      <w:highlight w:val="none"/>
                      <w:lang w:val="en-US" w:eastAsia="zh-CN"/>
                    </w:rPr>
                    <w:t>300</w:t>
                  </w:r>
                </w:p>
              </w:tc>
              <w:tc>
                <w:tcPr>
                  <w:tcW w:w="248" w:type="pct"/>
                  <w:vMerge w:val="continue"/>
                  <w:tcMar>
                    <w:top w:w="0" w:type="dxa"/>
                    <w:left w:w="57" w:type="dxa"/>
                    <w:bottom w:w="0" w:type="dxa"/>
                    <w:right w:w="57" w:type="dxa"/>
                  </w:tcMar>
                  <w:vAlign w:val="center"/>
                </w:tcPr>
                <w:p w14:paraId="3D429F78">
                  <w:pPr>
                    <w:pStyle w:val="20"/>
                    <w:spacing w:before="31"/>
                    <w:rPr>
                      <w:color w:val="auto"/>
                      <w:highlight w:val="none"/>
                    </w:rPr>
                  </w:pPr>
                </w:p>
              </w:tc>
              <w:tc>
                <w:tcPr>
                  <w:tcW w:w="328" w:type="pct"/>
                  <w:vMerge w:val="continue"/>
                  <w:tcMar>
                    <w:top w:w="0" w:type="dxa"/>
                    <w:left w:w="57" w:type="dxa"/>
                    <w:bottom w:w="0" w:type="dxa"/>
                    <w:right w:w="57" w:type="dxa"/>
                  </w:tcMar>
                  <w:vAlign w:val="center"/>
                </w:tcPr>
                <w:p w14:paraId="139BA347">
                  <w:pPr>
                    <w:pStyle w:val="20"/>
                    <w:spacing w:before="31"/>
                    <w:rPr>
                      <w:color w:val="auto"/>
                      <w:highlight w:val="none"/>
                    </w:rPr>
                  </w:pPr>
                </w:p>
              </w:tc>
              <w:tc>
                <w:tcPr>
                  <w:tcW w:w="254" w:type="pct"/>
                  <w:vMerge w:val="continue"/>
                  <w:tcMar>
                    <w:top w:w="0" w:type="dxa"/>
                    <w:left w:w="57" w:type="dxa"/>
                    <w:bottom w:w="0" w:type="dxa"/>
                    <w:right w:w="57" w:type="dxa"/>
                  </w:tcMar>
                  <w:vAlign w:val="center"/>
                </w:tcPr>
                <w:p w14:paraId="58DF3D72">
                  <w:pPr>
                    <w:pStyle w:val="20"/>
                    <w:spacing w:before="31"/>
                    <w:rPr>
                      <w:color w:val="auto"/>
                      <w:highlight w:val="none"/>
                    </w:rPr>
                  </w:pPr>
                </w:p>
              </w:tc>
              <w:tc>
                <w:tcPr>
                  <w:tcW w:w="469" w:type="pct"/>
                  <w:shd w:val="clear" w:color="auto" w:fill="auto"/>
                  <w:tcMar>
                    <w:top w:w="0" w:type="dxa"/>
                    <w:left w:w="57" w:type="dxa"/>
                    <w:bottom w:w="0" w:type="dxa"/>
                    <w:right w:w="57" w:type="dxa"/>
                  </w:tcMar>
                  <w:vAlign w:val="center"/>
                </w:tcPr>
                <w:p w14:paraId="3A4A3E96">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BOD5</w:t>
                  </w:r>
                </w:p>
              </w:tc>
              <w:tc>
                <w:tcPr>
                  <w:tcW w:w="441" w:type="pct"/>
                  <w:shd w:val="clear" w:color="auto" w:fill="auto"/>
                  <w:tcMar>
                    <w:top w:w="0" w:type="dxa"/>
                    <w:left w:w="57" w:type="dxa"/>
                    <w:bottom w:w="0" w:type="dxa"/>
                    <w:right w:w="57" w:type="dxa"/>
                  </w:tcMar>
                  <w:vAlign w:val="center"/>
                </w:tcPr>
                <w:p w14:paraId="69DCC2AD">
                  <w:pPr>
                    <w:pStyle w:val="20"/>
                    <w:bidi w:val="0"/>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20</w:t>
                  </w:r>
                </w:p>
              </w:tc>
              <w:tc>
                <w:tcPr>
                  <w:tcW w:w="462" w:type="pct"/>
                  <w:shd w:val="clear" w:color="auto" w:fill="auto"/>
                  <w:tcMar>
                    <w:top w:w="0" w:type="dxa"/>
                    <w:left w:w="57" w:type="dxa"/>
                    <w:bottom w:w="0" w:type="dxa"/>
                    <w:right w:w="57" w:type="dxa"/>
                  </w:tcMar>
                  <w:vAlign w:val="center"/>
                </w:tcPr>
                <w:p w14:paraId="26B2FAC2">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10</w:t>
                  </w:r>
                </w:p>
              </w:tc>
            </w:tr>
            <w:tr w14:paraId="0A4C8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81" w:type="pct"/>
                  <w:vMerge w:val="continue"/>
                  <w:tcMar>
                    <w:top w:w="0" w:type="dxa"/>
                    <w:left w:w="57" w:type="dxa"/>
                    <w:bottom w:w="0" w:type="dxa"/>
                    <w:right w:w="57" w:type="dxa"/>
                  </w:tcMar>
                  <w:vAlign w:val="center"/>
                </w:tcPr>
                <w:p w14:paraId="0569F88E">
                  <w:pPr>
                    <w:pStyle w:val="20"/>
                    <w:spacing w:before="31"/>
                    <w:rPr>
                      <w:color w:val="auto"/>
                      <w:highlight w:val="none"/>
                    </w:rPr>
                  </w:pPr>
                </w:p>
              </w:tc>
              <w:tc>
                <w:tcPr>
                  <w:tcW w:w="216" w:type="pct"/>
                  <w:vMerge w:val="continue"/>
                  <w:tcMar>
                    <w:top w:w="0" w:type="dxa"/>
                    <w:left w:w="57" w:type="dxa"/>
                    <w:bottom w:w="0" w:type="dxa"/>
                    <w:right w:w="57" w:type="dxa"/>
                  </w:tcMar>
                  <w:vAlign w:val="center"/>
                </w:tcPr>
                <w:p w14:paraId="68F05B97">
                  <w:pPr>
                    <w:pStyle w:val="20"/>
                    <w:spacing w:before="31"/>
                    <w:rPr>
                      <w:color w:val="auto"/>
                      <w:highlight w:val="none"/>
                    </w:rPr>
                  </w:pPr>
                </w:p>
              </w:tc>
              <w:tc>
                <w:tcPr>
                  <w:tcW w:w="255" w:type="pct"/>
                  <w:vMerge w:val="continue"/>
                  <w:tcMar>
                    <w:top w:w="0" w:type="dxa"/>
                    <w:left w:w="57" w:type="dxa"/>
                    <w:bottom w:w="0" w:type="dxa"/>
                    <w:right w:w="57" w:type="dxa"/>
                  </w:tcMar>
                  <w:vAlign w:val="center"/>
                </w:tcPr>
                <w:p w14:paraId="5CAD6EC5">
                  <w:pPr>
                    <w:pStyle w:val="20"/>
                    <w:spacing w:before="31"/>
                    <w:rPr>
                      <w:color w:val="auto"/>
                      <w:highlight w:val="none"/>
                    </w:rPr>
                  </w:pPr>
                </w:p>
              </w:tc>
              <w:tc>
                <w:tcPr>
                  <w:tcW w:w="422" w:type="pct"/>
                  <w:shd w:val="clear" w:color="auto" w:fill="auto"/>
                  <w:tcMar>
                    <w:top w:w="0" w:type="dxa"/>
                    <w:left w:w="57" w:type="dxa"/>
                    <w:bottom w:w="0" w:type="dxa"/>
                    <w:right w:w="57" w:type="dxa"/>
                  </w:tcMar>
                  <w:vAlign w:val="center"/>
                </w:tcPr>
                <w:p w14:paraId="6A1135CD">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SS</w:t>
                  </w:r>
                </w:p>
              </w:tc>
              <w:tc>
                <w:tcPr>
                  <w:tcW w:w="450" w:type="pct"/>
                  <w:vMerge w:val="continue"/>
                  <w:tcMar>
                    <w:top w:w="0" w:type="dxa"/>
                    <w:left w:w="57" w:type="dxa"/>
                    <w:bottom w:w="0" w:type="dxa"/>
                    <w:right w:w="57" w:type="dxa"/>
                  </w:tcMar>
                  <w:vAlign w:val="center"/>
                </w:tcPr>
                <w:p w14:paraId="1285635A">
                  <w:pPr>
                    <w:pStyle w:val="20"/>
                    <w:spacing w:before="31"/>
                    <w:rPr>
                      <w:color w:val="auto"/>
                      <w:highlight w:val="none"/>
                    </w:rPr>
                  </w:pPr>
                </w:p>
              </w:tc>
              <w:tc>
                <w:tcPr>
                  <w:tcW w:w="430" w:type="pct"/>
                  <w:vMerge w:val="continue"/>
                  <w:tcMar>
                    <w:top w:w="0" w:type="dxa"/>
                    <w:left w:w="57" w:type="dxa"/>
                    <w:bottom w:w="0" w:type="dxa"/>
                    <w:right w:w="57" w:type="dxa"/>
                  </w:tcMar>
                  <w:vAlign w:val="center"/>
                </w:tcPr>
                <w:p w14:paraId="0BDE3D48">
                  <w:pPr>
                    <w:pStyle w:val="20"/>
                    <w:spacing w:before="31"/>
                    <w:rPr>
                      <w:color w:val="auto"/>
                      <w:highlight w:val="none"/>
                    </w:rPr>
                  </w:pPr>
                </w:p>
              </w:tc>
              <w:tc>
                <w:tcPr>
                  <w:tcW w:w="339" w:type="pct"/>
                  <w:vMerge w:val="continue"/>
                  <w:tcMar>
                    <w:top w:w="0" w:type="dxa"/>
                    <w:left w:w="57" w:type="dxa"/>
                    <w:bottom w:w="0" w:type="dxa"/>
                    <w:right w:w="57" w:type="dxa"/>
                  </w:tcMar>
                  <w:vAlign w:val="center"/>
                </w:tcPr>
                <w:p w14:paraId="6C296271">
                  <w:pPr>
                    <w:pStyle w:val="20"/>
                    <w:spacing w:before="31"/>
                    <w:rPr>
                      <w:color w:val="auto"/>
                      <w:highlight w:val="none"/>
                    </w:rPr>
                  </w:pPr>
                </w:p>
              </w:tc>
              <w:tc>
                <w:tcPr>
                  <w:tcW w:w="396" w:type="pct"/>
                  <w:tcMar>
                    <w:top w:w="0" w:type="dxa"/>
                    <w:left w:w="57" w:type="dxa"/>
                    <w:bottom w:w="0" w:type="dxa"/>
                    <w:right w:w="57" w:type="dxa"/>
                  </w:tcMar>
                  <w:vAlign w:val="center"/>
                </w:tcPr>
                <w:p w14:paraId="124F695C">
                  <w:pPr>
                    <w:pStyle w:val="20"/>
                    <w:bidi w:val="0"/>
                    <w:rPr>
                      <w:color w:val="auto"/>
                      <w:highlight w:val="none"/>
                    </w:rPr>
                  </w:pPr>
                  <w:r>
                    <w:rPr>
                      <w:rFonts w:hint="default"/>
                      <w:color w:val="auto"/>
                      <w:highlight w:val="none"/>
                      <w:lang w:val="en-US" w:eastAsia="zh-CN"/>
                    </w:rPr>
                    <w:t>400</w:t>
                  </w:r>
                </w:p>
              </w:tc>
              <w:tc>
                <w:tcPr>
                  <w:tcW w:w="248" w:type="pct"/>
                  <w:vMerge w:val="continue"/>
                  <w:tcMar>
                    <w:top w:w="0" w:type="dxa"/>
                    <w:left w:w="57" w:type="dxa"/>
                    <w:bottom w:w="0" w:type="dxa"/>
                    <w:right w:w="57" w:type="dxa"/>
                  </w:tcMar>
                  <w:vAlign w:val="center"/>
                </w:tcPr>
                <w:p w14:paraId="71331570">
                  <w:pPr>
                    <w:pStyle w:val="20"/>
                    <w:spacing w:before="31"/>
                    <w:rPr>
                      <w:color w:val="auto"/>
                      <w:highlight w:val="none"/>
                    </w:rPr>
                  </w:pPr>
                </w:p>
              </w:tc>
              <w:tc>
                <w:tcPr>
                  <w:tcW w:w="328" w:type="pct"/>
                  <w:vMerge w:val="continue"/>
                  <w:tcMar>
                    <w:top w:w="0" w:type="dxa"/>
                    <w:left w:w="57" w:type="dxa"/>
                    <w:bottom w:w="0" w:type="dxa"/>
                    <w:right w:w="57" w:type="dxa"/>
                  </w:tcMar>
                  <w:vAlign w:val="center"/>
                </w:tcPr>
                <w:p w14:paraId="68E6278F">
                  <w:pPr>
                    <w:pStyle w:val="20"/>
                    <w:spacing w:before="31"/>
                    <w:rPr>
                      <w:color w:val="auto"/>
                      <w:highlight w:val="none"/>
                    </w:rPr>
                  </w:pPr>
                </w:p>
              </w:tc>
              <w:tc>
                <w:tcPr>
                  <w:tcW w:w="254" w:type="pct"/>
                  <w:vMerge w:val="continue"/>
                  <w:tcMar>
                    <w:top w:w="0" w:type="dxa"/>
                    <w:left w:w="57" w:type="dxa"/>
                    <w:bottom w:w="0" w:type="dxa"/>
                    <w:right w:w="57" w:type="dxa"/>
                  </w:tcMar>
                  <w:vAlign w:val="center"/>
                </w:tcPr>
                <w:p w14:paraId="79FD7C38">
                  <w:pPr>
                    <w:pStyle w:val="20"/>
                    <w:spacing w:before="31"/>
                    <w:rPr>
                      <w:color w:val="auto"/>
                      <w:highlight w:val="none"/>
                    </w:rPr>
                  </w:pPr>
                </w:p>
              </w:tc>
              <w:tc>
                <w:tcPr>
                  <w:tcW w:w="469" w:type="pct"/>
                  <w:shd w:val="clear" w:color="auto" w:fill="auto"/>
                  <w:tcMar>
                    <w:top w:w="0" w:type="dxa"/>
                    <w:left w:w="57" w:type="dxa"/>
                    <w:bottom w:w="0" w:type="dxa"/>
                    <w:right w:w="57" w:type="dxa"/>
                  </w:tcMar>
                  <w:vAlign w:val="center"/>
                </w:tcPr>
                <w:p w14:paraId="6E8E7BEA">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SS</w:t>
                  </w:r>
                </w:p>
              </w:tc>
              <w:tc>
                <w:tcPr>
                  <w:tcW w:w="441" w:type="pct"/>
                  <w:shd w:val="clear" w:color="auto" w:fill="auto"/>
                  <w:tcMar>
                    <w:top w:w="0" w:type="dxa"/>
                    <w:left w:w="57" w:type="dxa"/>
                    <w:bottom w:w="0" w:type="dxa"/>
                    <w:right w:w="57" w:type="dxa"/>
                  </w:tcMar>
                  <w:vAlign w:val="center"/>
                </w:tcPr>
                <w:p w14:paraId="6B8A32E2">
                  <w:pPr>
                    <w:pStyle w:val="20"/>
                    <w:bidi w:val="0"/>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70</w:t>
                  </w:r>
                </w:p>
              </w:tc>
              <w:tc>
                <w:tcPr>
                  <w:tcW w:w="462" w:type="pct"/>
                  <w:shd w:val="clear" w:color="auto" w:fill="auto"/>
                  <w:tcMar>
                    <w:top w:w="0" w:type="dxa"/>
                    <w:left w:w="57" w:type="dxa"/>
                    <w:bottom w:w="0" w:type="dxa"/>
                    <w:right w:w="57" w:type="dxa"/>
                  </w:tcMar>
                  <w:vAlign w:val="center"/>
                </w:tcPr>
                <w:p w14:paraId="12296BEF">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10</w:t>
                  </w:r>
                </w:p>
              </w:tc>
            </w:tr>
            <w:tr w14:paraId="31E68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81" w:type="pct"/>
                  <w:vMerge w:val="continue"/>
                  <w:tcMar>
                    <w:top w:w="0" w:type="dxa"/>
                    <w:left w:w="57" w:type="dxa"/>
                    <w:bottom w:w="0" w:type="dxa"/>
                    <w:right w:w="57" w:type="dxa"/>
                  </w:tcMar>
                  <w:vAlign w:val="center"/>
                </w:tcPr>
                <w:p w14:paraId="62DF7982">
                  <w:pPr>
                    <w:pStyle w:val="20"/>
                    <w:spacing w:before="31"/>
                    <w:rPr>
                      <w:color w:val="auto"/>
                      <w:highlight w:val="none"/>
                    </w:rPr>
                  </w:pPr>
                </w:p>
              </w:tc>
              <w:tc>
                <w:tcPr>
                  <w:tcW w:w="216" w:type="pct"/>
                  <w:vMerge w:val="continue"/>
                  <w:tcMar>
                    <w:top w:w="0" w:type="dxa"/>
                    <w:left w:w="57" w:type="dxa"/>
                    <w:bottom w:w="0" w:type="dxa"/>
                    <w:right w:w="57" w:type="dxa"/>
                  </w:tcMar>
                  <w:vAlign w:val="center"/>
                </w:tcPr>
                <w:p w14:paraId="28D41223">
                  <w:pPr>
                    <w:pStyle w:val="20"/>
                    <w:spacing w:before="31"/>
                    <w:rPr>
                      <w:color w:val="auto"/>
                      <w:highlight w:val="none"/>
                    </w:rPr>
                  </w:pPr>
                </w:p>
              </w:tc>
              <w:tc>
                <w:tcPr>
                  <w:tcW w:w="255" w:type="pct"/>
                  <w:vMerge w:val="continue"/>
                  <w:tcMar>
                    <w:top w:w="0" w:type="dxa"/>
                    <w:left w:w="57" w:type="dxa"/>
                    <w:bottom w:w="0" w:type="dxa"/>
                    <w:right w:w="57" w:type="dxa"/>
                  </w:tcMar>
                  <w:vAlign w:val="center"/>
                </w:tcPr>
                <w:p w14:paraId="17252640">
                  <w:pPr>
                    <w:pStyle w:val="20"/>
                    <w:spacing w:before="31"/>
                    <w:rPr>
                      <w:color w:val="auto"/>
                      <w:highlight w:val="none"/>
                    </w:rPr>
                  </w:pPr>
                </w:p>
              </w:tc>
              <w:tc>
                <w:tcPr>
                  <w:tcW w:w="422" w:type="pct"/>
                  <w:shd w:val="clear" w:color="auto" w:fill="auto"/>
                  <w:tcMar>
                    <w:top w:w="0" w:type="dxa"/>
                    <w:left w:w="57" w:type="dxa"/>
                    <w:bottom w:w="0" w:type="dxa"/>
                    <w:right w:w="57" w:type="dxa"/>
                  </w:tcMar>
                  <w:vAlign w:val="center"/>
                </w:tcPr>
                <w:p w14:paraId="3DE4FC1E">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氨氮</w:t>
                  </w:r>
                </w:p>
              </w:tc>
              <w:tc>
                <w:tcPr>
                  <w:tcW w:w="450" w:type="pct"/>
                  <w:vMerge w:val="continue"/>
                  <w:tcMar>
                    <w:top w:w="0" w:type="dxa"/>
                    <w:left w:w="57" w:type="dxa"/>
                    <w:bottom w:w="0" w:type="dxa"/>
                    <w:right w:w="57" w:type="dxa"/>
                  </w:tcMar>
                  <w:vAlign w:val="center"/>
                </w:tcPr>
                <w:p w14:paraId="14B77E45">
                  <w:pPr>
                    <w:pStyle w:val="20"/>
                    <w:spacing w:before="31"/>
                    <w:rPr>
                      <w:color w:val="auto"/>
                      <w:highlight w:val="none"/>
                    </w:rPr>
                  </w:pPr>
                </w:p>
              </w:tc>
              <w:tc>
                <w:tcPr>
                  <w:tcW w:w="430" w:type="pct"/>
                  <w:vMerge w:val="continue"/>
                  <w:tcMar>
                    <w:top w:w="0" w:type="dxa"/>
                    <w:left w:w="57" w:type="dxa"/>
                    <w:bottom w:w="0" w:type="dxa"/>
                    <w:right w:w="57" w:type="dxa"/>
                  </w:tcMar>
                  <w:vAlign w:val="center"/>
                </w:tcPr>
                <w:p w14:paraId="614E6CD3">
                  <w:pPr>
                    <w:pStyle w:val="20"/>
                    <w:spacing w:before="31"/>
                    <w:rPr>
                      <w:color w:val="auto"/>
                      <w:highlight w:val="none"/>
                    </w:rPr>
                  </w:pPr>
                </w:p>
              </w:tc>
              <w:tc>
                <w:tcPr>
                  <w:tcW w:w="339" w:type="pct"/>
                  <w:vMerge w:val="continue"/>
                  <w:tcMar>
                    <w:top w:w="0" w:type="dxa"/>
                    <w:left w:w="57" w:type="dxa"/>
                    <w:bottom w:w="0" w:type="dxa"/>
                    <w:right w:w="57" w:type="dxa"/>
                  </w:tcMar>
                  <w:vAlign w:val="center"/>
                </w:tcPr>
                <w:p w14:paraId="2A9A5403">
                  <w:pPr>
                    <w:pStyle w:val="20"/>
                    <w:spacing w:before="31"/>
                    <w:rPr>
                      <w:color w:val="auto"/>
                      <w:highlight w:val="none"/>
                    </w:rPr>
                  </w:pPr>
                </w:p>
              </w:tc>
              <w:tc>
                <w:tcPr>
                  <w:tcW w:w="396" w:type="pct"/>
                  <w:tcMar>
                    <w:top w:w="0" w:type="dxa"/>
                    <w:left w:w="57" w:type="dxa"/>
                    <w:bottom w:w="0" w:type="dxa"/>
                    <w:right w:w="57" w:type="dxa"/>
                  </w:tcMar>
                  <w:vAlign w:val="center"/>
                </w:tcPr>
                <w:p w14:paraId="7111CFEA">
                  <w:pPr>
                    <w:pStyle w:val="20"/>
                    <w:bidi w:val="0"/>
                    <w:rPr>
                      <w:color w:val="auto"/>
                      <w:highlight w:val="none"/>
                    </w:rPr>
                  </w:pPr>
                  <w:r>
                    <w:rPr>
                      <w:rFonts w:hint="default"/>
                      <w:color w:val="auto"/>
                      <w:highlight w:val="none"/>
                      <w:lang w:val="en-US" w:eastAsia="zh-CN"/>
                    </w:rPr>
                    <w:t>45*</w:t>
                  </w:r>
                </w:p>
              </w:tc>
              <w:tc>
                <w:tcPr>
                  <w:tcW w:w="248" w:type="pct"/>
                  <w:vMerge w:val="continue"/>
                  <w:tcMar>
                    <w:top w:w="0" w:type="dxa"/>
                    <w:left w:w="57" w:type="dxa"/>
                    <w:bottom w:w="0" w:type="dxa"/>
                    <w:right w:w="57" w:type="dxa"/>
                  </w:tcMar>
                  <w:vAlign w:val="center"/>
                </w:tcPr>
                <w:p w14:paraId="511AB970">
                  <w:pPr>
                    <w:pStyle w:val="20"/>
                    <w:spacing w:before="31"/>
                    <w:rPr>
                      <w:color w:val="auto"/>
                      <w:highlight w:val="none"/>
                    </w:rPr>
                  </w:pPr>
                </w:p>
              </w:tc>
              <w:tc>
                <w:tcPr>
                  <w:tcW w:w="328" w:type="pct"/>
                  <w:vMerge w:val="continue"/>
                  <w:tcMar>
                    <w:top w:w="0" w:type="dxa"/>
                    <w:left w:w="57" w:type="dxa"/>
                    <w:bottom w:w="0" w:type="dxa"/>
                    <w:right w:w="57" w:type="dxa"/>
                  </w:tcMar>
                  <w:vAlign w:val="center"/>
                </w:tcPr>
                <w:p w14:paraId="2B962531">
                  <w:pPr>
                    <w:pStyle w:val="20"/>
                    <w:spacing w:before="31"/>
                    <w:rPr>
                      <w:color w:val="auto"/>
                      <w:highlight w:val="none"/>
                    </w:rPr>
                  </w:pPr>
                </w:p>
              </w:tc>
              <w:tc>
                <w:tcPr>
                  <w:tcW w:w="254" w:type="pct"/>
                  <w:vMerge w:val="continue"/>
                  <w:tcMar>
                    <w:top w:w="0" w:type="dxa"/>
                    <w:left w:w="57" w:type="dxa"/>
                    <w:bottom w:w="0" w:type="dxa"/>
                    <w:right w:w="57" w:type="dxa"/>
                  </w:tcMar>
                  <w:vAlign w:val="center"/>
                </w:tcPr>
                <w:p w14:paraId="7F4E47E4">
                  <w:pPr>
                    <w:pStyle w:val="20"/>
                    <w:spacing w:before="31"/>
                    <w:rPr>
                      <w:color w:val="auto"/>
                      <w:highlight w:val="none"/>
                    </w:rPr>
                  </w:pPr>
                </w:p>
              </w:tc>
              <w:tc>
                <w:tcPr>
                  <w:tcW w:w="469" w:type="pct"/>
                  <w:shd w:val="clear" w:color="auto" w:fill="auto"/>
                  <w:tcMar>
                    <w:top w:w="0" w:type="dxa"/>
                    <w:left w:w="57" w:type="dxa"/>
                    <w:bottom w:w="0" w:type="dxa"/>
                    <w:right w:w="57" w:type="dxa"/>
                  </w:tcMar>
                  <w:vAlign w:val="center"/>
                </w:tcPr>
                <w:p w14:paraId="63023EE8">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氨氮</w:t>
                  </w:r>
                </w:p>
              </w:tc>
              <w:tc>
                <w:tcPr>
                  <w:tcW w:w="441" w:type="pct"/>
                  <w:shd w:val="clear" w:color="auto" w:fill="auto"/>
                  <w:tcMar>
                    <w:top w:w="0" w:type="dxa"/>
                    <w:left w:w="57" w:type="dxa"/>
                    <w:bottom w:w="0" w:type="dxa"/>
                    <w:right w:w="57" w:type="dxa"/>
                  </w:tcMar>
                  <w:vAlign w:val="center"/>
                </w:tcPr>
                <w:p w14:paraId="2816A4AB">
                  <w:pPr>
                    <w:pStyle w:val="20"/>
                    <w:bidi w:val="0"/>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15</w:t>
                  </w:r>
                </w:p>
              </w:tc>
              <w:tc>
                <w:tcPr>
                  <w:tcW w:w="462" w:type="pct"/>
                  <w:shd w:val="clear" w:color="auto" w:fill="auto"/>
                  <w:tcMar>
                    <w:top w:w="0" w:type="dxa"/>
                    <w:left w:w="57" w:type="dxa"/>
                    <w:bottom w:w="0" w:type="dxa"/>
                    <w:right w:w="57" w:type="dxa"/>
                  </w:tcMar>
                  <w:vAlign w:val="center"/>
                </w:tcPr>
                <w:p w14:paraId="03517B41">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1.5</w:t>
                  </w:r>
                </w:p>
              </w:tc>
            </w:tr>
            <w:tr w14:paraId="4E774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81" w:type="pct"/>
                  <w:vMerge w:val="continue"/>
                  <w:tcMar>
                    <w:top w:w="0" w:type="dxa"/>
                    <w:left w:w="57" w:type="dxa"/>
                    <w:bottom w:w="0" w:type="dxa"/>
                    <w:right w:w="57" w:type="dxa"/>
                  </w:tcMar>
                  <w:vAlign w:val="center"/>
                </w:tcPr>
                <w:p w14:paraId="05C834C1">
                  <w:pPr>
                    <w:pStyle w:val="20"/>
                    <w:spacing w:before="31"/>
                    <w:rPr>
                      <w:color w:val="auto"/>
                      <w:highlight w:val="none"/>
                    </w:rPr>
                  </w:pPr>
                </w:p>
              </w:tc>
              <w:tc>
                <w:tcPr>
                  <w:tcW w:w="216" w:type="pct"/>
                  <w:vMerge w:val="continue"/>
                  <w:tcMar>
                    <w:top w:w="0" w:type="dxa"/>
                    <w:left w:w="57" w:type="dxa"/>
                    <w:bottom w:w="0" w:type="dxa"/>
                    <w:right w:w="57" w:type="dxa"/>
                  </w:tcMar>
                  <w:vAlign w:val="center"/>
                </w:tcPr>
                <w:p w14:paraId="1EB7CFF9">
                  <w:pPr>
                    <w:pStyle w:val="20"/>
                    <w:spacing w:before="31"/>
                    <w:rPr>
                      <w:color w:val="auto"/>
                      <w:highlight w:val="none"/>
                    </w:rPr>
                  </w:pPr>
                </w:p>
              </w:tc>
              <w:tc>
                <w:tcPr>
                  <w:tcW w:w="255" w:type="pct"/>
                  <w:vMerge w:val="continue"/>
                  <w:tcMar>
                    <w:top w:w="0" w:type="dxa"/>
                    <w:left w:w="57" w:type="dxa"/>
                    <w:bottom w:w="0" w:type="dxa"/>
                    <w:right w:w="57" w:type="dxa"/>
                  </w:tcMar>
                  <w:vAlign w:val="center"/>
                </w:tcPr>
                <w:p w14:paraId="3A871636">
                  <w:pPr>
                    <w:pStyle w:val="20"/>
                    <w:spacing w:before="31"/>
                    <w:rPr>
                      <w:color w:val="auto"/>
                      <w:highlight w:val="none"/>
                    </w:rPr>
                  </w:pPr>
                </w:p>
              </w:tc>
              <w:tc>
                <w:tcPr>
                  <w:tcW w:w="422" w:type="pct"/>
                  <w:shd w:val="clear" w:color="auto" w:fill="auto"/>
                  <w:tcMar>
                    <w:top w:w="0" w:type="dxa"/>
                    <w:left w:w="57" w:type="dxa"/>
                    <w:bottom w:w="0" w:type="dxa"/>
                    <w:right w:w="57" w:type="dxa"/>
                  </w:tcMar>
                  <w:vAlign w:val="center"/>
                </w:tcPr>
                <w:p w14:paraId="49A112DA">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石油类</w:t>
                  </w:r>
                </w:p>
              </w:tc>
              <w:tc>
                <w:tcPr>
                  <w:tcW w:w="450" w:type="pct"/>
                  <w:vMerge w:val="continue"/>
                  <w:tcMar>
                    <w:top w:w="0" w:type="dxa"/>
                    <w:left w:w="57" w:type="dxa"/>
                    <w:bottom w:w="0" w:type="dxa"/>
                    <w:right w:w="57" w:type="dxa"/>
                  </w:tcMar>
                  <w:vAlign w:val="center"/>
                </w:tcPr>
                <w:p w14:paraId="7F3A043D">
                  <w:pPr>
                    <w:pStyle w:val="20"/>
                    <w:spacing w:before="31"/>
                    <w:rPr>
                      <w:color w:val="auto"/>
                      <w:highlight w:val="none"/>
                    </w:rPr>
                  </w:pPr>
                </w:p>
              </w:tc>
              <w:tc>
                <w:tcPr>
                  <w:tcW w:w="430" w:type="pct"/>
                  <w:vMerge w:val="continue"/>
                  <w:tcMar>
                    <w:top w:w="0" w:type="dxa"/>
                    <w:left w:w="57" w:type="dxa"/>
                    <w:bottom w:w="0" w:type="dxa"/>
                    <w:right w:w="57" w:type="dxa"/>
                  </w:tcMar>
                  <w:vAlign w:val="center"/>
                </w:tcPr>
                <w:p w14:paraId="107D6E43">
                  <w:pPr>
                    <w:pStyle w:val="20"/>
                    <w:spacing w:before="31"/>
                    <w:rPr>
                      <w:color w:val="auto"/>
                      <w:highlight w:val="none"/>
                    </w:rPr>
                  </w:pPr>
                </w:p>
              </w:tc>
              <w:tc>
                <w:tcPr>
                  <w:tcW w:w="339" w:type="pct"/>
                  <w:vMerge w:val="continue"/>
                  <w:tcMar>
                    <w:top w:w="0" w:type="dxa"/>
                    <w:left w:w="57" w:type="dxa"/>
                    <w:bottom w:w="0" w:type="dxa"/>
                    <w:right w:w="57" w:type="dxa"/>
                  </w:tcMar>
                  <w:vAlign w:val="center"/>
                </w:tcPr>
                <w:p w14:paraId="3C9D4F7E">
                  <w:pPr>
                    <w:pStyle w:val="20"/>
                    <w:spacing w:before="31"/>
                    <w:rPr>
                      <w:color w:val="auto"/>
                      <w:highlight w:val="none"/>
                    </w:rPr>
                  </w:pPr>
                </w:p>
              </w:tc>
              <w:tc>
                <w:tcPr>
                  <w:tcW w:w="396" w:type="pct"/>
                  <w:tcMar>
                    <w:top w:w="0" w:type="dxa"/>
                    <w:left w:w="57" w:type="dxa"/>
                    <w:bottom w:w="0" w:type="dxa"/>
                    <w:right w:w="57" w:type="dxa"/>
                  </w:tcMar>
                  <w:vAlign w:val="center"/>
                </w:tcPr>
                <w:p w14:paraId="319994B7">
                  <w:pPr>
                    <w:pStyle w:val="20"/>
                    <w:bidi w:val="0"/>
                    <w:rPr>
                      <w:rFonts w:hint="default" w:eastAsia="宋体"/>
                      <w:color w:val="auto"/>
                      <w:highlight w:val="none"/>
                      <w:lang w:val="en-US" w:eastAsia="zh-CN"/>
                    </w:rPr>
                  </w:pPr>
                  <w:r>
                    <w:rPr>
                      <w:rFonts w:hint="default"/>
                      <w:color w:val="auto"/>
                      <w:highlight w:val="none"/>
                      <w:lang w:val="en-US" w:eastAsia="zh-CN"/>
                    </w:rPr>
                    <w:t>20</w:t>
                  </w:r>
                </w:p>
              </w:tc>
              <w:tc>
                <w:tcPr>
                  <w:tcW w:w="248" w:type="pct"/>
                  <w:vMerge w:val="continue"/>
                  <w:tcMar>
                    <w:top w:w="0" w:type="dxa"/>
                    <w:left w:w="57" w:type="dxa"/>
                    <w:bottom w:w="0" w:type="dxa"/>
                    <w:right w:w="57" w:type="dxa"/>
                  </w:tcMar>
                  <w:vAlign w:val="center"/>
                </w:tcPr>
                <w:p w14:paraId="05D6C59B">
                  <w:pPr>
                    <w:pStyle w:val="20"/>
                    <w:spacing w:before="31"/>
                    <w:rPr>
                      <w:color w:val="auto"/>
                      <w:highlight w:val="none"/>
                    </w:rPr>
                  </w:pPr>
                </w:p>
              </w:tc>
              <w:tc>
                <w:tcPr>
                  <w:tcW w:w="328" w:type="pct"/>
                  <w:vMerge w:val="continue"/>
                  <w:tcMar>
                    <w:top w:w="0" w:type="dxa"/>
                    <w:left w:w="57" w:type="dxa"/>
                    <w:bottom w:w="0" w:type="dxa"/>
                    <w:right w:w="57" w:type="dxa"/>
                  </w:tcMar>
                  <w:vAlign w:val="center"/>
                </w:tcPr>
                <w:p w14:paraId="3029F16B">
                  <w:pPr>
                    <w:pStyle w:val="20"/>
                    <w:spacing w:before="31"/>
                    <w:rPr>
                      <w:color w:val="auto"/>
                      <w:highlight w:val="none"/>
                    </w:rPr>
                  </w:pPr>
                </w:p>
              </w:tc>
              <w:tc>
                <w:tcPr>
                  <w:tcW w:w="254" w:type="pct"/>
                  <w:vMerge w:val="continue"/>
                  <w:tcMar>
                    <w:top w:w="0" w:type="dxa"/>
                    <w:left w:w="57" w:type="dxa"/>
                    <w:bottom w:w="0" w:type="dxa"/>
                    <w:right w:w="57" w:type="dxa"/>
                  </w:tcMar>
                  <w:vAlign w:val="center"/>
                </w:tcPr>
                <w:p w14:paraId="09CBCB7D">
                  <w:pPr>
                    <w:pStyle w:val="20"/>
                    <w:spacing w:before="31"/>
                    <w:rPr>
                      <w:color w:val="auto"/>
                      <w:highlight w:val="none"/>
                    </w:rPr>
                  </w:pPr>
                </w:p>
              </w:tc>
              <w:tc>
                <w:tcPr>
                  <w:tcW w:w="469" w:type="pct"/>
                  <w:shd w:val="clear" w:color="auto" w:fill="auto"/>
                  <w:tcMar>
                    <w:top w:w="0" w:type="dxa"/>
                    <w:left w:w="57" w:type="dxa"/>
                    <w:bottom w:w="0" w:type="dxa"/>
                    <w:right w:w="57" w:type="dxa"/>
                  </w:tcMar>
                  <w:vAlign w:val="center"/>
                </w:tcPr>
                <w:p w14:paraId="6BB6EE63">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石油类</w:t>
                  </w:r>
                </w:p>
              </w:tc>
              <w:tc>
                <w:tcPr>
                  <w:tcW w:w="441" w:type="pct"/>
                  <w:shd w:val="clear" w:color="auto" w:fill="auto"/>
                  <w:tcMar>
                    <w:top w:w="0" w:type="dxa"/>
                    <w:left w:w="57" w:type="dxa"/>
                    <w:bottom w:w="0" w:type="dxa"/>
                    <w:right w:w="57" w:type="dxa"/>
                  </w:tcMar>
                  <w:vAlign w:val="center"/>
                </w:tcPr>
                <w:p w14:paraId="33AD56EB">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5</w:t>
                  </w:r>
                </w:p>
              </w:tc>
              <w:tc>
                <w:tcPr>
                  <w:tcW w:w="462" w:type="pct"/>
                  <w:shd w:val="clear" w:color="auto" w:fill="auto"/>
                  <w:tcMar>
                    <w:top w:w="0" w:type="dxa"/>
                    <w:left w:w="57" w:type="dxa"/>
                    <w:bottom w:w="0" w:type="dxa"/>
                    <w:right w:w="57" w:type="dxa"/>
                  </w:tcMar>
                  <w:vAlign w:val="center"/>
                </w:tcPr>
                <w:p w14:paraId="2CC91FFF">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1</w:t>
                  </w:r>
                </w:p>
              </w:tc>
            </w:tr>
            <w:tr w14:paraId="11787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81" w:type="pct"/>
                  <w:vMerge w:val="continue"/>
                  <w:tcMar>
                    <w:top w:w="0" w:type="dxa"/>
                    <w:left w:w="57" w:type="dxa"/>
                    <w:bottom w:w="0" w:type="dxa"/>
                    <w:right w:w="57" w:type="dxa"/>
                  </w:tcMar>
                  <w:vAlign w:val="center"/>
                </w:tcPr>
                <w:p w14:paraId="72DFEB41">
                  <w:pPr>
                    <w:pStyle w:val="20"/>
                    <w:spacing w:before="31"/>
                    <w:rPr>
                      <w:color w:val="auto"/>
                      <w:highlight w:val="none"/>
                    </w:rPr>
                  </w:pPr>
                </w:p>
              </w:tc>
              <w:tc>
                <w:tcPr>
                  <w:tcW w:w="216" w:type="pct"/>
                  <w:vMerge w:val="continue"/>
                  <w:tcMar>
                    <w:top w:w="0" w:type="dxa"/>
                    <w:left w:w="57" w:type="dxa"/>
                    <w:bottom w:w="0" w:type="dxa"/>
                    <w:right w:w="57" w:type="dxa"/>
                  </w:tcMar>
                  <w:vAlign w:val="center"/>
                </w:tcPr>
                <w:p w14:paraId="28492C13">
                  <w:pPr>
                    <w:pStyle w:val="20"/>
                    <w:spacing w:before="31"/>
                    <w:rPr>
                      <w:color w:val="auto"/>
                      <w:highlight w:val="none"/>
                    </w:rPr>
                  </w:pPr>
                </w:p>
              </w:tc>
              <w:tc>
                <w:tcPr>
                  <w:tcW w:w="255" w:type="pct"/>
                  <w:vMerge w:val="continue"/>
                  <w:tcMar>
                    <w:top w:w="0" w:type="dxa"/>
                    <w:left w:w="57" w:type="dxa"/>
                    <w:bottom w:w="0" w:type="dxa"/>
                    <w:right w:w="57" w:type="dxa"/>
                  </w:tcMar>
                  <w:vAlign w:val="center"/>
                </w:tcPr>
                <w:p w14:paraId="48AC9E8E">
                  <w:pPr>
                    <w:pStyle w:val="20"/>
                    <w:spacing w:before="31"/>
                    <w:rPr>
                      <w:color w:val="auto"/>
                      <w:highlight w:val="none"/>
                    </w:rPr>
                  </w:pPr>
                </w:p>
              </w:tc>
              <w:tc>
                <w:tcPr>
                  <w:tcW w:w="422" w:type="pct"/>
                  <w:shd w:val="clear" w:color="auto" w:fill="auto"/>
                  <w:tcMar>
                    <w:top w:w="0" w:type="dxa"/>
                    <w:left w:w="57" w:type="dxa"/>
                    <w:bottom w:w="0" w:type="dxa"/>
                    <w:right w:w="57" w:type="dxa"/>
                  </w:tcMar>
                  <w:vAlign w:val="center"/>
                </w:tcPr>
                <w:p w14:paraId="2A14E7A5">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TP</w:t>
                  </w:r>
                </w:p>
              </w:tc>
              <w:tc>
                <w:tcPr>
                  <w:tcW w:w="450" w:type="pct"/>
                  <w:vMerge w:val="continue"/>
                  <w:tcMar>
                    <w:top w:w="0" w:type="dxa"/>
                    <w:left w:w="57" w:type="dxa"/>
                    <w:bottom w:w="0" w:type="dxa"/>
                    <w:right w:w="57" w:type="dxa"/>
                  </w:tcMar>
                  <w:vAlign w:val="center"/>
                </w:tcPr>
                <w:p w14:paraId="69F5D1F2">
                  <w:pPr>
                    <w:pStyle w:val="20"/>
                    <w:spacing w:before="31"/>
                    <w:rPr>
                      <w:color w:val="auto"/>
                      <w:highlight w:val="none"/>
                    </w:rPr>
                  </w:pPr>
                </w:p>
              </w:tc>
              <w:tc>
                <w:tcPr>
                  <w:tcW w:w="430" w:type="pct"/>
                  <w:vMerge w:val="continue"/>
                  <w:tcMar>
                    <w:top w:w="0" w:type="dxa"/>
                    <w:left w:w="57" w:type="dxa"/>
                    <w:bottom w:w="0" w:type="dxa"/>
                    <w:right w:w="57" w:type="dxa"/>
                  </w:tcMar>
                  <w:vAlign w:val="center"/>
                </w:tcPr>
                <w:p w14:paraId="7B87A987">
                  <w:pPr>
                    <w:pStyle w:val="20"/>
                    <w:spacing w:before="31"/>
                    <w:rPr>
                      <w:color w:val="auto"/>
                      <w:highlight w:val="none"/>
                    </w:rPr>
                  </w:pPr>
                </w:p>
              </w:tc>
              <w:tc>
                <w:tcPr>
                  <w:tcW w:w="339" w:type="pct"/>
                  <w:vMerge w:val="continue"/>
                  <w:tcMar>
                    <w:top w:w="0" w:type="dxa"/>
                    <w:left w:w="57" w:type="dxa"/>
                    <w:bottom w:w="0" w:type="dxa"/>
                    <w:right w:w="57" w:type="dxa"/>
                  </w:tcMar>
                  <w:vAlign w:val="center"/>
                </w:tcPr>
                <w:p w14:paraId="776DB889">
                  <w:pPr>
                    <w:pStyle w:val="20"/>
                    <w:spacing w:before="31"/>
                    <w:rPr>
                      <w:color w:val="auto"/>
                      <w:highlight w:val="none"/>
                    </w:rPr>
                  </w:pPr>
                </w:p>
              </w:tc>
              <w:tc>
                <w:tcPr>
                  <w:tcW w:w="396" w:type="pct"/>
                  <w:tcMar>
                    <w:top w:w="0" w:type="dxa"/>
                    <w:left w:w="57" w:type="dxa"/>
                    <w:bottom w:w="0" w:type="dxa"/>
                    <w:right w:w="57" w:type="dxa"/>
                  </w:tcMar>
                  <w:vAlign w:val="center"/>
                </w:tcPr>
                <w:p w14:paraId="0C822AF8">
                  <w:pPr>
                    <w:pStyle w:val="20"/>
                    <w:bidi w:val="0"/>
                    <w:rPr>
                      <w:rFonts w:hint="eastAsia"/>
                      <w:color w:val="auto"/>
                      <w:highlight w:val="none"/>
                      <w:lang w:val="en-US" w:eastAsia="zh-CN"/>
                    </w:rPr>
                  </w:pPr>
                  <w:r>
                    <w:rPr>
                      <w:rFonts w:hint="eastAsia"/>
                      <w:color w:val="auto"/>
                      <w:highlight w:val="none"/>
                      <w:lang w:val="en-US" w:eastAsia="zh-CN"/>
                    </w:rPr>
                    <w:t>8</w:t>
                  </w:r>
                  <w:r>
                    <w:rPr>
                      <w:rFonts w:hint="default"/>
                      <w:color w:val="auto"/>
                      <w:highlight w:val="none"/>
                      <w:lang w:val="en-US" w:eastAsia="zh-CN"/>
                    </w:rPr>
                    <w:t>*</w:t>
                  </w:r>
                </w:p>
              </w:tc>
              <w:tc>
                <w:tcPr>
                  <w:tcW w:w="248" w:type="pct"/>
                  <w:vMerge w:val="continue"/>
                  <w:tcMar>
                    <w:top w:w="0" w:type="dxa"/>
                    <w:left w:w="57" w:type="dxa"/>
                    <w:bottom w:w="0" w:type="dxa"/>
                    <w:right w:w="57" w:type="dxa"/>
                  </w:tcMar>
                  <w:vAlign w:val="center"/>
                </w:tcPr>
                <w:p w14:paraId="0B9E1824">
                  <w:pPr>
                    <w:pStyle w:val="20"/>
                    <w:spacing w:before="31"/>
                    <w:rPr>
                      <w:color w:val="auto"/>
                      <w:highlight w:val="none"/>
                    </w:rPr>
                  </w:pPr>
                </w:p>
              </w:tc>
              <w:tc>
                <w:tcPr>
                  <w:tcW w:w="328" w:type="pct"/>
                  <w:vMerge w:val="continue"/>
                  <w:tcMar>
                    <w:top w:w="0" w:type="dxa"/>
                    <w:left w:w="57" w:type="dxa"/>
                    <w:bottom w:w="0" w:type="dxa"/>
                    <w:right w:w="57" w:type="dxa"/>
                  </w:tcMar>
                  <w:vAlign w:val="center"/>
                </w:tcPr>
                <w:p w14:paraId="06AA6487">
                  <w:pPr>
                    <w:pStyle w:val="20"/>
                    <w:spacing w:before="31"/>
                    <w:rPr>
                      <w:color w:val="auto"/>
                      <w:highlight w:val="none"/>
                    </w:rPr>
                  </w:pPr>
                </w:p>
              </w:tc>
              <w:tc>
                <w:tcPr>
                  <w:tcW w:w="254" w:type="pct"/>
                  <w:vMerge w:val="continue"/>
                  <w:tcMar>
                    <w:top w:w="0" w:type="dxa"/>
                    <w:left w:w="57" w:type="dxa"/>
                    <w:bottom w:w="0" w:type="dxa"/>
                    <w:right w:w="57" w:type="dxa"/>
                  </w:tcMar>
                  <w:vAlign w:val="center"/>
                </w:tcPr>
                <w:p w14:paraId="62397297">
                  <w:pPr>
                    <w:pStyle w:val="20"/>
                    <w:spacing w:before="31"/>
                    <w:rPr>
                      <w:color w:val="auto"/>
                      <w:highlight w:val="none"/>
                    </w:rPr>
                  </w:pPr>
                </w:p>
              </w:tc>
              <w:tc>
                <w:tcPr>
                  <w:tcW w:w="469" w:type="pct"/>
                  <w:shd w:val="clear" w:color="auto" w:fill="auto"/>
                  <w:tcMar>
                    <w:top w:w="0" w:type="dxa"/>
                    <w:left w:w="57" w:type="dxa"/>
                    <w:bottom w:w="0" w:type="dxa"/>
                    <w:right w:w="57" w:type="dxa"/>
                  </w:tcMar>
                  <w:vAlign w:val="center"/>
                </w:tcPr>
                <w:p w14:paraId="401BB6FD">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TP</w:t>
                  </w:r>
                </w:p>
              </w:tc>
              <w:tc>
                <w:tcPr>
                  <w:tcW w:w="441" w:type="pct"/>
                  <w:shd w:val="clear" w:color="auto" w:fill="auto"/>
                  <w:tcMar>
                    <w:top w:w="0" w:type="dxa"/>
                    <w:left w:w="57" w:type="dxa"/>
                    <w:bottom w:w="0" w:type="dxa"/>
                    <w:right w:w="57" w:type="dxa"/>
                  </w:tcMar>
                  <w:vAlign w:val="center"/>
                </w:tcPr>
                <w:p w14:paraId="05FE4BCB">
                  <w:pPr>
                    <w:pStyle w:val="20"/>
                    <w:bidi w:val="0"/>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0.5</w:t>
                  </w:r>
                </w:p>
              </w:tc>
              <w:tc>
                <w:tcPr>
                  <w:tcW w:w="462" w:type="pct"/>
                  <w:shd w:val="clear" w:color="auto" w:fill="auto"/>
                  <w:tcMar>
                    <w:top w:w="0" w:type="dxa"/>
                    <w:left w:w="57" w:type="dxa"/>
                    <w:bottom w:w="0" w:type="dxa"/>
                    <w:right w:w="57" w:type="dxa"/>
                  </w:tcMar>
                  <w:vAlign w:val="center"/>
                </w:tcPr>
                <w:p w14:paraId="601DEE7D">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0.3</w:t>
                  </w:r>
                </w:p>
              </w:tc>
            </w:tr>
            <w:tr w14:paraId="01808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81" w:type="pct"/>
                  <w:vMerge w:val="continue"/>
                  <w:tcMar>
                    <w:top w:w="0" w:type="dxa"/>
                    <w:left w:w="57" w:type="dxa"/>
                    <w:bottom w:w="0" w:type="dxa"/>
                    <w:right w:w="57" w:type="dxa"/>
                  </w:tcMar>
                  <w:vAlign w:val="center"/>
                </w:tcPr>
                <w:p w14:paraId="4176F2EB">
                  <w:pPr>
                    <w:pStyle w:val="20"/>
                    <w:spacing w:before="31"/>
                    <w:rPr>
                      <w:color w:val="auto"/>
                      <w:highlight w:val="none"/>
                    </w:rPr>
                  </w:pPr>
                </w:p>
              </w:tc>
              <w:tc>
                <w:tcPr>
                  <w:tcW w:w="216" w:type="pct"/>
                  <w:vMerge w:val="continue"/>
                  <w:tcMar>
                    <w:top w:w="0" w:type="dxa"/>
                    <w:left w:w="57" w:type="dxa"/>
                    <w:bottom w:w="0" w:type="dxa"/>
                    <w:right w:w="57" w:type="dxa"/>
                  </w:tcMar>
                  <w:vAlign w:val="center"/>
                </w:tcPr>
                <w:p w14:paraId="4C6C3BF7">
                  <w:pPr>
                    <w:pStyle w:val="20"/>
                    <w:spacing w:before="31"/>
                    <w:rPr>
                      <w:color w:val="auto"/>
                      <w:highlight w:val="none"/>
                    </w:rPr>
                  </w:pPr>
                </w:p>
              </w:tc>
              <w:tc>
                <w:tcPr>
                  <w:tcW w:w="255" w:type="pct"/>
                  <w:vMerge w:val="continue"/>
                  <w:tcMar>
                    <w:top w:w="0" w:type="dxa"/>
                    <w:left w:w="57" w:type="dxa"/>
                    <w:bottom w:w="0" w:type="dxa"/>
                    <w:right w:w="57" w:type="dxa"/>
                  </w:tcMar>
                  <w:vAlign w:val="center"/>
                </w:tcPr>
                <w:p w14:paraId="57DDABCB">
                  <w:pPr>
                    <w:pStyle w:val="20"/>
                    <w:spacing w:before="31"/>
                    <w:rPr>
                      <w:color w:val="auto"/>
                      <w:highlight w:val="none"/>
                    </w:rPr>
                  </w:pPr>
                </w:p>
              </w:tc>
              <w:tc>
                <w:tcPr>
                  <w:tcW w:w="422" w:type="pct"/>
                  <w:shd w:val="clear" w:color="auto" w:fill="auto"/>
                  <w:tcMar>
                    <w:top w:w="0" w:type="dxa"/>
                    <w:left w:w="57" w:type="dxa"/>
                    <w:bottom w:w="0" w:type="dxa"/>
                    <w:right w:w="57" w:type="dxa"/>
                  </w:tcMar>
                  <w:vAlign w:val="center"/>
                </w:tcPr>
                <w:p w14:paraId="00512B68">
                  <w:pPr>
                    <w:pStyle w:val="20"/>
                    <w:bidi w:val="0"/>
                    <w:rPr>
                      <w:rFonts w:hint="default"/>
                      <w:color w:val="auto"/>
                      <w:highlight w:val="none"/>
                      <w:lang w:val="en-US" w:eastAsia="zh-CN"/>
                    </w:rPr>
                  </w:pPr>
                  <w:r>
                    <w:rPr>
                      <w:rFonts w:hint="eastAsia"/>
                      <w:color w:val="auto"/>
                      <w:highlight w:val="none"/>
                      <w:lang w:val="en-US" w:eastAsia="zh-CN"/>
                    </w:rPr>
                    <w:t>TN</w:t>
                  </w:r>
                </w:p>
              </w:tc>
              <w:tc>
                <w:tcPr>
                  <w:tcW w:w="450" w:type="pct"/>
                  <w:vMerge w:val="continue"/>
                  <w:tcMar>
                    <w:top w:w="0" w:type="dxa"/>
                    <w:left w:w="57" w:type="dxa"/>
                    <w:bottom w:w="0" w:type="dxa"/>
                    <w:right w:w="57" w:type="dxa"/>
                  </w:tcMar>
                  <w:vAlign w:val="center"/>
                </w:tcPr>
                <w:p w14:paraId="42CC4631">
                  <w:pPr>
                    <w:pStyle w:val="20"/>
                    <w:spacing w:before="31"/>
                    <w:rPr>
                      <w:color w:val="auto"/>
                      <w:highlight w:val="none"/>
                    </w:rPr>
                  </w:pPr>
                </w:p>
              </w:tc>
              <w:tc>
                <w:tcPr>
                  <w:tcW w:w="430" w:type="pct"/>
                  <w:vMerge w:val="continue"/>
                  <w:tcMar>
                    <w:top w:w="0" w:type="dxa"/>
                    <w:left w:w="57" w:type="dxa"/>
                    <w:bottom w:w="0" w:type="dxa"/>
                    <w:right w:w="57" w:type="dxa"/>
                  </w:tcMar>
                  <w:vAlign w:val="center"/>
                </w:tcPr>
                <w:p w14:paraId="3ACD2E74">
                  <w:pPr>
                    <w:pStyle w:val="20"/>
                    <w:spacing w:before="31"/>
                    <w:rPr>
                      <w:color w:val="auto"/>
                      <w:highlight w:val="none"/>
                    </w:rPr>
                  </w:pPr>
                </w:p>
              </w:tc>
              <w:tc>
                <w:tcPr>
                  <w:tcW w:w="339" w:type="pct"/>
                  <w:vMerge w:val="continue"/>
                  <w:tcMar>
                    <w:top w:w="0" w:type="dxa"/>
                    <w:left w:w="57" w:type="dxa"/>
                    <w:bottom w:w="0" w:type="dxa"/>
                    <w:right w:w="57" w:type="dxa"/>
                  </w:tcMar>
                  <w:vAlign w:val="center"/>
                </w:tcPr>
                <w:p w14:paraId="687218CD">
                  <w:pPr>
                    <w:pStyle w:val="20"/>
                    <w:spacing w:before="31"/>
                    <w:rPr>
                      <w:color w:val="auto"/>
                      <w:highlight w:val="none"/>
                    </w:rPr>
                  </w:pPr>
                </w:p>
              </w:tc>
              <w:tc>
                <w:tcPr>
                  <w:tcW w:w="396" w:type="pct"/>
                  <w:tcMar>
                    <w:top w:w="0" w:type="dxa"/>
                    <w:left w:w="57" w:type="dxa"/>
                    <w:bottom w:w="0" w:type="dxa"/>
                    <w:right w:w="57" w:type="dxa"/>
                  </w:tcMar>
                  <w:vAlign w:val="center"/>
                </w:tcPr>
                <w:p w14:paraId="148B40DC">
                  <w:pPr>
                    <w:pStyle w:val="20"/>
                    <w:bidi w:val="0"/>
                    <w:rPr>
                      <w:rFonts w:hint="default"/>
                      <w:color w:val="auto"/>
                      <w:highlight w:val="none"/>
                      <w:lang w:val="en-US" w:eastAsia="zh-CN"/>
                    </w:rPr>
                  </w:pPr>
                  <w:r>
                    <w:rPr>
                      <w:rFonts w:hint="eastAsia"/>
                      <w:color w:val="auto"/>
                      <w:highlight w:val="none"/>
                      <w:lang w:val="en-US" w:eastAsia="zh-CN"/>
                    </w:rPr>
                    <w:t>70*</w:t>
                  </w:r>
                </w:p>
              </w:tc>
              <w:tc>
                <w:tcPr>
                  <w:tcW w:w="248" w:type="pct"/>
                  <w:vMerge w:val="continue"/>
                  <w:tcMar>
                    <w:top w:w="0" w:type="dxa"/>
                    <w:left w:w="57" w:type="dxa"/>
                    <w:bottom w:w="0" w:type="dxa"/>
                    <w:right w:w="57" w:type="dxa"/>
                  </w:tcMar>
                  <w:vAlign w:val="center"/>
                </w:tcPr>
                <w:p w14:paraId="604BEB4E">
                  <w:pPr>
                    <w:pStyle w:val="20"/>
                    <w:spacing w:before="31"/>
                    <w:rPr>
                      <w:color w:val="auto"/>
                      <w:highlight w:val="none"/>
                    </w:rPr>
                  </w:pPr>
                </w:p>
              </w:tc>
              <w:tc>
                <w:tcPr>
                  <w:tcW w:w="328" w:type="pct"/>
                  <w:vMerge w:val="continue"/>
                  <w:tcMar>
                    <w:top w:w="0" w:type="dxa"/>
                    <w:left w:w="57" w:type="dxa"/>
                    <w:bottom w:w="0" w:type="dxa"/>
                    <w:right w:w="57" w:type="dxa"/>
                  </w:tcMar>
                  <w:vAlign w:val="center"/>
                </w:tcPr>
                <w:p w14:paraId="5AF106B5">
                  <w:pPr>
                    <w:pStyle w:val="20"/>
                    <w:spacing w:before="31"/>
                    <w:rPr>
                      <w:color w:val="auto"/>
                      <w:highlight w:val="none"/>
                    </w:rPr>
                  </w:pPr>
                </w:p>
              </w:tc>
              <w:tc>
                <w:tcPr>
                  <w:tcW w:w="254" w:type="pct"/>
                  <w:vMerge w:val="continue"/>
                  <w:tcMar>
                    <w:top w:w="0" w:type="dxa"/>
                    <w:left w:w="57" w:type="dxa"/>
                    <w:bottom w:w="0" w:type="dxa"/>
                    <w:right w:w="57" w:type="dxa"/>
                  </w:tcMar>
                  <w:vAlign w:val="center"/>
                </w:tcPr>
                <w:p w14:paraId="67418F7E">
                  <w:pPr>
                    <w:pStyle w:val="20"/>
                    <w:spacing w:before="31"/>
                    <w:rPr>
                      <w:color w:val="auto"/>
                      <w:highlight w:val="none"/>
                    </w:rPr>
                  </w:pPr>
                </w:p>
              </w:tc>
              <w:tc>
                <w:tcPr>
                  <w:tcW w:w="469" w:type="pct"/>
                  <w:shd w:val="clear" w:color="auto" w:fill="auto"/>
                  <w:tcMar>
                    <w:top w:w="0" w:type="dxa"/>
                    <w:left w:w="57" w:type="dxa"/>
                    <w:bottom w:w="0" w:type="dxa"/>
                    <w:right w:w="57" w:type="dxa"/>
                  </w:tcMar>
                  <w:vAlign w:val="center"/>
                </w:tcPr>
                <w:p w14:paraId="0154B146">
                  <w:pPr>
                    <w:pStyle w:val="20"/>
                    <w:bidi w:val="0"/>
                    <w:rPr>
                      <w:rFonts w:hint="default"/>
                      <w:color w:val="auto"/>
                      <w:highlight w:val="none"/>
                      <w:lang w:val="en-US" w:eastAsia="zh-CN"/>
                    </w:rPr>
                  </w:pPr>
                  <w:r>
                    <w:rPr>
                      <w:rFonts w:hint="eastAsia"/>
                      <w:color w:val="auto"/>
                      <w:highlight w:val="none"/>
                      <w:lang w:val="en-US" w:eastAsia="zh-CN"/>
                    </w:rPr>
                    <w:t>TN</w:t>
                  </w:r>
                </w:p>
              </w:tc>
              <w:tc>
                <w:tcPr>
                  <w:tcW w:w="441" w:type="pct"/>
                  <w:shd w:val="clear" w:color="auto" w:fill="auto"/>
                  <w:tcMar>
                    <w:top w:w="0" w:type="dxa"/>
                    <w:left w:w="57" w:type="dxa"/>
                    <w:bottom w:w="0" w:type="dxa"/>
                    <w:right w:w="57" w:type="dxa"/>
                  </w:tcMar>
                  <w:vAlign w:val="center"/>
                </w:tcPr>
                <w:p w14:paraId="4789B433">
                  <w:pPr>
                    <w:pStyle w:val="20"/>
                    <w:bidi w:val="0"/>
                    <w:rPr>
                      <w:rFonts w:hint="default"/>
                      <w:color w:val="auto"/>
                      <w:highlight w:val="none"/>
                      <w:lang w:val="en-US" w:eastAsia="zh-CN"/>
                    </w:rPr>
                  </w:pPr>
                  <w:r>
                    <w:rPr>
                      <w:rFonts w:hint="eastAsia"/>
                      <w:color w:val="auto"/>
                      <w:highlight w:val="none"/>
                      <w:lang w:val="en-US" w:eastAsia="zh-CN"/>
                    </w:rPr>
                    <w:t>/</w:t>
                  </w:r>
                </w:p>
              </w:tc>
              <w:tc>
                <w:tcPr>
                  <w:tcW w:w="462" w:type="pct"/>
                  <w:shd w:val="clear" w:color="auto" w:fill="auto"/>
                  <w:tcMar>
                    <w:top w:w="0" w:type="dxa"/>
                    <w:left w:w="57" w:type="dxa"/>
                    <w:bottom w:w="0" w:type="dxa"/>
                    <w:right w:w="57" w:type="dxa"/>
                  </w:tcMar>
                  <w:vAlign w:val="center"/>
                </w:tcPr>
                <w:p w14:paraId="68DB2866">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15</w:t>
                  </w:r>
                </w:p>
              </w:tc>
            </w:tr>
            <w:tr w14:paraId="549FE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000" w:type="pct"/>
                  <w:gridSpan w:val="14"/>
                  <w:tcMar>
                    <w:top w:w="0" w:type="dxa"/>
                    <w:left w:w="57" w:type="dxa"/>
                    <w:bottom w:w="0" w:type="dxa"/>
                    <w:right w:w="57" w:type="dxa"/>
                  </w:tcMar>
                  <w:vAlign w:val="center"/>
                </w:tcPr>
                <w:p w14:paraId="432DA998">
                  <w:pPr>
                    <w:pStyle w:val="20"/>
                    <w:bidi w:val="0"/>
                    <w:jc w:val="left"/>
                    <w:rPr>
                      <w:rFonts w:hint="eastAsia"/>
                      <w:color w:val="auto"/>
                      <w:highlight w:val="none"/>
                    </w:rPr>
                  </w:pPr>
                  <w:r>
                    <w:rPr>
                      <w:rFonts w:hint="eastAsia"/>
                      <w:color w:val="auto"/>
                      <w:highlight w:val="none"/>
                    </w:rPr>
                    <w:t>注：</w:t>
                  </w:r>
                  <w:r>
                    <w:rPr>
                      <w:rFonts w:hint="eastAsia"/>
                      <w:color w:val="auto"/>
                      <w:highlight w:val="none"/>
                      <w:lang w:val="en-US" w:eastAsia="zh-CN"/>
                    </w:rPr>
                    <w:t>*</w:t>
                  </w:r>
                  <w:r>
                    <w:rPr>
                      <w:rFonts w:hint="eastAsia"/>
                      <w:color w:val="auto"/>
                      <w:highlight w:val="none"/>
                    </w:rPr>
                    <w:t>氨氮、</w:t>
                  </w:r>
                  <w:r>
                    <w:rPr>
                      <w:rFonts w:hint="eastAsia"/>
                      <w:color w:val="auto"/>
                      <w:highlight w:val="none"/>
                      <w:lang w:val="en-US" w:eastAsia="zh-CN"/>
                    </w:rPr>
                    <w:t>TP、TN</w:t>
                  </w:r>
                  <w:r>
                    <w:rPr>
                      <w:rFonts w:hint="eastAsia"/>
                      <w:color w:val="auto"/>
                      <w:highlight w:val="none"/>
                    </w:rPr>
                    <w:t>执行《污水排入城镇下水道水质标准》（GB/T31962-2015）；西彭工业园区污水处理厂提标改造完成后，出水执行《城镇污水处理厂污染物排放标准》（GB18918-2002）一级A标准，其中COD、NH</w:t>
                  </w:r>
                  <w:r>
                    <w:rPr>
                      <w:rFonts w:hint="eastAsia"/>
                      <w:color w:val="auto"/>
                      <w:highlight w:val="none"/>
                      <w:vertAlign w:val="subscript"/>
                    </w:rPr>
                    <w:t>3</w:t>
                  </w:r>
                  <w:r>
                    <w:rPr>
                      <w:rFonts w:hint="eastAsia"/>
                      <w:color w:val="auto"/>
                      <w:highlight w:val="none"/>
                    </w:rPr>
                    <w:t>-N、TP达《地表水环境质量标准》（GB3838-2002）</w:t>
                  </w:r>
                  <w:r>
                    <w:rPr>
                      <w:rFonts w:hint="eastAsia"/>
                      <w:color w:val="auto"/>
                      <w:highlight w:val="none"/>
                      <w:lang w:eastAsia="zh-CN"/>
                    </w:rPr>
                    <w:t>Ⅳ类</w:t>
                  </w:r>
                  <w:r>
                    <w:rPr>
                      <w:rFonts w:hint="eastAsia"/>
                      <w:color w:val="auto"/>
                      <w:highlight w:val="none"/>
                    </w:rPr>
                    <w:t>标准</w:t>
                  </w:r>
                  <w:r>
                    <w:rPr>
                      <w:rFonts w:hint="eastAsia"/>
                      <w:color w:val="auto"/>
                      <w:highlight w:val="none"/>
                      <w:lang w:eastAsia="zh-CN"/>
                    </w:rPr>
                    <w:t>，</w:t>
                  </w:r>
                  <w:r>
                    <w:rPr>
                      <w:rFonts w:hint="eastAsia"/>
                      <w:color w:val="auto"/>
                      <w:highlight w:val="none"/>
                      <w:lang w:val="en-US" w:eastAsia="zh-CN"/>
                    </w:rPr>
                    <w:t>现行为</w:t>
                  </w:r>
                  <w:r>
                    <w:rPr>
                      <w:rFonts w:hint="eastAsia"/>
                      <w:color w:val="auto"/>
                      <w:highlight w:val="none"/>
                    </w:rPr>
                    <w:t>《污水综合排放标准》（GB8978-1996）一级标准</w:t>
                  </w:r>
                  <w:r>
                    <w:rPr>
                      <w:rFonts w:hint="eastAsia"/>
                      <w:color w:val="auto"/>
                      <w:highlight w:val="none"/>
                      <w:lang w:eastAsia="zh-CN"/>
                    </w:rPr>
                    <w:t>。</w:t>
                  </w:r>
                </w:p>
              </w:tc>
            </w:tr>
          </w:tbl>
          <w:p w14:paraId="61E2ADDB">
            <w:pPr>
              <w:rPr>
                <w:color w:val="auto"/>
                <w:highlight w:val="none"/>
              </w:rPr>
            </w:pPr>
          </w:p>
          <w:p w14:paraId="3995C617">
            <w:pPr>
              <w:rPr>
                <w:color w:val="auto"/>
                <w:highlight w:val="none"/>
              </w:rPr>
            </w:pPr>
          </w:p>
          <w:p w14:paraId="32AEB2C2">
            <w:pPr>
              <w:rPr>
                <w:color w:val="auto"/>
                <w:highlight w:val="none"/>
              </w:rPr>
            </w:pPr>
          </w:p>
          <w:p w14:paraId="6E265858">
            <w:pPr>
              <w:rPr>
                <w:color w:val="auto"/>
                <w:highlight w:val="none"/>
              </w:rPr>
            </w:pPr>
          </w:p>
          <w:p w14:paraId="5C534FE0">
            <w:pPr>
              <w:rPr>
                <w:color w:val="auto"/>
                <w:highlight w:val="none"/>
              </w:rPr>
            </w:pPr>
          </w:p>
          <w:p w14:paraId="582F5A59">
            <w:pPr>
              <w:rPr>
                <w:color w:val="auto"/>
                <w:highlight w:val="none"/>
              </w:rPr>
            </w:pPr>
          </w:p>
          <w:p w14:paraId="5CE744C0">
            <w:pPr>
              <w:pStyle w:val="18"/>
              <w:ind w:firstLine="0" w:firstLineChars="0"/>
              <w:rPr>
                <w:color w:val="auto"/>
                <w:highlight w:val="none"/>
              </w:rPr>
            </w:pPr>
          </w:p>
          <w:p w14:paraId="611BDF51">
            <w:pPr>
              <w:pStyle w:val="18"/>
              <w:ind w:firstLine="0" w:firstLineChars="0"/>
              <w:rPr>
                <w:color w:val="auto"/>
                <w:highlight w:val="none"/>
              </w:rPr>
            </w:pPr>
          </w:p>
          <w:p w14:paraId="3A3EA6DD">
            <w:pPr>
              <w:pStyle w:val="18"/>
              <w:ind w:firstLine="0" w:firstLineChars="0"/>
              <w:rPr>
                <w:color w:val="auto"/>
                <w:highlight w:val="none"/>
              </w:rPr>
            </w:pPr>
          </w:p>
          <w:p w14:paraId="212FF5DD">
            <w:pPr>
              <w:pStyle w:val="18"/>
              <w:ind w:firstLine="0" w:firstLineChars="0"/>
              <w:rPr>
                <w:color w:val="auto"/>
                <w:highlight w:val="none"/>
              </w:rPr>
            </w:pPr>
          </w:p>
        </w:tc>
      </w:tr>
    </w:tbl>
    <w:p w14:paraId="68D29D08">
      <w:pPr>
        <w:rPr>
          <w:color w:val="auto"/>
          <w:highlight w:val="none"/>
        </w:rPr>
      </w:pPr>
    </w:p>
    <w:p w14:paraId="19378652">
      <w:pPr>
        <w:rPr>
          <w:color w:val="auto"/>
          <w:highlight w:val="none"/>
        </w:rPr>
        <w:sectPr>
          <w:pgSz w:w="16838" w:h="11905" w:orient="landscape"/>
          <w:pgMar w:top="1440" w:right="816" w:bottom="1440" w:left="816" w:header="851" w:footer="425" w:gutter="0"/>
          <w:cols w:space="0" w:num="1"/>
          <w:docGrid w:type="linesAndChars" w:linePitch="312" w:charSpace="0"/>
        </w:sectPr>
      </w:pP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3"/>
        <w:gridCol w:w="8572"/>
      </w:tblGrid>
      <w:tr w14:paraId="192A0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34" w:type="pct"/>
            <w:tcMar>
              <w:top w:w="0" w:type="dxa"/>
              <w:left w:w="57" w:type="dxa"/>
              <w:bottom w:w="0" w:type="dxa"/>
              <w:right w:w="57" w:type="dxa"/>
            </w:tcMar>
          </w:tcPr>
          <w:p w14:paraId="50AF5A02">
            <w:pPr>
              <w:rPr>
                <w:color w:val="auto"/>
                <w:highlight w:val="none"/>
              </w:rPr>
            </w:pPr>
          </w:p>
        </w:tc>
        <w:tc>
          <w:tcPr>
            <w:tcW w:w="4665" w:type="pct"/>
            <w:tcMar>
              <w:top w:w="0" w:type="dxa"/>
              <w:left w:w="57" w:type="dxa"/>
              <w:bottom w:w="0" w:type="dxa"/>
              <w:right w:w="57" w:type="dxa"/>
            </w:tcMar>
          </w:tcPr>
          <w:p w14:paraId="4C454A75">
            <w:pPr>
              <w:pStyle w:val="3"/>
              <w:ind w:firstLine="482"/>
              <w:rPr>
                <w:color w:val="auto"/>
                <w:highlight w:val="none"/>
              </w:rPr>
            </w:pPr>
            <w:r>
              <w:rPr>
                <w:rFonts w:hint="eastAsia"/>
                <w:color w:val="auto"/>
                <w:highlight w:val="none"/>
              </w:rPr>
              <w:t>3）废水处理设施可行性分析</w:t>
            </w:r>
          </w:p>
          <w:p w14:paraId="40DAA285">
            <w:pPr>
              <w:pStyle w:val="18"/>
              <w:rPr>
                <w:color w:val="auto"/>
                <w:highlight w:val="none"/>
              </w:rPr>
            </w:pPr>
            <w:r>
              <w:rPr>
                <w:rFonts w:hint="default" w:ascii="Times New Roman" w:hAnsi="Times New Roman" w:cs="Times New Roman"/>
                <w:b w:val="0"/>
                <w:bCs w:val="0"/>
                <w:color w:val="auto"/>
                <w:highlight w:val="none"/>
                <w:vertAlign w:val="baseline"/>
              </w:rPr>
              <w:t>①</w:t>
            </w:r>
            <w:r>
              <w:rPr>
                <w:rFonts w:hint="eastAsia"/>
                <w:color w:val="auto"/>
                <w:highlight w:val="none"/>
              </w:rPr>
              <w:t>生化池工艺可行性</w:t>
            </w:r>
          </w:p>
          <w:p w14:paraId="3059EB3A">
            <w:pPr>
              <w:pStyle w:val="18"/>
              <w:rPr>
                <w:color w:val="auto"/>
                <w:highlight w:val="none"/>
              </w:rPr>
            </w:pPr>
            <w:r>
              <w:rPr>
                <w:rFonts w:hint="eastAsia"/>
                <w:color w:val="auto"/>
                <w:highlight w:val="none"/>
                <w:lang w:val="en-US" w:eastAsia="zh-CN"/>
              </w:rPr>
              <w:t>项目生活废水、地面清洁废水进入已建生化池处理</w:t>
            </w:r>
            <w:r>
              <w:rPr>
                <w:rFonts w:hint="eastAsia"/>
                <w:color w:val="auto"/>
                <w:highlight w:val="none"/>
              </w:rPr>
              <w:t>达《污水综合排放标准》（GB8978-1996）三级标准后进入园区污水管网。项目排往生化池最大废水量为</w:t>
            </w:r>
            <w:r>
              <w:rPr>
                <w:rFonts w:hint="eastAsia"/>
                <w:color w:val="auto"/>
                <w:highlight w:val="none"/>
                <w:lang w:val="en-US" w:eastAsia="zh-CN"/>
              </w:rPr>
              <w:t>3.375</w:t>
            </w:r>
            <w:r>
              <w:rPr>
                <w:rFonts w:hint="eastAsia"/>
                <w:color w:val="auto"/>
                <w:highlight w:val="none"/>
              </w:rPr>
              <w:t>m</w:t>
            </w:r>
            <w:r>
              <w:rPr>
                <w:rFonts w:hint="eastAsia"/>
                <w:color w:val="auto"/>
                <w:highlight w:val="none"/>
                <w:vertAlign w:val="superscript"/>
              </w:rPr>
              <w:t>3</w:t>
            </w:r>
            <w:r>
              <w:rPr>
                <w:rFonts w:hint="eastAsia"/>
                <w:color w:val="auto"/>
                <w:highlight w:val="none"/>
              </w:rPr>
              <w:t>/d，</w:t>
            </w:r>
            <w:r>
              <w:rPr>
                <w:rFonts w:hint="eastAsia"/>
                <w:color w:val="auto"/>
                <w:highlight w:val="none"/>
                <w:lang w:val="en-US" w:eastAsia="zh-CN"/>
              </w:rPr>
              <w:t>厂区设置有多个生化池，供建设单位使用的生化池处理能力为6m</w:t>
            </w:r>
            <w:r>
              <w:rPr>
                <w:rFonts w:hint="eastAsia"/>
                <w:color w:val="auto"/>
                <w:highlight w:val="none"/>
                <w:vertAlign w:val="superscript"/>
                <w:lang w:val="en-US" w:eastAsia="zh-CN"/>
              </w:rPr>
              <w:t>3</w:t>
            </w:r>
            <w:r>
              <w:rPr>
                <w:rFonts w:hint="eastAsia"/>
                <w:color w:val="auto"/>
                <w:highlight w:val="none"/>
                <w:lang w:val="en-US" w:eastAsia="zh-CN"/>
              </w:rPr>
              <w:t>/d，</w:t>
            </w:r>
            <w:r>
              <w:rPr>
                <w:rFonts w:hint="eastAsia"/>
                <w:color w:val="auto"/>
                <w:highlight w:val="none"/>
              </w:rPr>
              <w:t>处理能力可行。项目主要污染物有pH、COD、BOD</w:t>
            </w:r>
            <w:r>
              <w:rPr>
                <w:rFonts w:hint="eastAsia"/>
                <w:color w:val="auto"/>
                <w:highlight w:val="none"/>
                <w:vertAlign w:val="subscript"/>
              </w:rPr>
              <w:t>5</w:t>
            </w:r>
            <w:r>
              <w:rPr>
                <w:rFonts w:hint="eastAsia"/>
                <w:color w:val="auto"/>
                <w:highlight w:val="none"/>
              </w:rPr>
              <w:t>、SS、氨氮</w:t>
            </w:r>
            <w:r>
              <w:rPr>
                <w:rFonts w:hint="eastAsia"/>
                <w:color w:val="auto"/>
                <w:highlight w:val="none"/>
                <w:lang w:eastAsia="zh-CN"/>
              </w:rPr>
              <w:t>、</w:t>
            </w:r>
            <w:r>
              <w:rPr>
                <w:rFonts w:hint="eastAsia"/>
                <w:color w:val="auto"/>
                <w:highlight w:val="none"/>
                <w:lang w:val="en-US" w:eastAsia="zh-CN"/>
              </w:rPr>
              <w:t>石油类、TP、TN</w:t>
            </w:r>
            <w:r>
              <w:rPr>
                <w:rFonts w:hint="eastAsia"/>
                <w:color w:val="auto"/>
                <w:highlight w:val="none"/>
              </w:rPr>
              <w:t>，废水排放量小，污染物浓度低，水质简单，可采用生化池处理。</w:t>
            </w:r>
            <w:r>
              <w:rPr>
                <w:rFonts w:hint="eastAsia" w:cs="Times New Roman"/>
                <w:color w:val="auto"/>
                <w:highlight w:val="none"/>
              </w:rPr>
              <w:t>根据《</w:t>
            </w:r>
            <w:r>
              <w:rPr>
                <w:rFonts w:hint="eastAsia"/>
                <w:color w:val="auto"/>
                <w:highlight w:val="none"/>
              </w:rPr>
              <w:t>排污许可证申请与核发技术规范 橡胶和塑料制品工业》（HJ 11</w:t>
            </w:r>
            <w:r>
              <w:rPr>
                <w:rFonts w:hint="eastAsia"/>
                <w:color w:val="auto"/>
                <w:highlight w:val="none"/>
                <w:lang w:val="en-US" w:eastAsia="zh-CN"/>
              </w:rPr>
              <w:t>22</w:t>
            </w:r>
            <w:r>
              <w:rPr>
                <w:rFonts w:hint="eastAsia"/>
                <w:color w:val="auto"/>
                <w:highlight w:val="none"/>
              </w:rPr>
              <w:t>-2020）</w:t>
            </w:r>
            <w:r>
              <w:rPr>
                <w:rFonts w:hint="eastAsia"/>
                <w:color w:val="auto"/>
                <w:highlight w:val="none"/>
                <w:lang w:eastAsia="zh-CN"/>
              </w:rPr>
              <w:t>，</w:t>
            </w:r>
            <w:r>
              <w:rPr>
                <w:rFonts w:hint="eastAsia"/>
                <w:color w:val="auto"/>
                <w:highlight w:val="none"/>
              </w:rPr>
              <w:t>厌氧生化池</w:t>
            </w:r>
            <w:r>
              <w:rPr>
                <w:rFonts w:hint="eastAsia"/>
                <w:color w:val="auto"/>
                <w:highlight w:val="none"/>
                <w:lang w:val="en-US" w:eastAsia="zh-CN"/>
              </w:rPr>
              <w:t>属于可行</w:t>
            </w:r>
            <w:r>
              <w:rPr>
                <w:rFonts w:hint="eastAsia"/>
                <w:color w:val="auto"/>
                <w:highlight w:val="none"/>
              </w:rPr>
              <w:t>处理技术。</w:t>
            </w:r>
          </w:p>
          <w:p w14:paraId="5835E88C">
            <w:pPr>
              <w:pStyle w:val="18"/>
              <w:rPr>
                <w:color w:val="auto"/>
                <w:highlight w:val="none"/>
              </w:rPr>
            </w:pPr>
            <w:r>
              <w:rPr>
                <w:rFonts w:hint="default" w:ascii="Times New Roman" w:hAnsi="Times New Roman" w:cs="Times New Roman"/>
                <w:color w:val="auto"/>
                <w:highlight w:val="none"/>
              </w:rPr>
              <w:t>②</w:t>
            </w:r>
            <w:r>
              <w:rPr>
                <w:rFonts w:hint="eastAsia"/>
                <w:color w:val="auto"/>
                <w:highlight w:val="none"/>
              </w:rPr>
              <w:t>依托西彭工业园区污水处理厂可行性</w:t>
            </w:r>
          </w:p>
          <w:p w14:paraId="7D03E96A">
            <w:pPr>
              <w:pStyle w:val="18"/>
              <w:widowControl w:val="0"/>
              <w:rPr>
                <w:color w:val="auto"/>
                <w:highlight w:val="none"/>
              </w:rPr>
            </w:pPr>
            <w:r>
              <w:rPr>
                <w:rFonts w:hint="eastAsia"/>
                <w:color w:val="auto"/>
                <w:highlight w:val="none"/>
              </w:rPr>
              <w:t>西彭工业园区污水处理厂位于西彭工业园区A64-3/01地块，占地面积3490m</w:t>
            </w:r>
            <w:r>
              <w:rPr>
                <w:rFonts w:hint="eastAsia"/>
                <w:color w:val="auto"/>
                <w:highlight w:val="none"/>
                <w:vertAlign w:val="superscript"/>
              </w:rPr>
              <w:t>2</w:t>
            </w:r>
            <w:r>
              <w:rPr>
                <w:rFonts w:hint="eastAsia"/>
                <w:color w:val="auto"/>
                <w:highlight w:val="none"/>
              </w:rPr>
              <w:t>，设计处理规模0.5万m</w:t>
            </w:r>
            <w:r>
              <w:rPr>
                <w:rFonts w:hint="eastAsia"/>
                <w:color w:val="auto"/>
                <w:highlight w:val="none"/>
                <w:vertAlign w:val="superscript"/>
              </w:rPr>
              <w:t>3</w:t>
            </w:r>
            <w:r>
              <w:rPr>
                <w:rFonts w:hint="eastAsia"/>
                <w:color w:val="auto"/>
                <w:highlight w:val="none"/>
              </w:rPr>
              <w:t>/d。污水处理厂于2014年9月通过验收，目前处理规模约0.40万m</w:t>
            </w:r>
            <w:r>
              <w:rPr>
                <w:rFonts w:hint="eastAsia"/>
                <w:color w:val="auto"/>
                <w:highlight w:val="none"/>
                <w:vertAlign w:val="superscript"/>
              </w:rPr>
              <w:t>3</w:t>
            </w:r>
            <w:r>
              <w:rPr>
                <w:rFonts w:hint="eastAsia"/>
                <w:color w:val="auto"/>
                <w:highlight w:val="none"/>
              </w:rPr>
              <w:t>/d，运行正常。</w:t>
            </w:r>
          </w:p>
          <w:p w14:paraId="7750709D">
            <w:pPr>
              <w:pStyle w:val="18"/>
              <w:widowControl w:val="0"/>
              <w:rPr>
                <w:color w:val="auto"/>
                <w:highlight w:val="none"/>
              </w:rPr>
            </w:pPr>
            <w:r>
              <w:rPr>
                <w:rFonts w:hint="eastAsia"/>
                <w:color w:val="auto"/>
                <w:highlight w:val="none"/>
              </w:rPr>
              <w:t>工艺可行性：西彭工业园区污水处理厂采用“水解酸化+生物接触氧化”工艺，出水水质可达《污水综合排放标准》（GB8978-1996）一级标准，西彭工业园区污水处理厂已经启动了西彭工业园区污水处理厂提标扩建工程。提标扩建后，COD、NH</w:t>
            </w:r>
            <w:r>
              <w:rPr>
                <w:rFonts w:hint="eastAsia"/>
                <w:color w:val="auto"/>
                <w:highlight w:val="none"/>
                <w:vertAlign w:val="subscript"/>
              </w:rPr>
              <w:t>3</w:t>
            </w:r>
            <w:r>
              <w:rPr>
                <w:rFonts w:hint="eastAsia"/>
                <w:color w:val="auto"/>
                <w:highlight w:val="none"/>
              </w:rPr>
              <w:t>-N、TP可达《地表水环境质量标准》（GB3838-2002）</w:t>
            </w:r>
            <w:r>
              <w:rPr>
                <w:rFonts w:hint="eastAsia"/>
                <w:color w:val="auto"/>
                <w:highlight w:val="none"/>
                <w:lang w:eastAsia="zh-CN"/>
              </w:rPr>
              <w:t>Ⅳ类</w:t>
            </w:r>
            <w:r>
              <w:rPr>
                <w:rFonts w:hint="eastAsia"/>
                <w:color w:val="auto"/>
                <w:highlight w:val="none"/>
              </w:rPr>
              <w:t>标准，其他因子执行《城镇污水处理厂污染物排放标准》（GB18918-2002）一级A标准。</w:t>
            </w:r>
          </w:p>
          <w:p w14:paraId="72EED9AA">
            <w:pPr>
              <w:pStyle w:val="18"/>
              <w:widowControl w:val="0"/>
              <w:rPr>
                <w:color w:val="auto"/>
                <w:highlight w:val="none"/>
              </w:rPr>
            </w:pPr>
            <w:r>
              <w:rPr>
                <w:rFonts w:hint="eastAsia"/>
                <w:color w:val="auto"/>
                <w:highlight w:val="none"/>
              </w:rPr>
              <w:t>处理能力可行性：西彭工业园区污水处理厂设计处理规模0.5万m</w:t>
            </w:r>
            <w:r>
              <w:rPr>
                <w:rFonts w:hint="eastAsia"/>
                <w:color w:val="auto"/>
                <w:highlight w:val="none"/>
                <w:vertAlign w:val="superscript"/>
              </w:rPr>
              <w:t>3</w:t>
            </w:r>
            <w:r>
              <w:rPr>
                <w:rFonts w:hint="eastAsia"/>
                <w:color w:val="auto"/>
                <w:highlight w:val="none"/>
              </w:rPr>
              <w:t>/d，目前处理规模约0.40万m</w:t>
            </w:r>
            <w:r>
              <w:rPr>
                <w:rFonts w:hint="eastAsia"/>
                <w:color w:val="auto"/>
                <w:highlight w:val="none"/>
                <w:vertAlign w:val="superscript"/>
              </w:rPr>
              <w:t>3</w:t>
            </w:r>
            <w:r>
              <w:rPr>
                <w:rFonts w:hint="eastAsia"/>
                <w:color w:val="auto"/>
                <w:highlight w:val="none"/>
              </w:rPr>
              <w:t>/d，运行正常，待西彭工业园区污水处理厂提标扩建完成后，处理规模将达到1.5万m</w:t>
            </w:r>
            <w:r>
              <w:rPr>
                <w:rFonts w:hint="eastAsia"/>
                <w:color w:val="auto"/>
                <w:highlight w:val="none"/>
                <w:vertAlign w:val="superscript"/>
              </w:rPr>
              <w:t>3</w:t>
            </w:r>
            <w:r>
              <w:rPr>
                <w:rFonts w:hint="eastAsia"/>
                <w:color w:val="auto"/>
                <w:highlight w:val="none"/>
              </w:rPr>
              <w:t>/d，</w:t>
            </w:r>
            <w:r>
              <w:rPr>
                <w:rFonts w:hint="eastAsia"/>
                <w:color w:val="auto"/>
                <w:highlight w:val="none"/>
                <w:lang w:eastAsia="zh-CN"/>
              </w:rPr>
              <w:t>项目</w:t>
            </w:r>
            <w:r>
              <w:rPr>
                <w:rFonts w:hint="eastAsia"/>
                <w:color w:val="auto"/>
                <w:highlight w:val="none"/>
              </w:rPr>
              <w:t>最大污水排放量为</w:t>
            </w:r>
            <w:r>
              <w:rPr>
                <w:rFonts w:hint="eastAsia"/>
                <w:color w:val="auto"/>
                <w:highlight w:val="none"/>
                <w:lang w:val="en-US" w:eastAsia="zh-CN"/>
              </w:rPr>
              <w:t>28.375</w:t>
            </w:r>
            <w:r>
              <w:rPr>
                <w:rFonts w:hint="eastAsia"/>
                <w:color w:val="auto"/>
                <w:highlight w:val="none"/>
              </w:rPr>
              <w:t>m</w:t>
            </w:r>
            <w:r>
              <w:rPr>
                <w:rFonts w:hint="eastAsia"/>
                <w:color w:val="auto"/>
                <w:highlight w:val="none"/>
                <w:vertAlign w:val="superscript"/>
              </w:rPr>
              <w:t>3</w:t>
            </w:r>
            <w:r>
              <w:rPr>
                <w:rFonts w:hint="eastAsia"/>
                <w:color w:val="auto"/>
                <w:highlight w:val="none"/>
              </w:rPr>
              <w:t>/d，</w:t>
            </w:r>
            <w:r>
              <w:rPr>
                <w:rFonts w:hint="eastAsia"/>
                <w:color w:val="auto"/>
                <w:highlight w:val="none"/>
                <w:lang w:val="en-US" w:eastAsia="zh-CN"/>
              </w:rPr>
              <w:t>日常废水排放量为3.375</w:t>
            </w:r>
            <w:r>
              <w:rPr>
                <w:rFonts w:hint="eastAsia"/>
                <w:color w:val="auto"/>
                <w:highlight w:val="none"/>
              </w:rPr>
              <w:t>m</w:t>
            </w:r>
            <w:r>
              <w:rPr>
                <w:rFonts w:hint="eastAsia"/>
                <w:color w:val="auto"/>
                <w:highlight w:val="none"/>
                <w:vertAlign w:val="superscript"/>
              </w:rPr>
              <w:t>3</w:t>
            </w:r>
            <w:r>
              <w:rPr>
                <w:rFonts w:hint="eastAsia"/>
                <w:color w:val="auto"/>
                <w:highlight w:val="none"/>
              </w:rPr>
              <w:t>/d</w:t>
            </w:r>
            <w:r>
              <w:rPr>
                <w:rFonts w:hint="eastAsia"/>
                <w:color w:val="auto"/>
                <w:highlight w:val="none"/>
                <w:lang w:eastAsia="zh-CN"/>
              </w:rPr>
              <w:t>，</w:t>
            </w:r>
            <w:r>
              <w:rPr>
                <w:rFonts w:hint="eastAsia"/>
                <w:color w:val="auto"/>
                <w:highlight w:val="none"/>
              </w:rPr>
              <w:t>占西彭工业园区污水处理厂处理能力的比例较小。项目外排废水达《污水综合排放标准》（GB 8978-1996）三级标准，满足污水处理厂的进水水质要求，对污水处理厂的水量、水质负荷冲击不大。</w:t>
            </w:r>
          </w:p>
          <w:p w14:paraId="7B2AF23A">
            <w:pPr>
              <w:pStyle w:val="18"/>
              <w:widowControl w:val="0"/>
              <w:rPr>
                <w:color w:val="auto"/>
                <w:highlight w:val="none"/>
              </w:rPr>
            </w:pPr>
            <w:r>
              <w:rPr>
                <w:rFonts w:hint="eastAsia"/>
                <w:color w:val="auto"/>
                <w:highlight w:val="none"/>
              </w:rPr>
              <w:t>接管可行性：目前西彭工业园区工业污水处理厂服务范围包括除西南铝企业外的西彭组团内其他企业产生的污废水。西彭工业园区污水处理厂沿铝城大道铺设有污水主干管，</w:t>
            </w:r>
            <w:r>
              <w:rPr>
                <w:rFonts w:hint="eastAsia"/>
                <w:color w:val="auto"/>
                <w:highlight w:val="none"/>
                <w:lang w:eastAsia="zh-CN"/>
              </w:rPr>
              <w:t>扩建项目</w:t>
            </w:r>
            <w:r>
              <w:rPr>
                <w:rFonts w:hint="eastAsia"/>
                <w:color w:val="auto"/>
                <w:highlight w:val="none"/>
              </w:rPr>
              <w:t>位于西彭工业园区西彭组团</w:t>
            </w:r>
            <w:r>
              <w:rPr>
                <w:rFonts w:hint="eastAsia"/>
                <w:color w:val="auto"/>
                <w:highlight w:val="none"/>
                <w:lang w:val="en-US" w:eastAsia="zh-CN"/>
              </w:rPr>
              <w:t>A</w:t>
            </w:r>
            <w:r>
              <w:rPr>
                <w:rFonts w:hint="eastAsia"/>
                <w:color w:val="auto"/>
                <w:highlight w:val="none"/>
              </w:rPr>
              <w:t>标准分区，属于西彭工业园区污水处理厂服务范围，企业所在地排水管网完善，接管可行。</w:t>
            </w:r>
          </w:p>
          <w:p w14:paraId="48844F50">
            <w:pPr>
              <w:pStyle w:val="18"/>
              <w:widowControl w:val="0"/>
              <w:rPr>
                <w:color w:val="auto"/>
                <w:highlight w:val="none"/>
              </w:rPr>
            </w:pPr>
            <w:r>
              <w:rPr>
                <w:rFonts w:hint="eastAsia"/>
                <w:color w:val="auto"/>
                <w:highlight w:val="none"/>
              </w:rPr>
              <w:t>综上，项目废水处理措施可行。</w:t>
            </w:r>
          </w:p>
          <w:p w14:paraId="1B1C6A8E">
            <w:pPr>
              <w:pStyle w:val="3"/>
              <w:ind w:firstLine="482"/>
              <w:rPr>
                <w:color w:val="auto"/>
                <w:highlight w:val="none"/>
              </w:rPr>
            </w:pPr>
            <w:r>
              <w:rPr>
                <w:rFonts w:hint="eastAsia"/>
                <w:color w:val="auto"/>
                <w:highlight w:val="none"/>
              </w:rPr>
              <w:t>4）废水监测计划</w:t>
            </w:r>
          </w:p>
          <w:p w14:paraId="32C39F06">
            <w:pPr>
              <w:pStyle w:val="18"/>
              <w:rPr>
                <w:color w:val="auto"/>
                <w:highlight w:val="none"/>
              </w:rPr>
            </w:pPr>
            <w:r>
              <w:rPr>
                <w:rFonts w:hint="eastAsia"/>
                <w:color w:val="auto"/>
                <w:highlight w:val="none"/>
                <w:lang w:val="en-US" w:eastAsia="zh-CN"/>
              </w:rPr>
              <w:t>根据</w:t>
            </w:r>
            <w:r>
              <w:rPr>
                <w:rFonts w:hint="eastAsia"/>
                <w:color w:val="auto"/>
                <w:sz w:val="24"/>
                <w:highlight w:val="none"/>
              </w:rPr>
              <w:t>《</w:t>
            </w:r>
            <w:r>
              <w:rPr>
                <w:color w:val="auto"/>
                <w:sz w:val="24"/>
                <w:highlight w:val="none"/>
              </w:rPr>
              <w:t>排污单位自行监测技术指南 橡胶和塑料制品</w:t>
            </w:r>
            <w:r>
              <w:rPr>
                <w:rFonts w:hint="eastAsia"/>
                <w:color w:val="auto"/>
                <w:sz w:val="24"/>
                <w:highlight w:val="none"/>
              </w:rPr>
              <w:t>》</w:t>
            </w:r>
            <w:r>
              <w:rPr>
                <w:color w:val="auto"/>
                <w:sz w:val="24"/>
                <w:highlight w:val="none"/>
              </w:rPr>
              <w:t>（</w:t>
            </w:r>
            <w:r>
              <w:rPr>
                <w:rFonts w:hint="eastAsia"/>
                <w:color w:val="auto"/>
                <w:sz w:val="24"/>
                <w:highlight w:val="none"/>
              </w:rPr>
              <w:t>HJ 1207-2021</w:t>
            </w:r>
            <w:r>
              <w:rPr>
                <w:color w:val="auto"/>
                <w:sz w:val="24"/>
                <w:highlight w:val="none"/>
              </w:rPr>
              <w:t>）</w:t>
            </w:r>
            <w:r>
              <w:rPr>
                <w:rFonts w:hint="eastAsia" w:cs="Times New Roman"/>
                <w:color w:val="auto"/>
                <w:highlight w:val="none"/>
                <w:lang w:val="en-US" w:eastAsia="zh-CN"/>
              </w:rPr>
              <w:t>，</w:t>
            </w:r>
            <w:r>
              <w:rPr>
                <w:rFonts w:hint="eastAsia"/>
                <w:color w:val="auto"/>
                <w:highlight w:val="none"/>
              </w:rPr>
              <w:t>制定出运营期废水监测计划详见</w:t>
            </w:r>
            <w:r>
              <w:rPr>
                <w:rFonts w:hint="eastAsia"/>
                <w:color w:val="auto"/>
                <w:highlight w:val="none"/>
              </w:rPr>
              <w:fldChar w:fldCharType="begin"/>
            </w:r>
            <w:r>
              <w:rPr>
                <w:rFonts w:hint="eastAsia"/>
                <w:color w:val="auto"/>
                <w:highlight w:val="none"/>
              </w:rPr>
              <w:instrText xml:space="preserve"> REF _Ref21401 \h </w:instrText>
            </w:r>
            <w:r>
              <w:rPr>
                <w:rFonts w:hint="eastAsia"/>
                <w:color w:val="auto"/>
                <w:highlight w:val="none"/>
              </w:rPr>
              <w:fldChar w:fldCharType="separate"/>
            </w:r>
            <w:r>
              <w:rPr>
                <w:color w:val="auto"/>
                <w:highlight w:val="none"/>
              </w:rPr>
              <w:t>表4-14</w:t>
            </w:r>
            <w:r>
              <w:rPr>
                <w:rFonts w:hint="eastAsia"/>
                <w:color w:val="auto"/>
                <w:highlight w:val="none"/>
              </w:rPr>
              <w:fldChar w:fldCharType="end"/>
            </w:r>
            <w:r>
              <w:rPr>
                <w:rFonts w:hint="eastAsia"/>
                <w:color w:val="auto"/>
                <w:highlight w:val="none"/>
              </w:rPr>
              <w:t>。</w:t>
            </w:r>
          </w:p>
          <w:p w14:paraId="1FED66BF">
            <w:pPr>
              <w:pStyle w:val="19"/>
              <w:spacing w:before="156"/>
              <w:rPr>
                <w:color w:val="auto"/>
                <w:highlight w:val="none"/>
              </w:rPr>
            </w:pPr>
            <w:bookmarkStart w:id="43" w:name="_Ref21401"/>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14</w:t>
            </w:r>
            <w:r>
              <w:rPr>
                <w:color w:val="auto"/>
                <w:highlight w:val="none"/>
              </w:rPr>
              <w:fldChar w:fldCharType="end"/>
            </w:r>
            <w:bookmarkEnd w:id="43"/>
            <w:r>
              <w:rPr>
                <w:rFonts w:hint="eastAsia"/>
                <w:color w:val="auto"/>
                <w:highlight w:val="none"/>
              </w:rPr>
              <w:t xml:space="preserve">  废水监测计划</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89"/>
              <w:gridCol w:w="1988"/>
              <w:gridCol w:w="1404"/>
              <w:gridCol w:w="982"/>
              <w:gridCol w:w="3385"/>
            </w:tblGrid>
            <w:tr w14:paraId="4D91F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07" w:type="pct"/>
                  <w:tcMar>
                    <w:top w:w="0" w:type="dxa"/>
                    <w:left w:w="57" w:type="dxa"/>
                    <w:bottom w:w="0" w:type="dxa"/>
                    <w:right w:w="57" w:type="dxa"/>
                  </w:tcMar>
                  <w:vAlign w:val="center"/>
                </w:tcPr>
                <w:p w14:paraId="1C8A4928">
                  <w:pPr>
                    <w:pStyle w:val="20"/>
                    <w:spacing w:before="31"/>
                    <w:rPr>
                      <w:b/>
                      <w:bCs/>
                      <w:color w:val="auto"/>
                      <w:highlight w:val="none"/>
                    </w:rPr>
                  </w:pPr>
                  <w:r>
                    <w:rPr>
                      <w:rFonts w:hint="eastAsia"/>
                      <w:b/>
                      <w:bCs/>
                      <w:color w:val="auto"/>
                      <w:highlight w:val="none"/>
                    </w:rPr>
                    <w:t>监测项目</w:t>
                  </w:r>
                </w:p>
              </w:tc>
              <w:tc>
                <w:tcPr>
                  <w:tcW w:w="1176" w:type="pct"/>
                  <w:tcMar>
                    <w:top w:w="0" w:type="dxa"/>
                    <w:left w:w="57" w:type="dxa"/>
                    <w:bottom w:w="0" w:type="dxa"/>
                    <w:right w:w="57" w:type="dxa"/>
                  </w:tcMar>
                  <w:vAlign w:val="center"/>
                </w:tcPr>
                <w:p w14:paraId="0D6BEECF">
                  <w:pPr>
                    <w:pStyle w:val="20"/>
                    <w:spacing w:before="31"/>
                    <w:rPr>
                      <w:b/>
                      <w:bCs/>
                      <w:color w:val="auto"/>
                      <w:highlight w:val="none"/>
                    </w:rPr>
                  </w:pPr>
                  <w:r>
                    <w:rPr>
                      <w:rFonts w:hint="eastAsia"/>
                      <w:b/>
                      <w:bCs/>
                      <w:color w:val="auto"/>
                      <w:highlight w:val="none"/>
                    </w:rPr>
                    <w:t>监测因子</w:t>
                  </w:r>
                </w:p>
              </w:tc>
              <w:tc>
                <w:tcPr>
                  <w:tcW w:w="830" w:type="pct"/>
                  <w:tcMar>
                    <w:top w:w="0" w:type="dxa"/>
                    <w:left w:w="57" w:type="dxa"/>
                    <w:bottom w:w="0" w:type="dxa"/>
                    <w:right w:w="57" w:type="dxa"/>
                  </w:tcMar>
                  <w:vAlign w:val="center"/>
                </w:tcPr>
                <w:p w14:paraId="25297FD2">
                  <w:pPr>
                    <w:pStyle w:val="20"/>
                    <w:spacing w:before="31"/>
                    <w:rPr>
                      <w:b/>
                      <w:bCs/>
                      <w:color w:val="auto"/>
                      <w:highlight w:val="none"/>
                    </w:rPr>
                  </w:pPr>
                  <w:r>
                    <w:rPr>
                      <w:rFonts w:hint="eastAsia"/>
                      <w:b/>
                      <w:bCs/>
                      <w:color w:val="auto"/>
                      <w:highlight w:val="none"/>
                    </w:rPr>
                    <w:t>监测点位</w:t>
                  </w:r>
                </w:p>
              </w:tc>
              <w:tc>
                <w:tcPr>
                  <w:tcW w:w="581" w:type="pct"/>
                  <w:tcMar>
                    <w:top w:w="0" w:type="dxa"/>
                    <w:left w:w="57" w:type="dxa"/>
                    <w:bottom w:w="0" w:type="dxa"/>
                    <w:right w:w="57" w:type="dxa"/>
                  </w:tcMar>
                  <w:vAlign w:val="center"/>
                </w:tcPr>
                <w:p w14:paraId="24173E50">
                  <w:pPr>
                    <w:pStyle w:val="20"/>
                    <w:spacing w:before="31"/>
                    <w:rPr>
                      <w:b/>
                      <w:bCs/>
                      <w:color w:val="auto"/>
                      <w:highlight w:val="none"/>
                    </w:rPr>
                  </w:pPr>
                  <w:r>
                    <w:rPr>
                      <w:rFonts w:hint="eastAsia"/>
                      <w:b/>
                      <w:bCs/>
                      <w:color w:val="auto"/>
                      <w:highlight w:val="none"/>
                    </w:rPr>
                    <w:t>监测频次</w:t>
                  </w:r>
                </w:p>
              </w:tc>
              <w:tc>
                <w:tcPr>
                  <w:tcW w:w="2003" w:type="pct"/>
                  <w:tcMar>
                    <w:top w:w="0" w:type="dxa"/>
                    <w:left w:w="57" w:type="dxa"/>
                    <w:bottom w:w="0" w:type="dxa"/>
                    <w:right w:w="57" w:type="dxa"/>
                  </w:tcMar>
                  <w:vAlign w:val="center"/>
                </w:tcPr>
                <w:p w14:paraId="2656D3FB">
                  <w:pPr>
                    <w:pStyle w:val="20"/>
                    <w:spacing w:before="31"/>
                    <w:rPr>
                      <w:b/>
                      <w:bCs/>
                      <w:color w:val="auto"/>
                      <w:highlight w:val="none"/>
                    </w:rPr>
                  </w:pPr>
                  <w:r>
                    <w:rPr>
                      <w:rFonts w:hint="eastAsia"/>
                      <w:b/>
                      <w:bCs/>
                      <w:color w:val="auto"/>
                      <w:highlight w:val="none"/>
                    </w:rPr>
                    <w:t>执行标准</w:t>
                  </w:r>
                </w:p>
              </w:tc>
            </w:tr>
            <w:tr w14:paraId="0DADA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83" w:hRule="atLeast"/>
              </w:trPr>
              <w:tc>
                <w:tcPr>
                  <w:tcW w:w="407" w:type="pct"/>
                  <w:tcMar>
                    <w:top w:w="0" w:type="dxa"/>
                    <w:left w:w="57" w:type="dxa"/>
                    <w:bottom w:w="0" w:type="dxa"/>
                    <w:right w:w="57" w:type="dxa"/>
                  </w:tcMar>
                  <w:vAlign w:val="center"/>
                </w:tcPr>
                <w:p w14:paraId="5D5C1F6A">
                  <w:pPr>
                    <w:pStyle w:val="20"/>
                    <w:spacing w:before="31"/>
                    <w:rPr>
                      <w:rFonts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综合</w:t>
                  </w:r>
                  <w:r>
                    <w:rPr>
                      <w:rFonts w:hint="eastAsia"/>
                      <w:color w:val="auto"/>
                      <w:highlight w:val="none"/>
                    </w:rPr>
                    <w:t>废水</w:t>
                  </w:r>
                </w:p>
              </w:tc>
              <w:tc>
                <w:tcPr>
                  <w:tcW w:w="1176" w:type="pct"/>
                  <w:tcMar>
                    <w:top w:w="0" w:type="dxa"/>
                    <w:left w:w="57" w:type="dxa"/>
                    <w:bottom w:w="0" w:type="dxa"/>
                    <w:right w:w="57" w:type="dxa"/>
                  </w:tcMar>
                  <w:vAlign w:val="center"/>
                </w:tcPr>
                <w:p w14:paraId="066588E4">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pH、COD、BOD</w:t>
                  </w:r>
                  <w:r>
                    <w:rPr>
                      <w:rFonts w:hint="eastAsia"/>
                      <w:color w:val="auto"/>
                      <w:highlight w:val="none"/>
                      <w:vertAlign w:val="subscript"/>
                    </w:rPr>
                    <w:t>5</w:t>
                  </w:r>
                  <w:r>
                    <w:rPr>
                      <w:rFonts w:hint="eastAsia"/>
                      <w:color w:val="auto"/>
                      <w:highlight w:val="none"/>
                    </w:rPr>
                    <w:t>、SS、</w:t>
                  </w:r>
                  <w:r>
                    <w:rPr>
                      <w:rFonts w:hint="eastAsia"/>
                      <w:color w:val="auto"/>
                      <w:highlight w:val="none"/>
                      <w:lang w:val="en-US" w:eastAsia="zh-CN"/>
                    </w:rPr>
                    <w:t>氨氮、</w:t>
                  </w:r>
                  <w:r>
                    <w:rPr>
                      <w:rFonts w:hint="eastAsia"/>
                      <w:color w:val="auto"/>
                      <w:highlight w:val="none"/>
                    </w:rPr>
                    <w:t>石油类</w:t>
                  </w:r>
                  <w:r>
                    <w:rPr>
                      <w:rFonts w:hint="eastAsia"/>
                      <w:color w:val="auto"/>
                      <w:highlight w:val="none"/>
                      <w:lang w:eastAsia="zh-CN"/>
                    </w:rPr>
                    <w:t>、</w:t>
                  </w:r>
                  <w:r>
                    <w:rPr>
                      <w:rFonts w:hint="eastAsia"/>
                      <w:color w:val="auto"/>
                      <w:highlight w:val="none"/>
                      <w:lang w:val="en-US" w:eastAsia="zh-CN"/>
                    </w:rPr>
                    <w:t>TP、TN</w:t>
                  </w:r>
                </w:p>
              </w:tc>
              <w:tc>
                <w:tcPr>
                  <w:tcW w:w="830" w:type="pct"/>
                  <w:tcMar>
                    <w:top w:w="0" w:type="dxa"/>
                    <w:left w:w="57" w:type="dxa"/>
                    <w:bottom w:w="0" w:type="dxa"/>
                    <w:right w:w="57" w:type="dxa"/>
                  </w:tcMar>
                  <w:vAlign w:val="center"/>
                </w:tcPr>
                <w:p w14:paraId="0C4EE022">
                  <w:pPr>
                    <w:pStyle w:val="20"/>
                    <w:spacing w:before="31"/>
                    <w:rPr>
                      <w:rFonts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综合</w:t>
                  </w:r>
                  <w:r>
                    <w:rPr>
                      <w:rFonts w:hint="eastAsia"/>
                      <w:color w:val="auto"/>
                      <w:highlight w:val="none"/>
                    </w:rPr>
                    <w:t>废水排放口</w:t>
                  </w:r>
                </w:p>
              </w:tc>
              <w:tc>
                <w:tcPr>
                  <w:tcW w:w="581" w:type="pct"/>
                  <w:tcMar>
                    <w:top w:w="0" w:type="dxa"/>
                    <w:left w:w="57" w:type="dxa"/>
                    <w:bottom w:w="0" w:type="dxa"/>
                    <w:right w:w="57" w:type="dxa"/>
                  </w:tcMar>
                  <w:vAlign w:val="center"/>
                </w:tcPr>
                <w:p w14:paraId="3B383EB0">
                  <w:pPr>
                    <w:pStyle w:val="20"/>
                    <w:spacing w:before="31"/>
                    <w:rPr>
                      <w:rFonts w:ascii="Times New Roman" w:hAnsi="Times New Roman" w:eastAsia="宋体" w:cs="宋体"/>
                      <w:color w:val="auto"/>
                      <w:kern w:val="2"/>
                      <w:sz w:val="21"/>
                      <w:szCs w:val="21"/>
                      <w:highlight w:val="none"/>
                      <w:lang w:val="en-US" w:eastAsia="zh-CN" w:bidi="ar-SA"/>
                    </w:rPr>
                  </w:pPr>
                  <w:r>
                    <w:rPr>
                      <w:color w:val="auto"/>
                      <w:highlight w:val="none"/>
                    </w:rPr>
                    <w:t>1次/年</w:t>
                  </w:r>
                </w:p>
              </w:tc>
              <w:tc>
                <w:tcPr>
                  <w:tcW w:w="2003" w:type="pct"/>
                  <w:tcMar>
                    <w:top w:w="0" w:type="dxa"/>
                    <w:left w:w="57" w:type="dxa"/>
                    <w:bottom w:w="0" w:type="dxa"/>
                    <w:right w:w="57" w:type="dxa"/>
                  </w:tcMar>
                  <w:vAlign w:val="center"/>
                </w:tcPr>
                <w:p w14:paraId="5D89FCC8">
                  <w:pPr>
                    <w:pStyle w:val="20"/>
                    <w:spacing w:before="31"/>
                    <w:jc w:val="both"/>
                    <w:rPr>
                      <w:color w:val="auto"/>
                      <w:highlight w:val="none"/>
                    </w:rPr>
                  </w:pPr>
                  <w:r>
                    <w:rPr>
                      <w:rFonts w:hint="eastAsia"/>
                      <w:color w:val="auto"/>
                      <w:highlight w:val="none"/>
                    </w:rPr>
                    <w:t>《污水综合排放标准》（GB8978-1996）三级标准，其中氨氮、</w:t>
                  </w:r>
                  <w:r>
                    <w:rPr>
                      <w:rFonts w:hint="eastAsia"/>
                      <w:color w:val="auto"/>
                      <w:highlight w:val="none"/>
                      <w:lang w:val="en-US" w:eastAsia="zh-CN"/>
                    </w:rPr>
                    <w:t>TP</w:t>
                  </w:r>
                  <w:r>
                    <w:rPr>
                      <w:rFonts w:hint="eastAsia"/>
                      <w:color w:val="auto"/>
                      <w:highlight w:val="none"/>
                    </w:rPr>
                    <w:t>执行《污水排入城镇下水道水质标准》（GB/T31962-2015）</w:t>
                  </w:r>
                </w:p>
              </w:tc>
            </w:tr>
          </w:tbl>
          <w:p w14:paraId="1EBA6522">
            <w:pPr>
              <w:pStyle w:val="2"/>
              <w:numPr>
                <w:ilvl w:val="0"/>
                <w:numId w:val="10"/>
              </w:numPr>
              <w:spacing w:before="156"/>
              <w:rPr>
                <w:rFonts w:hint="eastAsia" w:ascii="Times New Roman" w:hAnsi="Times New Roman" w:eastAsia="宋体" w:cs="Times New Roman"/>
                <w:b/>
                <w:bCs/>
                <w:color w:val="auto"/>
                <w:highlight w:val="none"/>
              </w:rPr>
            </w:pPr>
            <w:r>
              <w:rPr>
                <w:rFonts w:hint="eastAsia" w:ascii="Times New Roman" w:hAnsi="Times New Roman" w:eastAsia="宋体" w:cs="Times New Roman"/>
                <w:b/>
                <w:bCs/>
                <w:color w:val="auto"/>
                <w:highlight w:val="none"/>
              </w:rPr>
              <w:t>噪声</w:t>
            </w:r>
          </w:p>
          <w:p w14:paraId="4770FA48">
            <w:pPr>
              <w:pStyle w:val="3"/>
              <w:ind w:firstLine="482"/>
              <w:rPr>
                <w:color w:val="auto"/>
                <w:highlight w:val="none"/>
              </w:rPr>
            </w:pPr>
            <w:r>
              <w:rPr>
                <w:rFonts w:hint="eastAsia"/>
                <w:color w:val="auto"/>
                <w:highlight w:val="none"/>
              </w:rPr>
              <w:t>1）噪声污染源源强核算结果</w:t>
            </w:r>
          </w:p>
          <w:p w14:paraId="40DDD0A9">
            <w:pPr>
              <w:pStyle w:val="18"/>
              <w:rPr>
                <w:color w:val="auto"/>
                <w:highlight w:val="none"/>
              </w:rPr>
            </w:pPr>
            <w:r>
              <w:rPr>
                <w:rFonts w:hint="eastAsia"/>
                <w:color w:val="auto"/>
                <w:highlight w:val="none"/>
              </w:rPr>
              <w:t>项目设备噪声主要来自风机、空压机、</w:t>
            </w:r>
            <w:r>
              <w:rPr>
                <w:rFonts w:hint="eastAsia"/>
                <w:color w:val="auto"/>
                <w:highlight w:val="none"/>
                <w:lang w:val="en-US" w:eastAsia="zh-CN"/>
              </w:rPr>
              <w:t>冷却塔、破碎机</w:t>
            </w:r>
            <w:r>
              <w:rPr>
                <w:rFonts w:hint="eastAsia"/>
                <w:color w:val="auto"/>
                <w:highlight w:val="none"/>
              </w:rPr>
              <w:t>等设备运行产生的噪声。根据设备资料及类比同类项目，设备噪声值约为</w:t>
            </w:r>
            <w:r>
              <w:rPr>
                <w:rFonts w:hint="eastAsia"/>
                <w:color w:val="auto"/>
                <w:highlight w:val="none"/>
                <w:lang w:val="en-US" w:eastAsia="zh-CN"/>
              </w:rPr>
              <w:t>70</w:t>
            </w:r>
            <w:r>
              <w:rPr>
                <w:rFonts w:hint="eastAsia"/>
                <w:color w:val="auto"/>
                <w:highlight w:val="none"/>
              </w:rPr>
              <w:t>-</w:t>
            </w:r>
            <w:r>
              <w:rPr>
                <w:rFonts w:hint="eastAsia"/>
                <w:color w:val="auto"/>
                <w:highlight w:val="none"/>
                <w:lang w:val="en-US" w:eastAsia="zh-CN"/>
              </w:rPr>
              <w:t>80</w:t>
            </w:r>
            <w:r>
              <w:rPr>
                <w:rFonts w:hint="eastAsia"/>
                <w:color w:val="auto"/>
                <w:highlight w:val="none"/>
              </w:rPr>
              <w:t>dB(A)。针对噪声源的特点，通过采取基础减振、墙体隔声和消声降噪，最大幅度降低噪声</w:t>
            </w:r>
            <w:r>
              <w:rPr>
                <w:rFonts w:hint="eastAsia"/>
                <w:color w:val="auto"/>
                <w:highlight w:val="none"/>
                <w:lang w:eastAsia="zh-CN"/>
              </w:rPr>
              <w:t>，</w:t>
            </w:r>
            <w:r>
              <w:rPr>
                <w:rFonts w:hint="eastAsia"/>
                <w:color w:val="auto"/>
                <w:highlight w:val="none"/>
                <w:lang w:val="en-US" w:eastAsia="zh-CN"/>
              </w:rPr>
              <w:t>库房建筑物</w:t>
            </w:r>
            <w:r>
              <w:rPr>
                <w:color w:val="auto"/>
                <w:sz w:val="24"/>
                <w:szCs w:val="24"/>
                <w:highlight w:val="none"/>
              </w:rPr>
              <w:t>隔声预计可降低</w:t>
            </w:r>
            <w:r>
              <w:rPr>
                <w:rFonts w:hint="eastAsia"/>
                <w:color w:val="auto"/>
                <w:sz w:val="24"/>
                <w:szCs w:val="24"/>
                <w:highlight w:val="none"/>
                <w:lang w:val="en-US" w:eastAsia="zh-CN"/>
              </w:rPr>
              <w:t>1</w:t>
            </w:r>
            <w:r>
              <w:rPr>
                <w:color w:val="auto"/>
                <w:sz w:val="24"/>
                <w:szCs w:val="24"/>
                <w:highlight w:val="none"/>
              </w:rPr>
              <w:t>5dB(A)</w:t>
            </w:r>
            <w:r>
              <w:rPr>
                <w:rFonts w:hint="eastAsia"/>
                <w:color w:val="auto"/>
                <w:sz w:val="24"/>
                <w:szCs w:val="24"/>
                <w:highlight w:val="none"/>
                <w:lang w:eastAsia="zh-CN"/>
              </w:rPr>
              <w:t>，</w:t>
            </w:r>
            <w:r>
              <w:rPr>
                <w:rFonts w:hint="eastAsia"/>
                <w:color w:val="auto"/>
                <w:sz w:val="24"/>
                <w:szCs w:val="24"/>
                <w:highlight w:val="none"/>
                <w:lang w:val="en-US" w:eastAsia="zh-CN"/>
              </w:rPr>
              <w:t>厂房建筑物</w:t>
            </w:r>
            <w:r>
              <w:rPr>
                <w:color w:val="auto"/>
                <w:sz w:val="24"/>
                <w:szCs w:val="24"/>
                <w:highlight w:val="none"/>
              </w:rPr>
              <w:t>隔声预计可降低</w:t>
            </w:r>
            <w:r>
              <w:rPr>
                <w:rFonts w:hint="eastAsia"/>
                <w:color w:val="auto"/>
                <w:sz w:val="24"/>
                <w:szCs w:val="24"/>
                <w:highlight w:val="none"/>
                <w:lang w:val="en-US" w:eastAsia="zh-CN"/>
              </w:rPr>
              <w:t>20</w:t>
            </w:r>
            <w:r>
              <w:rPr>
                <w:color w:val="auto"/>
                <w:sz w:val="24"/>
                <w:szCs w:val="24"/>
                <w:highlight w:val="none"/>
              </w:rPr>
              <w:t>dB(A)</w:t>
            </w:r>
            <w:r>
              <w:rPr>
                <w:rFonts w:hint="eastAsia"/>
                <w:color w:val="auto"/>
                <w:sz w:val="24"/>
                <w:szCs w:val="24"/>
                <w:highlight w:val="none"/>
                <w:lang w:eastAsia="zh-CN"/>
              </w:rPr>
              <w:t>，</w:t>
            </w:r>
            <w:r>
              <w:rPr>
                <w:rFonts w:hint="eastAsia"/>
                <w:color w:val="auto"/>
                <w:sz w:val="24"/>
                <w:szCs w:val="24"/>
                <w:highlight w:val="none"/>
                <w:lang w:val="en-US" w:eastAsia="zh-CN"/>
              </w:rPr>
              <w:t>厂房东侧门窗隔声</w:t>
            </w:r>
            <w:r>
              <w:rPr>
                <w:color w:val="auto"/>
                <w:sz w:val="24"/>
                <w:szCs w:val="24"/>
                <w:highlight w:val="none"/>
              </w:rPr>
              <w:t>降低</w:t>
            </w:r>
            <w:r>
              <w:rPr>
                <w:rFonts w:hint="eastAsia"/>
                <w:color w:val="auto"/>
                <w:sz w:val="24"/>
                <w:szCs w:val="24"/>
                <w:highlight w:val="none"/>
                <w:lang w:val="en-US" w:eastAsia="zh-CN"/>
              </w:rPr>
              <w:t>10</w:t>
            </w:r>
            <w:r>
              <w:rPr>
                <w:color w:val="auto"/>
                <w:sz w:val="24"/>
                <w:szCs w:val="24"/>
                <w:highlight w:val="none"/>
              </w:rPr>
              <w:t>dB(A)左右</w:t>
            </w:r>
            <w:r>
              <w:rPr>
                <w:rFonts w:hint="eastAsia"/>
                <w:color w:val="auto"/>
                <w:sz w:val="24"/>
                <w:szCs w:val="24"/>
                <w:highlight w:val="none"/>
                <w:lang w:eastAsia="zh-CN"/>
              </w:rPr>
              <w:t>，</w:t>
            </w:r>
            <w:r>
              <w:rPr>
                <w:rFonts w:hint="eastAsia"/>
                <w:color w:val="auto"/>
                <w:sz w:val="24"/>
                <w:szCs w:val="24"/>
                <w:highlight w:val="none"/>
                <w:lang w:val="en-US" w:eastAsia="zh-CN"/>
              </w:rPr>
              <w:t>空压机设置在空压机房内，隔声约10</w:t>
            </w:r>
            <w:r>
              <w:rPr>
                <w:color w:val="auto"/>
                <w:sz w:val="24"/>
                <w:szCs w:val="24"/>
                <w:highlight w:val="none"/>
              </w:rPr>
              <w:t>dB(A)左右</w:t>
            </w:r>
            <w:r>
              <w:rPr>
                <w:rFonts w:hint="eastAsia"/>
                <w:color w:val="auto"/>
                <w:highlight w:val="none"/>
              </w:rPr>
              <w:t>。噪声源强调查清单见</w:t>
            </w:r>
            <w:r>
              <w:rPr>
                <w:rFonts w:hint="eastAsia"/>
                <w:color w:val="auto"/>
                <w:highlight w:val="none"/>
              </w:rPr>
              <w:fldChar w:fldCharType="begin"/>
            </w:r>
            <w:r>
              <w:rPr>
                <w:rFonts w:hint="eastAsia"/>
                <w:color w:val="auto"/>
                <w:highlight w:val="none"/>
              </w:rPr>
              <w:instrText xml:space="preserve"> REF _Ref17901 \h </w:instrText>
            </w:r>
            <w:r>
              <w:rPr>
                <w:rFonts w:hint="eastAsia"/>
                <w:color w:val="auto"/>
                <w:highlight w:val="none"/>
              </w:rPr>
              <w:fldChar w:fldCharType="separate"/>
            </w:r>
            <w:r>
              <w:rPr>
                <w:rFonts w:hint="default"/>
                <w:color w:val="auto"/>
                <w:highlight w:val="none"/>
              </w:rPr>
              <w:t>表4-15</w:t>
            </w:r>
            <w:r>
              <w:rPr>
                <w:rFonts w:hint="eastAsia"/>
                <w:color w:val="auto"/>
                <w:highlight w:val="none"/>
              </w:rPr>
              <w:fldChar w:fldCharType="end"/>
            </w:r>
            <w:r>
              <w:rPr>
                <w:rFonts w:hint="eastAsia"/>
                <w:color w:val="auto"/>
                <w:highlight w:val="none"/>
                <w:lang w:eastAsia="zh-CN"/>
              </w:rPr>
              <w:t>、</w:t>
            </w:r>
            <w:r>
              <w:rPr>
                <w:rFonts w:hint="eastAsia"/>
                <w:color w:val="auto"/>
                <w:highlight w:val="none"/>
                <w:lang w:eastAsia="zh-CN"/>
              </w:rPr>
              <w:fldChar w:fldCharType="begin"/>
            </w:r>
            <w:r>
              <w:rPr>
                <w:rFonts w:hint="eastAsia"/>
                <w:color w:val="auto"/>
                <w:highlight w:val="none"/>
                <w:lang w:eastAsia="zh-CN"/>
              </w:rPr>
              <w:instrText xml:space="preserve"> REF _Ref17907 \h </w:instrText>
            </w:r>
            <w:r>
              <w:rPr>
                <w:rFonts w:hint="eastAsia"/>
                <w:color w:val="auto"/>
                <w:highlight w:val="none"/>
                <w:lang w:eastAsia="zh-CN"/>
              </w:rPr>
              <w:fldChar w:fldCharType="separate"/>
            </w:r>
            <w:r>
              <w:rPr>
                <w:rFonts w:hint="default"/>
                <w:color w:val="auto"/>
                <w:highlight w:val="none"/>
              </w:rPr>
              <w:t>表4-16</w:t>
            </w:r>
            <w:r>
              <w:rPr>
                <w:rFonts w:hint="eastAsia"/>
                <w:color w:val="auto"/>
                <w:highlight w:val="none"/>
                <w:lang w:eastAsia="zh-CN"/>
              </w:rPr>
              <w:fldChar w:fldCharType="end"/>
            </w:r>
            <w:r>
              <w:rPr>
                <w:rFonts w:hint="eastAsia"/>
                <w:color w:val="auto"/>
                <w:highlight w:val="none"/>
              </w:rPr>
              <w:t>。</w:t>
            </w:r>
          </w:p>
          <w:p w14:paraId="0BD524E0">
            <w:pPr>
              <w:pStyle w:val="19"/>
              <w:keepNext w:val="0"/>
              <w:keepLines w:val="0"/>
              <w:suppressLineNumbers w:val="0"/>
              <w:spacing w:before="156" w:beforeAutospacing="0" w:after="0" w:afterAutospacing="0"/>
              <w:ind w:left="0" w:right="0"/>
              <w:rPr>
                <w:rFonts w:hint="eastAsia"/>
                <w:color w:val="auto"/>
                <w:highlight w:val="none"/>
              </w:rPr>
            </w:pPr>
            <w:bookmarkStart w:id="44" w:name="_Ref17901"/>
            <w:r>
              <w:rPr>
                <w:rFonts w:hint="default"/>
                <w:color w:val="auto"/>
                <w:highlight w:val="none"/>
              </w:rPr>
              <w:t>表4-</w:t>
            </w:r>
            <w:r>
              <w:rPr>
                <w:rFonts w:hint="default"/>
                <w:color w:val="auto"/>
                <w:highlight w:val="none"/>
              </w:rPr>
              <w:fldChar w:fldCharType="begin"/>
            </w:r>
            <w:r>
              <w:rPr>
                <w:rFonts w:hint="default"/>
                <w:color w:val="auto"/>
                <w:highlight w:val="none"/>
              </w:rPr>
              <w:instrText xml:space="preserve"> SEQ 表4- \* ARABIC </w:instrText>
            </w:r>
            <w:r>
              <w:rPr>
                <w:rFonts w:hint="default"/>
                <w:color w:val="auto"/>
                <w:highlight w:val="none"/>
              </w:rPr>
              <w:fldChar w:fldCharType="separate"/>
            </w:r>
            <w:r>
              <w:rPr>
                <w:rFonts w:hint="default"/>
                <w:color w:val="auto"/>
                <w:highlight w:val="none"/>
              </w:rPr>
              <w:t>15</w:t>
            </w:r>
            <w:r>
              <w:rPr>
                <w:rFonts w:hint="default"/>
                <w:color w:val="auto"/>
                <w:highlight w:val="none"/>
              </w:rPr>
              <w:fldChar w:fldCharType="end"/>
            </w:r>
            <w:bookmarkEnd w:id="44"/>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工业企业噪声源强调查清单（室</w:t>
            </w:r>
            <w:r>
              <w:rPr>
                <w:rFonts w:hint="eastAsia"/>
                <w:color w:val="auto"/>
                <w:highlight w:val="none"/>
                <w:lang w:val="en-US" w:eastAsia="zh-CN"/>
              </w:rPr>
              <w:t>外</w:t>
            </w:r>
            <w:r>
              <w:rPr>
                <w:rFonts w:hint="eastAsia"/>
                <w:color w:val="auto"/>
                <w:highlight w:val="none"/>
              </w:rPr>
              <w:t>声源）</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57" w:type="dxa"/>
                <w:bottom w:w="0" w:type="dxa"/>
                <w:right w:w="57" w:type="dxa"/>
              </w:tblCellMar>
            </w:tblPr>
            <w:tblGrid>
              <w:gridCol w:w="635"/>
              <w:gridCol w:w="1264"/>
              <w:gridCol w:w="859"/>
              <w:gridCol w:w="859"/>
              <w:gridCol w:w="864"/>
              <w:gridCol w:w="1783"/>
              <w:gridCol w:w="1127"/>
              <w:gridCol w:w="1057"/>
            </w:tblGrid>
            <w:tr w14:paraId="3DF02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580" w:hRule="exact"/>
              </w:trPr>
              <w:tc>
                <w:tcPr>
                  <w:tcW w:w="375" w:type="pct"/>
                  <w:vMerge w:val="restart"/>
                  <w:shd w:val="clear" w:color="auto" w:fill="auto"/>
                  <w:vAlign w:val="center"/>
                </w:tcPr>
                <w:p w14:paraId="03A8727F">
                  <w:pPr>
                    <w:pStyle w:val="20"/>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序号</w:t>
                  </w:r>
                </w:p>
              </w:tc>
              <w:tc>
                <w:tcPr>
                  <w:tcW w:w="748" w:type="pct"/>
                  <w:vMerge w:val="restart"/>
                  <w:shd w:val="clear" w:color="auto" w:fill="auto"/>
                  <w:vAlign w:val="center"/>
                </w:tcPr>
                <w:p w14:paraId="18BE491E">
                  <w:pPr>
                    <w:pStyle w:val="20"/>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声源名称</w:t>
                  </w:r>
                </w:p>
              </w:tc>
              <w:tc>
                <w:tcPr>
                  <w:tcW w:w="1528" w:type="pct"/>
                  <w:gridSpan w:val="3"/>
                  <w:shd w:val="clear" w:color="auto" w:fill="auto"/>
                  <w:vAlign w:val="center"/>
                </w:tcPr>
                <w:p w14:paraId="0FDB3B1D">
                  <w:pPr>
                    <w:pStyle w:val="20"/>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空间相对位置/m</w:t>
                  </w:r>
                </w:p>
              </w:tc>
              <w:tc>
                <w:tcPr>
                  <w:tcW w:w="1055" w:type="pct"/>
                  <w:shd w:val="clear" w:color="auto" w:fill="auto"/>
                  <w:vAlign w:val="center"/>
                </w:tcPr>
                <w:p w14:paraId="7AFD2E0F">
                  <w:pPr>
                    <w:pStyle w:val="20"/>
                    <w:keepNext w:val="0"/>
                    <w:keepLines w:val="0"/>
                    <w:suppressLineNumbers w:val="0"/>
                    <w:bidi w:val="0"/>
                    <w:spacing w:before="0" w:beforeAutospacing="0" w:after="0" w:afterAutospacing="0"/>
                    <w:ind w:left="0" w:right="0"/>
                    <w:rPr>
                      <w:rFonts w:hint="default"/>
                      <w:b/>
                      <w:bCs/>
                      <w:color w:val="auto"/>
                      <w:highlight w:val="none"/>
                      <w:lang w:eastAsia="zh-CN"/>
                    </w:rPr>
                  </w:pPr>
                  <w:r>
                    <w:rPr>
                      <w:rFonts w:hint="default"/>
                      <w:b/>
                      <w:bCs/>
                      <w:color w:val="auto"/>
                      <w:highlight w:val="none"/>
                      <w:lang w:eastAsia="zh-CN"/>
                    </w:rPr>
                    <w:t>声源源强</w:t>
                  </w:r>
                </w:p>
              </w:tc>
              <w:tc>
                <w:tcPr>
                  <w:tcW w:w="667" w:type="pct"/>
                  <w:vMerge w:val="restart"/>
                  <w:shd w:val="clear" w:color="auto" w:fill="auto"/>
                  <w:vAlign w:val="center"/>
                </w:tcPr>
                <w:p w14:paraId="5B2CF627">
                  <w:pPr>
                    <w:pStyle w:val="20"/>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声源控制措施</w:t>
                  </w:r>
                </w:p>
              </w:tc>
              <w:tc>
                <w:tcPr>
                  <w:tcW w:w="625" w:type="pct"/>
                  <w:vMerge w:val="restart"/>
                  <w:shd w:val="clear" w:color="auto" w:fill="auto"/>
                  <w:vAlign w:val="center"/>
                </w:tcPr>
                <w:p w14:paraId="30149199">
                  <w:pPr>
                    <w:pStyle w:val="20"/>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运行时段</w:t>
                  </w:r>
                </w:p>
              </w:tc>
            </w:tr>
            <w:tr w14:paraId="0C24F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482" w:hRule="atLeast"/>
              </w:trPr>
              <w:tc>
                <w:tcPr>
                  <w:tcW w:w="375" w:type="pct"/>
                  <w:vMerge w:val="continue"/>
                  <w:shd w:val="clear" w:color="auto" w:fill="auto"/>
                  <w:vAlign w:val="center"/>
                </w:tcPr>
                <w:p w14:paraId="1066BEEC">
                  <w:pPr>
                    <w:pStyle w:val="20"/>
                    <w:keepNext w:val="0"/>
                    <w:keepLines w:val="0"/>
                    <w:suppressLineNumbers w:val="0"/>
                    <w:bidi w:val="0"/>
                    <w:spacing w:before="0" w:beforeAutospacing="0" w:after="0" w:afterAutospacing="0"/>
                    <w:ind w:left="0" w:right="0"/>
                    <w:rPr>
                      <w:rFonts w:hint="default"/>
                      <w:b/>
                      <w:bCs/>
                      <w:color w:val="auto"/>
                      <w:highlight w:val="none"/>
                    </w:rPr>
                  </w:pPr>
                </w:p>
              </w:tc>
              <w:tc>
                <w:tcPr>
                  <w:tcW w:w="748" w:type="pct"/>
                  <w:vMerge w:val="continue"/>
                  <w:shd w:val="clear" w:color="auto" w:fill="auto"/>
                  <w:vAlign w:val="center"/>
                </w:tcPr>
                <w:p w14:paraId="08B38B67">
                  <w:pPr>
                    <w:pStyle w:val="20"/>
                    <w:keepNext w:val="0"/>
                    <w:keepLines w:val="0"/>
                    <w:suppressLineNumbers w:val="0"/>
                    <w:bidi w:val="0"/>
                    <w:spacing w:before="0" w:beforeAutospacing="0" w:after="0" w:afterAutospacing="0"/>
                    <w:ind w:left="0" w:right="0"/>
                    <w:rPr>
                      <w:rFonts w:hint="default"/>
                      <w:b/>
                      <w:bCs/>
                      <w:color w:val="auto"/>
                      <w:highlight w:val="none"/>
                    </w:rPr>
                  </w:pPr>
                </w:p>
              </w:tc>
              <w:tc>
                <w:tcPr>
                  <w:tcW w:w="508" w:type="pct"/>
                  <w:shd w:val="clear" w:color="auto" w:fill="auto"/>
                  <w:vAlign w:val="center"/>
                </w:tcPr>
                <w:p w14:paraId="3CD0D9CD">
                  <w:pPr>
                    <w:pStyle w:val="20"/>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X</w:t>
                  </w:r>
                </w:p>
              </w:tc>
              <w:tc>
                <w:tcPr>
                  <w:tcW w:w="508" w:type="pct"/>
                  <w:shd w:val="clear" w:color="auto" w:fill="auto"/>
                  <w:vAlign w:val="center"/>
                </w:tcPr>
                <w:p w14:paraId="1CFD70C6">
                  <w:pPr>
                    <w:pStyle w:val="20"/>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Y</w:t>
                  </w:r>
                </w:p>
              </w:tc>
              <w:tc>
                <w:tcPr>
                  <w:tcW w:w="511" w:type="pct"/>
                  <w:shd w:val="clear" w:color="auto" w:fill="auto"/>
                  <w:vAlign w:val="center"/>
                </w:tcPr>
                <w:p w14:paraId="08862270">
                  <w:pPr>
                    <w:pStyle w:val="20"/>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Z</w:t>
                  </w:r>
                </w:p>
              </w:tc>
              <w:tc>
                <w:tcPr>
                  <w:tcW w:w="1055" w:type="pct"/>
                  <w:shd w:val="clear" w:color="auto" w:fill="auto"/>
                  <w:vAlign w:val="center"/>
                </w:tcPr>
                <w:p w14:paraId="679F7FED">
                  <w:pPr>
                    <w:pStyle w:val="20"/>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声功率级/dB(A)</w:t>
                  </w:r>
                </w:p>
              </w:tc>
              <w:tc>
                <w:tcPr>
                  <w:tcW w:w="667" w:type="pct"/>
                  <w:vMerge w:val="continue"/>
                  <w:shd w:val="clear" w:color="auto" w:fill="auto"/>
                  <w:vAlign w:val="center"/>
                </w:tcPr>
                <w:p w14:paraId="0E131A51">
                  <w:pPr>
                    <w:pStyle w:val="20"/>
                    <w:keepNext w:val="0"/>
                    <w:keepLines w:val="0"/>
                    <w:suppressLineNumbers w:val="0"/>
                    <w:bidi w:val="0"/>
                    <w:spacing w:before="0" w:beforeAutospacing="0" w:after="0" w:afterAutospacing="0"/>
                    <w:ind w:left="0" w:right="0"/>
                    <w:rPr>
                      <w:rFonts w:hint="default"/>
                      <w:color w:val="auto"/>
                      <w:highlight w:val="none"/>
                    </w:rPr>
                  </w:pPr>
                </w:p>
              </w:tc>
              <w:tc>
                <w:tcPr>
                  <w:tcW w:w="625" w:type="pct"/>
                  <w:vMerge w:val="continue"/>
                  <w:shd w:val="clear" w:color="auto" w:fill="auto"/>
                  <w:vAlign w:val="center"/>
                </w:tcPr>
                <w:p w14:paraId="3839367C">
                  <w:pPr>
                    <w:pStyle w:val="20"/>
                    <w:keepNext w:val="0"/>
                    <w:keepLines w:val="0"/>
                    <w:suppressLineNumbers w:val="0"/>
                    <w:bidi w:val="0"/>
                    <w:spacing w:before="0" w:beforeAutospacing="0" w:after="0" w:afterAutospacing="0"/>
                    <w:ind w:left="0" w:right="0"/>
                    <w:rPr>
                      <w:rFonts w:hint="default"/>
                      <w:color w:val="auto"/>
                      <w:highlight w:val="none"/>
                    </w:rPr>
                  </w:pPr>
                </w:p>
              </w:tc>
            </w:tr>
            <w:tr w14:paraId="1F8FB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trPr>
              <w:tc>
                <w:tcPr>
                  <w:tcW w:w="375" w:type="pct"/>
                  <w:shd w:val="clear" w:color="auto" w:fill="auto"/>
                  <w:vAlign w:val="center"/>
                </w:tcPr>
                <w:p w14:paraId="1F96A73E">
                  <w:pPr>
                    <w:pStyle w:val="20"/>
                    <w:bidi w:val="0"/>
                    <w:rPr>
                      <w:rFonts w:hint="eastAsia"/>
                      <w:color w:val="auto"/>
                      <w:highlight w:val="none"/>
                      <w:lang w:eastAsia="zh-CN"/>
                    </w:rPr>
                  </w:pPr>
                  <w:r>
                    <w:rPr>
                      <w:color w:val="auto"/>
                      <w:highlight w:val="none"/>
                    </w:rPr>
                    <w:t>1</w:t>
                  </w:r>
                </w:p>
              </w:tc>
              <w:tc>
                <w:tcPr>
                  <w:tcW w:w="748" w:type="pct"/>
                  <w:shd w:val="clear" w:color="auto" w:fill="auto"/>
                  <w:vAlign w:val="center"/>
                </w:tcPr>
                <w:p w14:paraId="31E1070B">
                  <w:pPr>
                    <w:pStyle w:val="20"/>
                    <w:bidi w:val="0"/>
                    <w:rPr>
                      <w:rFonts w:hint="default"/>
                      <w:color w:val="auto"/>
                      <w:highlight w:val="none"/>
                    </w:rPr>
                  </w:pPr>
                  <w:r>
                    <w:rPr>
                      <w:color w:val="auto"/>
                      <w:highlight w:val="none"/>
                    </w:rPr>
                    <w:t>注塑风机</w:t>
                  </w:r>
                </w:p>
              </w:tc>
              <w:tc>
                <w:tcPr>
                  <w:tcW w:w="859" w:type="dxa"/>
                  <w:shd w:val="clear" w:color="auto" w:fill="auto"/>
                  <w:vAlign w:val="center"/>
                </w:tcPr>
                <w:p w14:paraId="7DE32AC6">
                  <w:pPr>
                    <w:pStyle w:val="20"/>
                    <w:bidi w:val="0"/>
                    <w:rPr>
                      <w:rFonts w:hint="default"/>
                      <w:color w:val="auto"/>
                      <w:highlight w:val="none"/>
                    </w:rPr>
                  </w:pPr>
                  <w:r>
                    <w:rPr>
                      <w:color w:val="auto"/>
                      <w:highlight w:val="none"/>
                    </w:rPr>
                    <w:t>9.3</w:t>
                  </w:r>
                </w:p>
              </w:tc>
              <w:tc>
                <w:tcPr>
                  <w:tcW w:w="859" w:type="dxa"/>
                  <w:shd w:val="clear" w:color="auto" w:fill="auto"/>
                  <w:vAlign w:val="center"/>
                </w:tcPr>
                <w:p w14:paraId="1AADCBC8">
                  <w:pPr>
                    <w:pStyle w:val="20"/>
                    <w:bidi w:val="0"/>
                    <w:rPr>
                      <w:rFonts w:hint="default"/>
                      <w:color w:val="auto"/>
                      <w:highlight w:val="none"/>
                    </w:rPr>
                  </w:pPr>
                  <w:r>
                    <w:rPr>
                      <w:color w:val="auto"/>
                      <w:highlight w:val="none"/>
                    </w:rPr>
                    <w:t>-52.6</w:t>
                  </w:r>
                </w:p>
              </w:tc>
              <w:tc>
                <w:tcPr>
                  <w:tcW w:w="864" w:type="dxa"/>
                  <w:shd w:val="clear" w:color="auto" w:fill="auto"/>
                  <w:vAlign w:val="center"/>
                </w:tcPr>
                <w:p w14:paraId="0FAF3E01">
                  <w:pPr>
                    <w:pStyle w:val="20"/>
                    <w:bidi w:val="0"/>
                    <w:rPr>
                      <w:rFonts w:hint="default"/>
                      <w:color w:val="auto"/>
                      <w:highlight w:val="none"/>
                    </w:rPr>
                  </w:pPr>
                  <w:r>
                    <w:rPr>
                      <w:color w:val="auto"/>
                      <w:highlight w:val="none"/>
                    </w:rPr>
                    <w:t>1.2</w:t>
                  </w:r>
                </w:p>
              </w:tc>
              <w:tc>
                <w:tcPr>
                  <w:tcW w:w="1055" w:type="pct"/>
                  <w:shd w:val="clear" w:color="auto" w:fill="auto"/>
                  <w:vAlign w:val="center"/>
                </w:tcPr>
                <w:p w14:paraId="56303511">
                  <w:pPr>
                    <w:pStyle w:val="20"/>
                    <w:bidi w:val="0"/>
                    <w:rPr>
                      <w:rFonts w:hint="default"/>
                      <w:color w:val="auto"/>
                      <w:highlight w:val="none"/>
                    </w:rPr>
                  </w:pPr>
                  <w:r>
                    <w:rPr>
                      <w:color w:val="auto"/>
                      <w:highlight w:val="none"/>
                    </w:rPr>
                    <w:t>75</w:t>
                  </w:r>
                </w:p>
              </w:tc>
              <w:tc>
                <w:tcPr>
                  <w:tcW w:w="667" w:type="pct"/>
                  <w:shd w:val="clear" w:color="auto" w:fill="auto"/>
                  <w:vAlign w:val="center"/>
                </w:tcPr>
                <w:p w14:paraId="36AB307F">
                  <w:pPr>
                    <w:pStyle w:val="20"/>
                    <w:bidi w:val="0"/>
                    <w:rPr>
                      <w:rFonts w:hint="default"/>
                      <w:color w:val="auto"/>
                      <w:highlight w:val="none"/>
                    </w:rPr>
                  </w:pPr>
                  <w:r>
                    <w:rPr>
                      <w:rFonts w:hint="eastAsia"/>
                      <w:color w:val="auto"/>
                      <w:highlight w:val="none"/>
                      <w:lang w:val="en-US" w:eastAsia="zh-CN"/>
                    </w:rPr>
                    <w:t>基础减震</w:t>
                  </w:r>
                </w:p>
              </w:tc>
              <w:tc>
                <w:tcPr>
                  <w:tcW w:w="625" w:type="pct"/>
                  <w:shd w:val="clear" w:color="auto" w:fill="auto"/>
                  <w:vAlign w:val="center"/>
                </w:tcPr>
                <w:p w14:paraId="4A4C2011">
                  <w:pPr>
                    <w:pStyle w:val="20"/>
                    <w:bidi w:val="0"/>
                    <w:rPr>
                      <w:rFonts w:hint="default"/>
                      <w:color w:val="auto"/>
                      <w:highlight w:val="none"/>
                    </w:rPr>
                  </w:pPr>
                  <w:r>
                    <w:rPr>
                      <w:rFonts w:hint="eastAsia"/>
                      <w:color w:val="auto"/>
                      <w:highlight w:val="none"/>
                      <w:lang w:val="en-US" w:eastAsia="zh-CN"/>
                    </w:rPr>
                    <w:t>昼夜</w:t>
                  </w:r>
                </w:p>
              </w:tc>
            </w:tr>
            <w:tr w14:paraId="05621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trPr>
              <w:tc>
                <w:tcPr>
                  <w:tcW w:w="375" w:type="pct"/>
                  <w:shd w:val="clear" w:color="auto" w:fill="auto"/>
                  <w:vAlign w:val="center"/>
                </w:tcPr>
                <w:p w14:paraId="563AA48F">
                  <w:pPr>
                    <w:pStyle w:val="20"/>
                    <w:bidi w:val="0"/>
                    <w:rPr>
                      <w:rFonts w:hint="eastAsia"/>
                      <w:color w:val="auto"/>
                      <w:highlight w:val="none"/>
                      <w:lang w:eastAsia="zh-CN"/>
                    </w:rPr>
                  </w:pPr>
                  <w:r>
                    <w:rPr>
                      <w:color w:val="auto"/>
                      <w:highlight w:val="none"/>
                    </w:rPr>
                    <w:t>2</w:t>
                  </w:r>
                </w:p>
              </w:tc>
              <w:tc>
                <w:tcPr>
                  <w:tcW w:w="748" w:type="pct"/>
                  <w:shd w:val="clear" w:color="auto" w:fill="auto"/>
                  <w:vAlign w:val="center"/>
                </w:tcPr>
                <w:p w14:paraId="5BB82310">
                  <w:pPr>
                    <w:pStyle w:val="20"/>
                    <w:bidi w:val="0"/>
                    <w:rPr>
                      <w:rFonts w:hint="default"/>
                      <w:color w:val="auto"/>
                      <w:highlight w:val="none"/>
                    </w:rPr>
                  </w:pPr>
                  <w:r>
                    <w:rPr>
                      <w:color w:val="auto"/>
                      <w:highlight w:val="none"/>
                    </w:rPr>
                    <w:t>冷却塔1</w:t>
                  </w:r>
                </w:p>
              </w:tc>
              <w:tc>
                <w:tcPr>
                  <w:tcW w:w="859" w:type="dxa"/>
                  <w:shd w:val="clear" w:color="auto" w:fill="auto"/>
                  <w:vAlign w:val="center"/>
                </w:tcPr>
                <w:p w14:paraId="39A30ED7">
                  <w:pPr>
                    <w:pStyle w:val="20"/>
                    <w:bidi w:val="0"/>
                    <w:rPr>
                      <w:rFonts w:hint="default"/>
                      <w:color w:val="auto"/>
                      <w:highlight w:val="none"/>
                    </w:rPr>
                  </w:pPr>
                  <w:r>
                    <w:rPr>
                      <w:color w:val="auto"/>
                      <w:highlight w:val="none"/>
                    </w:rPr>
                    <w:t>12.2</w:t>
                  </w:r>
                </w:p>
              </w:tc>
              <w:tc>
                <w:tcPr>
                  <w:tcW w:w="859" w:type="dxa"/>
                  <w:shd w:val="clear" w:color="auto" w:fill="auto"/>
                  <w:vAlign w:val="center"/>
                </w:tcPr>
                <w:p w14:paraId="123857E0">
                  <w:pPr>
                    <w:pStyle w:val="20"/>
                    <w:bidi w:val="0"/>
                    <w:rPr>
                      <w:rFonts w:hint="default"/>
                      <w:color w:val="auto"/>
                      <w:highlight w:val="none"/>
                    </w:rPr>
                  </w:pPr>
                  <w:r>
                    <w:rPr>
                      <w:color w:val="auto"/>
                      <w:highlight w:val="none"/>
                    </w:rPr>
                    <w:t>-84.2</w:t>
                  </w:r>
                </w:p>
              </w:tc>
              <w:tc>
                <w:tcPr>
                  <w:tcW w:w="864" w:type="dxa"/>
                  <w:shd w:val="clear" w:color="auto" w:fill="auto"/>
                  <w:vAlign w:val="center"/>
                </w:tcPr>
                <w:p w14:paraId="136F3ED5">
                  <w:pPr>
                    <w:pStyle w:val="20"/>
                    <w:bidi w:val="0"/>
                    <w:rPr>
                      <w:rFonts w:hint="default"/>
                      <w:color w:val="auto"/>
                      <w:highlight w:val="none"/>
                    </w:rPr>
                  </w:pPr>
                  <w:r>
                    <w:rPr>
                      <w:color w:val="auto"/>
                      <w:highlight w:val="none"/>
                    </w:rPr>
                    <w:t>2.5</w:t>
                  </w:r>
                </w:p>
              </w:tc>
              <w:tc>
                <w:tcPr>
                  <w:tcW w:w="1055" w:type="pct"/>
                  <w:shd w:val="clear" w:color="auto" w:fill="auto"/>
                  <w:vAlign w:val="center"/>
                </w:tcPr>
                <w:p w14:paraId="478DC4F7">
                  <w:pPr>
                    <w:pStyle w:val="20"/>
                    <w:bidi w:val="0"/>
                    <w:rPr>
                      <w:rFonts w:hint="default"/>
                      <w:color w:val="auto"/>
                      <w:highlight w:val="none"/>
                    </w:rPr>
                  </w:pPr>
                  <w:r>
                    <w:rPr>
                      <w:color w:val="auto"/>
                      <w:highlight w:val="none"/>
                    </w:rPr>
                    <w:t>70</w:t>
                  </w:r>
                </w:p>
              </w:tc>
              <w:tc>
                <w:tcPr>
                  <w:tcW w:w="667" w:type="pct"/>
                  <w:shd w:val="clear" w:color="auto" w:fill="auto"/>
                  <w:vAlign w:val="center"/>
                </w:tcPr>
                <w:p w14:paraId="6AFC5DC1">
                  <w:pPr>
                    <w:pStyle w:val="20"/>
                    <w:bidi w:val="0"/>
                    <w:rPr>
                      <w:rFonts w:hint="default"/>
                      <w:color w:val="auto"/>
                      <w:highlight w:val="none"/>
                    </w:rPr>
                  </w:pPr>
                  <w:r>
                    <w:rPr>
                      <w:rFonts w:hint="eastAsia"/>
                      <w:color w:val="auto"/>
                      <w:highlight w:val="none"/>
                      <w:lang w:val="en-US" w:eastAsia="zh-CN"/>
                    </w:rPr>
                    <w:t>基础减震</w:t>
                  </w:r>
                </w:p>
              </w:tc>
              <w:tc>
                <w:tcPr>
                  <w:tcW w:w="625" w:type="pct"/>
                  <w:shd w:val="clear" w:color="auto" w:fill="auto"/>
                  <w:vAlign w:val="center"/>
                </w:tcPr>
                <w:p w14:paraId="7F84DF9A">
                  <w:pPr>
                    <w:pStyle w:val="20"/>
                    <w:bidi w:val="0"/>
                    <w:rPr>
                      <w:rFonts w:hint="eastAsia"/>
                      <w:color w:val="auto"/>
                      <w:highlight w:val="none"/>
                      <w:lang w:val="en-US" w:eastAsia="zh-CN"/>
                    </w:rPr>
                  </w:pPr>
                  <w:r>
                    <w:rPr>
                      <w:rFonts w:hint="eastAsia"/>
                      <w:color w:val="auto"/>
                      <w:highlight w:val="none"/>
                      <w:lang w:val="en-US" w:eastAsia="zh-CN"/>
                    </w:rPr>
                    <w:t>昼夜</w:t>
                  </w:r>
                </w:p>
              </w:tc>
            </w:tr>
            <w:tr w14:paraId="5FA66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trPr>
              <w:tc>
                <w:tcPr>
                  <w:tcW w:w="375" w:type="pct"/>
                  <w:shd w:val="clear" w:color="auto" w:fill="auto"/>
                  <w:vAlign w:val="center"/>
                </w:tcPr>
                <w:p w14:paraId="6E432A66">
                  <w:pPr>
                    <w:pStyle w:val="20"/>
                    <w:bidi w:val="0"/>
                    <w:rPr>
                      <w:rFonts w:hint="eastAsia"/>
                      <w:color w:val="auto"/>
                      <w:highlight w:val="none"/>
                      <w:lang w:val="en-US" w:eastAsia="zh-CN"/>
                    </w:rPr>
                  </w:pPr>
                  <w:r>
                    <w:rPr>
                      <w:color w:val="auto"/>
                      <w:highlight w:val="none"/>
                    </w:rPr>
                    <w:t>3</w:t>
                  </w:r>
                </w:p>
              </w:tc>
              <w:tc>
                <w:tcPr>
                  <w:tcW w:w="748" w:type="pct"/>
                  <w:shd w:val="clear" w:color="auto" w:fill="auto"/>
                  <w:vAlign w:val="center"/>
                </w:tcPr>
                <w:p w14:paraId="3A5362E8">
                  <w:pPr>
                    <w:pStyle w:val="20"/>
                    <w:bidi w:val="0"/>
                    <w:rPr>
                      <w:rFonts w:hint="default"/>
                      <w:color w:val="auto"/>
                      <w:highlight w:val="none"/>
                    </w:rPr>
                  </w:pPr>
                  <w:r>
                    <w:rPr>
                      <w:color w:val="auto"/>
                      <w:highlight w:val="none"/>
                    </w:rPr>
                    <w:t>冷却塔2</w:t>
                  </w:r>
                </w:p>
              </w:tc>
              <w:tc>
                <w:tcPr>
                  <w:tcW w:w="859" w:type="dxa"/>
                  <w:shd w:val="clear" w:color="auto" w:fill="auto"/>
                  <w:vAlign w:val="center"/>
                </w:tcPr>
                <w:p w14:paraId="6D48E52E">
                  <w:pPr>
                    <w:pStyle w:val="20"/>
                    <w:bidi w:val="0"/>
                    <w:rPr>
                      <w:rFonts w:hint="default"/>
                      <w:color w:val="auto"/>
                      <w:highlight w:val="none"/>
                    </w:rPr>
                  </w:pPr>
                  <w:r>
                    <w:rPr>
                      <w:color w:val="auto"/>
                      <w:highlight w:val="none"/>
                    </w:rPr>
                    <w:t>-11.1</w:t>
                  </w:r>
                </w:p>
              </w:tc>
              <w:tc>
                <w:tcPr>
                  <w:tcW w:w="859" w:type="dxa"/>
                  <w:shd w:val="clear" w:color="auto" w:fill="auto"/>
                  <w:vAlign w:val="center"/>
                </w:tcPr>
                <w:p w14:paraId="23F41A02">
                  <w:pPr>
                    <w:pStyle w:val="20"/>
                    <w:bidi w:val="0"/>
                    <w:rPr>
                      <w:rFonts w:hint="default"/>
                      <w:color w:val="auto"/>
                      <w:highlight w:val="none"/>
                    </w:rPr>
                  </w:pPr>
                  <w:r>
                    <w:rPr>
                      <w:color w:val="auto"/>
                      <w:highlight w:val="none"/>
                    </w:rPr>
                    <w:t>-81</w:t>
                  </w:r>
                </w:p>
              </w:tc>
              <w:tc>
                <w:tcPr>
                  <w:tcW w:w="864" w:type="dxa"/>
                  <w:shd w:val="clear" w:color="auto" w:fill="auto"/>
                  <w:vAlign w:val="center"/>
                </w:tcPr>
                <w:p w14:paraId="1579926D">
                  <w:pPr>
                    <w:pStyle w:val="20"/>
                    <w:bidi w:val="0"/>
                    <w:rPr>
                      <w:rFonts w:hint="default"/>
                      <w:color w:val="auto"/>
                      <w:highlight w:val="none"/>
                    </w:rPr>
                  </w:pPr>
                  <w:r>
                    <w:rPr>
                      <w:color w:val="auto"/>
                      <w:highlight w:val="none"/>
                    </w:rPr>
                    <w:t>1.2</w:t>
                  </w:r>
                </w:p>
              </w:tc>
              <w:tc>
                <w:tcPr>
                  <w:tcW w:w="1055" w:type="pct"/>
                  <w:shd w:val="clear" w:color="auto" w:fill="auto"/>
                  <w:vAlign w:val="center"/>
                </w:tcPr>
                <w:p w14:paraId="3279A985">
                  <w:pPr>
                    <w:pStyle w:val="20"/>
                    <w:bidi w:val="0"/>
                    <w:rPr>
                      <w:rFonts w:hint="default"/>
                      <w:color w:val="auto"/>
                      <w:highlight w:val="none"/>
                    </w:rPr>
                  </w:pPr>
                  <w:r>
                    <w:rPr>
                      <w:color w:val="auto"/>
                      <w:highlight w:val="none"/>
                    </w:rPr>
                    <w:t>70</w:t>
                  </w:r>
                </w:p>
              </w:tc>
              <w:tc>
                <w:tcPr>
                  <w:tcW w:w="667" w:type="pct"/>
                  <w:shd w:val="clear" w:color="auto" w:fill="auto"/>
                  <w:vAlign w:val="center"/>
                </w:tcPr>
                <w:p w14:paraId="5C9606F0">
                  <w:pPr>
                    <w:pStyle w:val="20"/>
                    <w:bidi w:val="0"/>
                    <w:rPr>
                      <w:rFonts w:hint="default" w:eastAsia="宋体"/>
                      <w:color w:val="auto"/>
                      <w:highlight w:val="none"/>
                      <w:lang w:val="en-US" w:eastAsia="zh-CN"/>
                    </w:rPr>
                  </w:pPr>
                  <w:r>
                    <w:rPr>
                      <w:rFonts w:hint="eastAsia"/>
                      <w:color w:val="auto"/>
                      <w:highlight w:val="none"/>
                      <w:lang w:val="en-US" w:eastAsia="zh-CN"/>
                    </w:rPr>
                    <w:t>基础减震</w:t>
                  </w:r>
                </w:p>
              </w:tc>
              <w:tc>
                <w:tcPr>
                  <w:tcW w:w="625" w:type="pct"/>
                  <w:shd w:val="clear" w:color="auto" w:fill="auto"/>
                  <w:vAlign w:val="center"/>
                </w:tcPr>
                <w:p w14:paraId="20B07305">
                  <w:pPr>
                    <w:pStyle w:val="20"/>
                    <w:bidi w:val="0"/>
                    <w:rPr>
                      <w:rFonts w:hint="eastAsia"/>
                      <w:color w:val="auto"/>
                      <w:highlight w:val="none"/>
                      <w:lang w:val="en-US" w:eastAsia="zh-CN"/>
                    </w:rPr>
                  </w:pPr>
                  <w:r>
                    <w:rPr>
                      <w:rFonts w:hint="eastAsia"/>
                      <w:color w:val="auto"/>
                      <w:highlight w:val="none"/>
                      <w:lang w:val="en-US" w:eastAsia="zh-CN"/>
                    </w:rPr>
                    <w:t>昼夜</w:t>
                  </w:r>
                </w:p>
              </w:tc>
            </w:tr>
            <w:tr w14:paraId="7017A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trPr>
              <w:tc>
                <w:tcPr>
                  <w:tcW w:w="375" w:type="pct"/>
                  <w:shd w:val="clear" w:color="auto" w:fill="auto"/>
                  <w:vAlign w:val="center"/>
                </w:tcPr>
                <w:p w14:paraId="0C4E2D52">
                  <w:pPr>
                    <w:pStyle w:val="20"/>
                    <w:bidi w:val="0"/>
                    <w:rPr>
                      <w:rFonts w:hint="eastAsia"/>
                      <w:color w:val="auto"/>
                      <w:highlight w:val="none"/>
                      <w:lang w:val="en-US" w:eastAsia="zh-CN"/>
                    </w:rPr>
                  </w:pPr>
                  <w:r>
                    <w:rPr>
                      <w:color w:val="auto"/>
                      <w:highlight w:val="none"/>
                    </w:rPr>
                    <w:t>4</w:t>
                  </w:r>
                </w:p>
              </w:tc>
              <w:tc>
                <w:tcPr>
                  <w:tcW w:w="1264" w:type="dxa"/>
                  <w:shd w:val="clear" w:color="auto" w:fill="auto"/>
                  <w:vAlign w:val="center"/>
                </w:tcPr>
                <w:p w14:paraId="1D37F397">
                  <w:pPr>
                    <w:pStyle w:val="20"/>
                    <w:bidi w:val="0"/>
                    <w:rPr>
                      <w:rFonts w:hint="default"/>
                      <w:color w:val="auto"/>
                      <w:highlight w:val="none"/>
                    </w:rPr>
                  </w:pPr>
                  <w:r>
                    <w:rPr>
                      <w:color w:val="auto"/>
                      <w:highlight w:val="none"/>
                    </w:rPr>
                    <w:t>空压机1</w:t>
                  </w:r>
                </w:p>
              </w:tc>
              <w:tc>
                <w:tcPr>
                  <w:tcW w:w="859" w:type="dxa"/>
                  <w:shd w:val="clear" w:color="auto" w:fill="auto"/>
                  <w:vAlign w:val="center"/>
                </w:tcPr>
                <w:p w14:paraId="763842A3">
                  <w:pPr>
                    <w:pStyle w:val="20"/>
                    <w:bidi w:val="0"/>
                    <w:rPr>
                      <w:rFonts w:hint="default"/>
                      <w:color w:val="auto"/>
                      <w:highlight w:val="none"/>
                    </w:rPr>
                  </w:pPr>
                  <w:r>
                    <w:rPr>
                      <w:color w:val="auto"/>
                      <w:highlight w:val="none"/>
                    </w:rPr>
                    <w:t>13.9</w:t>
                  </w:r>
                </w:p>
              </w:tc>
              <w:tc>
                <w:tcPr>
                  <w:tcW w:w="859" w:type="dxa"/>
                  <w:shd w:val="clear" w:color="auto" w:fill="auto"/>
                  <w:vAlign w:val="center"/>
                </w:tcPr>
                <w:p w14:paraId="30E924A4">
                  <w:pPr>
                    <w:pStyle w:val="20"/>
                    <w:bidi w:val="0"/>
                    <w:rPr>
                      <w:rFonts w:hint="default"/>
                      <w:color w:val="auto"/>
                      <w:highlight w:val="none"/>
                    </w:rPr>
                  </w:pPr>
                  <w:r>
                    <w:rPr>
                      <w:color w:val="auto"/>
                      <w:highlight w:val="none"/>
                    </w:rPr>
                    <w:t>-83.1</w:t>
                  </w:r>
                </w:p>
              </w:tc>
              <w:tc>
                <w:tcPr>
                  <w:tcW w:w="864" w:type="dxa"/>
                  <w:shd w:val="clear" w:color="auto" w:fill="auto"/>
                  <w:vAlign w:val="center"/>
                </w:tcPr>
                <w:p w14:paraId="690647D5">
                  <w:pPr>
                    <w:pStyle w:val="20"/>
                    <w:bidi w:val="0"/>
                    <w:rPr>
                      <w:rFonts w:hint="default"/>
                      <w:color w:val="auto"/>
                      <w:highlight w:val="none"/>
                    </w:rPr>
                  </w:pPr>
                  <w:r>
                    <w:rPr>
                      <w:color w:val="auto"/>
                      <w:highlight w:val="none"/>
                    </w:rPr>
                    <w:t>1.2</w:t>
                  </w:r>
                </w:p>
              </w:tc>
              <w:tc>
                <w:tcPr>
                  <w:tcW w:w="1055" w:type="pct"/>
                  <w:shd w:val="clear" w:color="auto" w:fill="auto"/>
                  <w:vAlign w:val="center"/>
                </w:tcPr>
                <w:p w14:paraId="44C8DC83">
                  <w:pPr>
                    <w:pStyle w:val="20"/>
                    <w:bidi w:val="0"/>
                    <w:rPr>
                      <w:rFonts w:hint="default"/>
                      <w:color w:val="auto"/>
                      <w:highlight w:val="none"/>
                    </w:rPr>
                  </w:pPr>
                  <w:r>
                    <w:rPr>
                      <w:color w:val="auto"/>
                      <w:highlight w:val="none"/>
                    </w:rPr>
                    <w:t>75</w:t>
                  </w:r>
                </w:p>
              </w:tc>
              <w:tc>
                <w:tcPr>
                  <w:tcW w:w="667" w:type="pct"/>
                  <w:shd w:val="clear" w:color="auto" w:fill="auto"/>
                  <w:vAlign w:val="center"/>
                </w:tcPr>
                <w:p w14:paraId="67C9FADA">
                  <w:pPr>
                    <w:pStyle w:val="20"/>
                    <w:bidi w:val="0"/>
                    <w:rPr>
                      <w:rFonts w:hint="default" w:eastAsia="宋体"/>
                      <w:color w:val="auto"/>
                      <w:highlight w:val="none"/>
                      <w:lang w:val="en-US" w:eastAsia="zh-CN"/>
                    </w:rPr>
                  </w:pPr>
                  <w:r>
                    <w:rPr>
                      <w:rFonts w:hint="eastAsia"/>
                      <w:color w:val="auto"/>
                      <w:highlight w:val="none"/>
                      <w:lang w:val="en-US" w:eastAsia="zh-CN"/>
                    </w:rPr>
                    <w:t>空压机房</w:t>
                  </w:r>
                </w:p>
              </w:tc>
              <w:tc>
                <w:tcPr>
                  <w:tcW w:w="625" w:type="pct"/>
                  <w:shd w:val="clear" w:color="auto" w:fill="auto"/>
                  <w:vAlign w:val="center"/>
                </w:tcPr>
                <w:p w14:paraId="465AB043">
                  <w:pPr>
                    <w:pStyle w:val="20"/>
                    <w:bidi w:val="0"/>
                    <w:rPr>
                      <w:rFonts w:hint="default"/>
                      <w:color w:val="auto"/>
                      <w:highlight w:val="none"/>
                      <w:lang w:val="en-US" w:eastAsia="zh-CN"/>
                    </w:rPr>
                  </w:pPr>
                  <w:r>
                    <w:rPr>
                      <w:rFonts w:hint="eastAsia"/>
                      <w:color w:val="auto"/>
                      <w:highlight w:val="none"/>
                      <w:lang w:val="en-US" w:eastAsia="zh-CN"/>
                    </w:rPr>
                    <w:t>昼夜</w:t>
                  </w:r>
                </w:p>
              </w:tc>
            </w:tr>
            <w:tr w14:paraId="226EE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trPr>
              <w:tc>
                <w:tcPr>
                  <w:tcW w:w="375" w:type="pct"/>
                  <w:shd w:val="clear" w:color="auto" w:fill="auto"/>
                  <w:vAlign w:val="center"/>
                </w:tcPr>
                <w:p w14:paraId="47D3BA79">
                  <w:pPr>
                    <w:pStyle w:val="20"/>
                    <w:bidi w:val="0"/>
                    <w:rPr>
                      <w:rFonts w:hint="eastAsia" w:eastAsia="宋体"/>
                      <w:color w:val="auto"/>
                      <w:highlight w:val="none"/>
                      <w:lang w:val="en-US" w:eastAsia="zh-CN"/>
                    </w:rPr>
                  </w:pPr>
                  <w:r>
                    <w:rPr>
                      <w:rFonts w:hint="eastAsia"/>
                      <w:color w:val="auto"/>
                      <w:highlight w:val="none"/>
                      <w:lang w:val="en-US" w:eastAsia="zh-CN"/>
                    </w:rPr>
                    <w:t>5</w:t>
                  </w:r>
                </w:p>
              </w:tc>
              <w:tc>
                <w:tcPr>
                  <w:tcW w:w="1264" w:type="dxa"/>
                  <w:shd w:val="clear" w:color="auto" w:fill="auto"/>
                  <w:vAlign w:val="center"/>
                </w:tcPr>
                <w:p w14:paraId="14A03BFD">
                  <w:pPr>
                    <w:pStyle w:val="20"/>
                    <w:bidi w:val="0"/>
                    <w:rPr>
                      <w:color w:val="auto"/>
                      <w:highlight w:val="none"/>
                    </w:rPr>
                  </w:pPr>
                  <w:r>
                    <w:rPr>
                      <w:color w:val="auto"/>
                      <w:highlight w:val="none"/>
                    </w:rPr>
                    <w:t>空压机2</w:t>
                  </w:r>
                </w:p>
              </w:tc>
              <w:tc>
                <w:tcPr>
                  <w:tcW w:w="859" w:type="dxa"/>
                  <w:shd w:val="clear" w:color="auto" w:fill="auto"/>
                  <w:vAlign w:val="center"/>
                </w:tcPr>
                <w:p w14:paraId="1C62AE76">
                  <w:pPr>
                    <w:pStyle w:val="20"/>
                    <w:bidi w:val="0"/>
                    <w:rPr>
                      <w:color w:val="auto"/>
                      <w:highlight w:val="none"/>
                    </w:rPr>
                  </w:pPr>
                  <w:r>
                    <w:rPr>
                      <w:color w:val="auto"/>
                      <w:highlight w:val="none"/>
                    </w:rPr>
                    <w:t>13.9</w:t>
                  </w:r>
                </w:p>
              </w:tc>
              <w:tc>
                <w:tcPr>
                  <w:tcW w:w="859" w:type="dxa"/>
                  <w:shd w:val="clear" w:color="auto" w:fill="auto"/>
                  <w:vAlign w:val="center"/>
                </w:tcPr>
                <w:p w14:paraId="7F213A6A">
                  <w:pPr>
                    <w:pStyle w:val="20"/>
                    <w:bidi w:val="0"/>
                    <w:rPr>
                      <w:color w:val="auto"/>
                      <w:highlight w:val="none"/>
                    </w:rPr>
                  </w:pPr>
                  <w:r>
                    <w:rPr>
                      <w:color w:val="auto"/>
                      <w:highlight w:val="none"/>
                    </w:rPr>
                    <w:t>-84.4</w:t>
                  </w:r>
                </w:p>
              </w:tc>
              <w:tc>
                <w:tcPr>
                  <w:tcW w:w="864" w:type="dxa"/>
                  <w:shd w:val="clear" w:color="auto" w:fill="auto"/>
                  <w:vAlign w:val="center"/>
                </w:tcPr>
                <w:p w14:paraId="4EE60F34">
                  <w:pPr>
                    <w:pStyle w:val="20"/>
                    <w:bidi w:val="0"/>
                    <w:rPr>
                      <w:color w:val="auto"/>
                      <w:highlight w:val="none"/>
                    </w:rPr>
                  </w:pPr>
                  <w:r>
                    <w:rPr>
                      <w:color w:val="auto"/>
                      <w:highlight w:val="none"/>
                    </w:rPr>
                    <w:t>1.2</w:t>
                  </w:r>
                </w:p>
              </w:tc>
              <w:tc>
                <w:tcPr>
                  <w:tcW w:w="1055" w:type="pct"/>
                  <w:shd w:val="clear" w:color="auto" w:fill="auto"/>
                  <w:vAlign w:val="center"/>
                </w:tcPr>
                <w:p w14:paraId="1529C50D">
                  <w:pPr>
                    <w:pStyle w:val="20"/>
                    <w:bidi w:val="0"/>
                    <w:rPr>
                      <w:color w:val="auto"/>
                      <w:highlight w:val="none"/>
                    </w:rPr>
                  </w:pPr>
                  <w:r>
                    <w:rPr>
                      <w:color w:val="auto"/>
                      <w:highlight w:val="none"/>
                    </w:rPr>
                    <w:t>75</w:t>
                  </w:r>
                </w:p>
              </w:tc>
              <w:tc>
                <w:tcPr>
                  <w:tcW w:w="667" w:type="pct"/>
                  <w:shd w:val="clear" w:color="auto" w:fill="auto"/>
                  <w:vAlign w:val="center"/>
                </w:tcPr>
                <w:p w14:paraId="7AFC9FEB">
                  <w:pPr>
                    <w:pStyle w:val="20"/>
                    <w:bidi w:val="0"/>
                    <w:rPr>
                      <w:rFonts w:hint="eastAsia"/>
                      <w:color w:val="auto"/>
                      <w:highlight w:val="none"/>
                      <w:lang w:val="en-US" w:eastAsia="zh-CN"/>
                    </w:rPr>
                  </w:pPr>
                  <w:r>
                    <w:rPr>
                      <w:rFonts w:hint="eastAsia"/>
                      <w:color w:val="auto"/>
                      <w:highlight w:val="none"/>
                      <w:lang w:val="en-US" w:eastAsia="zh-CN"/>
                    </w:rPr>
                    <w:t>空压机房</w:t>
                  </w:r>
                </w:p>
              </w:tc>
              <w:tc>
                <w:tcPr>
                  <w:tcW w:w="625" w:type="pct"/>
                  <w:shd w:val="clear" w:color="auto" w:fill="auto"/>
                  <w:vAlign w:val="center"/>
                </w:tcPr>
                <w:p w14:paraId="3187D985">
                  <w:pPr>
                    <w:pStyle w:val="20"/>
                    <w:bidi w:val="0"/>
                    <w:rPr>
                      <w:rFonts w:hint="eastAsia"/>
                      <w:color w:val="auto"/>
                      <w:highlight w:val="none"/>
                      <w:lang w:val="en-US" w:eastAsia="zh-CN"/>
                    </w:rPr>
                  </w:pPr>
                  <w:r>
                    <w:rPr>
                      <w:rFonts w:hint="eastAsia"/>
                      <w:color w:val="auto"/>
                      <w:highlight w:val="none"/>
                      <w:lang w:val="en-US" w:eastAsia="zh-CN"/>
                    </w:rPr>
                    <w:t>昼夜</w:t>
                  </w:r>
                </w:p>
              </w:tc>
            </w:tr>
          </w:tbl>
          <w:p w14:paraId="15EACFF9">
            <w:pPr>
              <w:pStyle w:val="18"/>
              <w:keepNext w:val="0"/>
              <w:keepLines w:val="0"/>
              <w:suppressLineNumbers w:val="0"/>
              <w:spacing w:before="0" w:beforeAutospacing="0" w:after="0" w:afterAutospacing="0"/>
              <w:ind w:left="0" w:right="0"/>
              <w:rPr>
                <w:rFonts w:hint="eastAsia"/>
                <w:color w:val="auto"/>
                <w:highlight w:val="none"/>
              </w:rPr>
            </w:pPr>
          </w:p>
          <w:p w14:paraId="5D0763FC">
            <w:pPr>
              <w:pStyle w:val="18"/>
              <w:rPr>
                <w:color w:val="auto"/>
                <w:highlight w:val="none"/>
              </w:rPr>
            </w:pPr>
          </w:p>
          <w:p w14:paraId="7D52B804">
            <w:pPr>
              <w:pStyle w:val="18"/>
              <w:rPr>
                <w:color w:val="auto"/>
                <w:highlight w:val="none"/>
              </w:rPr>
            </w:pPr>
          </w:p>
          <w:p w14:paraId="203D742B">
            <w:pPr>
              <w:pStyle w:val="18"/>
              <w:rPr>
                <w:color w:val="auto"/>
                <w:highlight w:val="none"/>
              </w:rPr>
            </w:pPr>
          </w:p>
        </w:tc>
      </w:tr>
    </w:tbl>
    <w:p w14:paraId="1EE6BB8F">
      <w:pPr>
        <w:keepNext w:val="0"/>
        <w:keepLines w:val="0"/>
        <w:pageBreakBefore w:val="0"/>
        <w:widowControl w:val="0"/>
        <w:kinsoku/>
        <w:wordWrap/>
        <w:overflowPunct/>
        <w:topLinePunct w:val="0"/>
        <w:autoSpaceDE/>
        <w:autoSpaceDN/>
        <w:bidi w:val="0"/>
        <w:adjustRightInd/>
        <w:snapToGrid/>
        <w:textAlignment w:val="auto"/>
        <w:outlineLvl w:val="0"/>
        <w:rPr>
          <w:color w:val="auto"/>
          <w:sz w:val="2"/>
          <w:szCs w:val="2"/>
          <w:highlight w:val="none"/>
        </w:rPr>
      </w:pPr>
      <w:r>
        <w:rPr>
          <w:rFonts w:hint="eastAsia"/>
          <w:color w:val="auto"/>
          <w:sz w:val="2"/>
          <w:szCs w:val="2"/>
          <w:highlight w:val="none"/>
        </w:rPr>
        <w:t>噪声</w:t>
      </w:r>
    </w:p>
    <w:p w14:paraId="07304831">
      <w:pPr>
        <w:rPr>
          <w:color w:val="auto"/>
          <w:highlight w:val="none"/>
        </w:rPr>
        <w:sectPr>
          <w:pgSz w:w="11905" w:h="16838"/>
          <w:pgMar w:top="1440" w:right="1417" w:bottom="1440" w:left="1417" w:header="851" w:footer="850" w:gutter="0"/>
          <w:cols w:space="0" w:num="1"/>
          <w:docGrid w:type="linesAndChars" w:linePitch="312" w:charSpace="0"/>
        </w:sectPr>
      </w:pP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5"/>
        <w:gridCol w:w="14597"/>
      </w:tblGrid>
      <w:tr w14:paraId="14E09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7" w:hRule="atLeast"/>
        </w:trPr>
        <w:tc>
          <w:tcPr>
            <w:tcW w:w="164" w:type="pct"/>
            <w:tcMar>
              <w:top w:w="0" w:type="dxa"/>
              <w:left w:w="57" w:type="dxa"/>
              <w:bottom w:w="0" w:type="dxa"/>
              <w:right w:w="57" w:type="dxa"/>
            </w:tcMar>
          </w:tcPr>
          <w:p w14:paraId="3C4568B9">
            <w:pPr>
              <w:pStyle w:val="18"/>
              <w:ind w:firstLine="0" w:firstLineChars="0"/>
              <w:rPr>
                <w:color w:val="auto"/>
                <w:highlight w:val="none"/>
              </w:rPr>
            </w:pPr>
          </w:p>
        </w:tc>
        <w:tc>
          <w:tcPr>
            <w:tcW w:w="4835" w:type="pct"/>
            <w:tcMar>
              <w:top w:w="0" w:type="dxa"/>
              <w:left w:w="57" w:type="dxa"/>
              <w:bottom w:w="0" w:type="dxa"/>
              <w:right w:w="57" w:type="dxa"/>
            </w:tcMar>
          </w:tcPr>
          <w:p w14:paraId="014D31F1">
            <w:pPr>
              <w:pStyle w:val="19"/>
              <w:keepNext w:val="0"/>
              <w:keepLines w:val="0"/>
              <w:suppressLineNumbers w:val="0"/>
              <w:spacing w:before="156" w:beforeAutospacing="0" w:after="0" w:afterAutospacing="0"/>
              <w:ind w:left="0" w:right="0"/>
              <w:rPr>
                <w:rFonts w:hint="eastAsia"/>
                <w:color w:val="auto"/>
                <w:highlight w:val="none"/>
              </w:rPr>
            </w:pPr>
            <w:bookmarkStart w:id="45" w:name="_Ref17907"/>
            <w:r>
              <w:rPr>
                <w:rFonts w:hint="default"/>
                <w:color w:val="auto"/>
                <w:highlight w:val="none"/>
              </w:rPr>
              <w:t>表4-</w:t>
            </w:r>
            <w:r>
              <w:rPr>
                <w:rFonts w:hint="default"/>
                <w:color w:val="auto"/>
                <w:highlight w:val="none"/>
              </w:rPr>
              <w:fldChar w:fldCharType="begin"/>
            </w:r>
            <w:r>
              <w:rPr>
                <w:rFonts w:hint="default"/>
                <w:color w:val="auto"/>
                <w:highlight w:val="none"/>
              </w:rPr>
              <w:instrText xml:space="preserve"> SEQ 表4- \* ARABIC </w:instrText>
            </w:r>
            <w:r>
              <w:rPr>
                <w:rFonts w:hint="default"/>
                <w:color w:val="auto"/>
                <w:highlight w:val="none"/>
              </w:rPr>
              <w:fldChar w:fldCharType="separate"/>
            </w:r>
            <w:r>
              <w:rPr>
                <w:rFonts w:hint="default"/>
                <w:color w:val="auto"/>
                <w:highlight w:val="none"/>
              </w:rPr>
              <w:t>16</w:t>
            </w:r>
            <w:r>
              <w:rPr>
                <w:rFonts w:hint="default"/>
                <w:color w:val="auto"/>
                <w:highlight w:val="none"/>
              </w:rPr>
              <w:fldChar w:fldCharType="end"/>
            </w:r>
            <w:bookmarkEnd w:id="45"/>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工业企业噪声源强调查清单（室</w:t>
            </w:r>
            <w:r>
              <w:rPr>
                <w:rFonts w:hint="eastAsia"/>
                <w:color w:val="auto"/>
                <w:highlight w:val="none"/>
                <w:lang w:val="en-US" w:eastAsia="zh-CN"/>
              </w:rPr>
              <w:t>内</w:t>
            </w:r>
            <w:r>
              <w:rPr>
                <w:rFonts w:hint="eastAsia"/>
                <w:color w:val="auto"/>
                <w:highlight w:val="none"/>
              </w:rPr>
              <w:t>声源）</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57" w:type="dxa"/>
                <w:bottom w:w="0" w:type="dxa"/>
                <w:right w:w="57" w:type="dxa"/>
              </w:tblCellMar>
            </w:tblPr>
            <w:tblGrid>
              <w:gridCol w:w="358"/>
              <w:gridCol w:w="604"/>
              <w:gridCol w:w="998"/>
              <w:gridCol w:w="717"/>
              <w:gridCol w:w="564"/>
              <w:gridCol w:w="636"/>
              <w:gridCol w:w="688"/>
              <w:gridCol w:w="549"/>
              <w:gridCol w:w="570"/>
              <w:gridCol w:w="561"/>
              <w:gridCol w:w="482"/>
              <w:gridCol w:w="633"/>
              <w:gridCol w:w="482"/>
              <w:gridCol w:w="482"/>
              <w:gridCol w:w="482"/>
              <w:gridCol w:w="532"/>
              <w:gridCol w:w="535"/>
              <w:gridCol w:w="482"/>
              <w:gridCol w:w="482"/>
              <w:gridCol w:w="482"/>
              <w:gridCol w:w="533"/>
              <w:gridCol w:w="483"/>
              <w:gridCol w:w="483"/>
              <w:gridCol w:w="483"/>
              <w:gridCol w:w="483"/>
              <w:gridCol w:w="689"/>
            </w:tblGrid>
            <w:tr w14:paraId="0304E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tblHeader/>
                <w:jc w:val="center"/>
              </w:trPr>
              <w:tc>
                <w:tcPr>
                  <w:tcW w:w="124" w:type="pct"/>
                  <w:vMerge w:val="restart"/>
                  <w:shd w:val="clear" w:color="auto" w:fill="auto"/>
                  <w:vAlign w:val="center"/>
                </w:tcPr>
                <w:p w14:paraId="19DB4F8E">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bookmarkStart w:id="46" w:name="PT_6"/>
                  <w:r>
                    <w:rPr>
                      <w:rFonts w:hint="default"/>
                      <w:b/>
                      <w:bCs/>
                      <w:color w:val="auto"/>
                      <w:highlight w:val="none"/>
                    </w:rPr>
                    <w:t>序号</w:t>
                  </w:r>
                </w:p>
              </w:tc>
              <w:tc>
                <w:tcPr>
                  <w:tcW w:w="209" w:type="pct"/>
                  <w:vMerge w:val="restart"/>
                  <w:shd w:val="clear" w:color="auto" w:fill="auto"/>
                  <w:vAlign w:val="center"/>
                </w:tcPr>
                <w:p w14:paraId="0FDA6292">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default"/>
                      <w:b/>
                      <w:bCs/>
                      <w:color w:val="auto"/>
                      <w:highlight w:val="none"/>
                    </w:rPr>
                    <w:t>建筑物名称</w:t>
                  </w:r>
                </w:p>
              </w:tc>
              <w:tc>
                <w:tcPr>
                  <w:tcW w:w="345" w:type="pct"/>
                  <w:vMerge w:val="restart"/>
                  <w:shd w:val="clear" w:color="auto" w:fill="auto"/>
                  <w:vAlign w:val="center"/>
                </w:tcPr>
                <w:p w14:paraId="5BDD75E8">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default"/>
                      <w:b/>
                      <w:bCs/>
                      <w:color w:val="auto"/>
                      <w:highlight w:val="none"/>
                    </w:rPr>
                    <w:t>声源名称</w:t>
                  </w:r>
                </w:p>
              </w:tc>
              <w:tc>
                <w:tcPr>
                  <w:tcW w:w="248" w:type="pct"/>
                  <w:vMerge w:val="restart"/>
                  <w:shd w:val="clear" w:color="auto" w:fill="auto"/>
                  <w:vAlign w:val="center"/>
                </w:tcPr>
                <w:p w14:paraId="60B0145B">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default"/>
                      <w:b/>
                      <w:bCs/>
                      <w:color w:val="auto"/>
                      <w:highlight w:val="none"/>
                    </w:rPr>
                    <w:t>声源源强dB(A)</w:t>
                  </w:r>
                </w:p>
              </w:tc>
              <w:tc>
                <w:tcPr>
                  <w:tcW w:w="195" w:type="pct"/>
                  <w:vMerge w:val="restart"/>
                  <w:shd w:val="clear" w:color="auto" w:fill="auto"/>
                  <w:vAlign w:val="center"/>
                </w:tcPr>
                <w:p w14:paraId="1B111C93">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default"/>
                      <w:b/>
                      <w:bCs/>
                      <w:color w:val="auto"/>
                      <w:highlight w:val="none"/>
                    </w:rPr>
                    <w:t>声源控制措施</w:t>
                  </w:r>
                </w:p>
              </w:tc>
              <w:tc>
                <w:tcPr>
                  <w:tcW w:w="648" w:type="pct"/>
                  <w:gridSpan w:val="3"/>
                  <w:shd w:val="clear" w:color="auto" w:fill="auto"/>
                  <w:vAlign w:val="center"/>
                </w:tcPr>
                <w:p w14:paraId="215DB0C1">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default"/>
                      <w:b/>
                      <w:bCs/>
                      <w:color w:val="auto"/>
                      <w:highlight w:val="none"/>
                    </w:rPr>
                    <w:t>空间相对位置/m</w:t>
                  </w:r>
                </w:p>
              </w:tc>
              <w:tc>
                <w:tcPr>
                  <w:tcW w:w="776" w:type="pct"/>
                  <w:gridSpan w:val="4"/>
                  <w:shd w:val="clear" w:color="auto" w:fill="auto"/>
                  <w:vAlign w:val="center"/>
                </w:tcPr>
                <w:p w14:paraId="41BF305B">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default"/>
                      <w:b/>
                      <w:bCs/>
                      <w:color w:val="auto"/>
                      <w:highlight w:val="none"/>
                    </w:rPr>
                    <w:t>距室内边界距离/m</w:t>
                  </w:r>
                </w:p>
              </w:tc>
              <w:tc>
                <w:tcPr>
                  <w:tcW w:w="682" w:type="pct"/>
                  <w:gridSpan w:val="4"/>
                  <w:shd w:val="clear" w:color="auto" w:fill="auto"/>
                  <w:vAlign w:val="center"/>
                </w:tcPr>
                <w:p w14:paraId="0D44F626">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default"/>
                      <w:b/>
                      <w:bCs/>
                      <w:color w:val="auto"/>
                      <w:highlight w:val="none"/>
                    </w:rPr>
                    <w:t>室内边界声级/dB(A)</w:t>
                  </w:r>
                </w:p>
              </w:tc>
              <w:tc>
                <w:tcPr>
                  <w:tcW w:w="185" w:type="pct"/>
                  <w:vMerge w:val="restart"/>
                  <w:shd w:val="clear" w:color="auto" w:fill="auto"/>
                  <w:vAlign w:val="center"/>
                </w:tcPr>
                <w:p w14:paraId="77501E17">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default"/>
                      <w:b/>
                      <w:bCs/>
                      <w:color w:val="auto"/>
                      <w:highlight w:val="none"/>
                    </w:rPr>
                    <w:t>运行时段</w:t>
                  </w:r>
                </w:p>
              </w:tc>
              <w:tc>
                <w:tcPr>
                  <w:tcW w:w="682" w:type="pct"/>
                  <w:gridSpan w:val="4"/>
                  <w:shd w:val="clear" w:color="auto" w:fill="auto"/>
                  <w:vAlign w:val="center"/>
                </w:tcPr>
                <w:p w14:paraId="6419A301">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default"/>
                      <w:b/>
                      <w:bCs/>
                      <w:color w:val="auto"/>
                      <w:highlight w:val="none"/>
                    </w:rPr>
                    <w:t xml:space="preserve">建筑物插入损失 </w:t>
                  </w:r>
                  <w:r>
                    <w:rPr>
                      <w:rFonts w:hint="default"/>
                      <w:b/>
                      <w:bCs/>
                      <w:color w:val="auto"/>
                      <w:highlight w:val="none"/>
                    </w:rPr>
                    <w:br w:type="textWrapping"/>
                  </w:r>
                  <w:r>
                    <w:rPr>
                      <w:rFonts w:hint="default"/>
                      <w:b/>
                      <w:bCs/>
                      <w:color w:val="auto"/>
                      <w:highlight w:val="none"/>
                    </w:rPr>
                    <w:t>/ dB(A)</w:t>
                  </w:r>
                  <w:bookmarkStart w:id="47" w:name="PT_10"/>
                  <w:bookmarkEnd w:id="47"/>
                </w:p>
              </w:tc>
              <w:tc>
                <w:tcPr>
                  <w:tcW w:w="902" w:type="pct"/>
                  <w:gridSpan w:val="5"/>
                  <w:shd w:val="clear" w:color="auto" w:fill="auto"/>
                  <w:vAlign w:val="center"/>
                </w:tcPr>
                <w:p w14:paraId="5717EABB">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default"/>
                      <w:b/>
                      <w:bCs/>
                      <w:color w:val="auto"/>
                      <w:highlight w:val="none"/>
                    </w:rPr>
                    <w:t>建筑物外噪声声压级/dB(A)</w:t>
                  </w:r>
                </w:p>
              </w:tc>
            </w:tr>
            <w:tr w14:paraId="64DE9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tblHeader/>
                <w:jc w:val="center"/>
              </w:trPr>
              <w:tc>
                <w:tcPr>
                  <w:tcW w:w="124" w:type="pct"/>
                  <w:vMerge w:val="continue"/>
                  <w:shd w:val="clear" w:color="auto" w:fill="auto"/>
                  <w:tcMar>
                    <w:top w:w="0" w:type="dxa"/>
                    <w:left w:w="0" w:type="dxa"/>
                    <w:bottom w:w="0" w:type="dxa"/>
                    <w:right w:w="0" w:type="dxa"/>
                  </w:tcMar>
                  <w:vAlign w:val="center"/>
                </w:tcPr>
                <w:p w14:paraId="69B72B2F">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lang w:val="en-US" w:eastAsia="zh-CN"/>
                    </w:rPr>
                  </w:pPr>
                </w:p>
              </w:tc>
              <w:tc>
                <w:tcPr>
                  <w:tcW w:w="209" w:type="pct"/>
                  <w:vMerge w:val="continue"/>
                  <w:shd w:val="clear" w:color="auto" w:fill="auto"/>
                  <w:tcMar>
                    <w:top w:w="0" w:type="dxa"/>
                    <w:left w:w="0" w:type="dxa"/>
                    <w:bottom w:w="0" w:type="dxa"/>
                    <w:right w:w="0" w:type="dxa"/>
                  </w:tcMar>
                  <w:vAlign w:val="center"/>
                </w:tcPr>
                <w:p w14:paraId="358C1112">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p>
              </w:tc>
              <w:tc>
                <w:tcPr>
                  <w:tcW w:w="345" w:type="pct"/>
                  <w:vMerge w:val="continue"/>
                  <w:shd w:val="clear" w:color="auto" w:fill="auto"/>
                  <w:tcMar>
                    <w:top w:w="0" w:type="dxa"/>
                    <w:left w:w="0" w:type="dxa"/>
                    <w:bottom w:w="0" w:type="dxa"/>
                    <w:right w:w="0" w:type="dxa"/>
                  </w:tcMar>
                  <w:vAlign w:val="center"/>
                </w:tcPr>
                <w:p w14:paraId="49425760">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p>
              </w:tc>
              <w:tc>
                <w:tcPr>
                  <w:tcW w:w="248" w:type="pct"/>
                  <w:vMerge w:val="continue"/>
                  <w:shd w:val="clear" w:color="auto" w:fill="auto"/>
                  <w:tcMar>
                    <w:top w:w="0" w:type="dxa"/>
                    <w:left w:w="0" w:type="dxa"/>
                    <w:bottom w:w="0" w:type="dxa"/>
                    <w:right w:w="0" w:type="dxa"/>
                  </w:tcMar>
                  <w:vAlign w:val="center"/>
                </w:tcPr>
                <w:p w14:paraId="15BFD2C4">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p>
              </w:tc>
              <w:tc>
                <w:tcPr>
                  <w:tcW w:w="195" w:type="pct"/>
                  <w:vMerge w:val="continue"/>
                  <w:shd w:val="clear" w:color="auto" w:fill="auto"/>
                  <w:tcMar>
                    <w:top w:w="0" w:type="dxa"/>
                    <w:left w:w="0" w:type="dxa"/>
                    <w:bottom w:w="0" w:type="dxa"/>
                    <w:right w:w="0" w:type="dxa"/>
                  </w:tcMar>
                  <w:vAlign w:val="center"/>
                </w:tcPr>
                <w:p w14:paraId="521DF1BA">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p>
              </w:tc>
              <w:tc>
                <w:tcPr>
                  <w:tcW w:w="220" w:type="pct"/>
                  <w:shd w:val="clear" w:color="auto" w:fill="auto"/>
                  <w:tcMar>
                    <w:top w:w="0" w:type="dxa"/>
                    <w:left w:w="0" w:type="dxa"/>
                    <w:bottom w:w="0" w:type="dxa"/>
                    <w:right w:w="0" w:type="dxa"/>
                  </w:tcMar>
                  <w:vAlign w:val="center"/>
                </w:tcPr>
                <w:p w14:paraId="34730DB8">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default"/>
                      <w:b/>
                      <w:bCs/>
                      <w:color w:val="auto"/>
                      <w:highlight w:val="none"/>
                    </w:rPr>
                    <w:t>X</w:t>
                  </w:r>
                </w:p>
              </w:tc>
              <w:tc>
                <w:tcPr>
                  <w:tcW w:w="238" w:type="pct"/>
                  <w:shd w:val="clear" w:color="auto" w:fill="auto"/>
                  <w:tcMar>
                    <w:top w:w="0" w:type="dxa"/>
                    <w:left w:w="0" w:type="dxa"/>
                    <w:bottom w:w="0" w:type="dxa"/>
                    <w:right w:w="0" w:type="dxa"/>
                  </w:tcMar>
                  <w:vAlign w:val="center"/>
                </w:tcPr>
                <w:p w14:paraId="067DC241">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default"/>
                      <w:b/>
                      <w:bCs/>
                      <w:color w:val="auto"/>
                      <w:highlight w:val="none"/>
                    </w:rPr>
                    <w:t>Y</w:t>
                  </w:r>
                </w:p>
              </w:tc>
              <w:tc>
                <w:tcPr>
                  <w:tcW w:w="190" w:type="pct"/>
                  <w:shd w:val="clear" w:color="auto" w:fill="auto"/>
                  <w:tcMar>
                    <w:top w:w="0" w:type="dxa"/>
                    <w:left w:w="0" w:type="dxa"/>
                    <w:bottom w:w="0" w:type="dxa"/>
                    <w:right w:w="0" w:type="dxa"/>
                  </w:tcMar>
                  <w:vAlign w:val="center"/>
                </w:tcPr>
                <w:p w14:paraId="7B9BDD73">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default"/>
                      <w:b/>
                      <w:bCs/>
                      <w:color w:val="auto"/>
                      <w:highlight w:val="none"/>
                    </w:rPr>
                    <w:t>Z</w:t>
                  </w:r>
                </w:p>
              </w:tc>
              <w:tc>
                <w:tcPr>
                  <w:tcW w:w="197" w:type="pct"/>
                  <w:shd w:val="clear" w:color="auto" w:fill="auto"/>
                  <w:tcMar>
                    <w:top w:w="0" w:type="dxa"/>
                    <w:left w:w="0" w:type="dxa"/>
                    <w:bottom w:w="0" w:type="dxa"/>
                    <w:right w:w="0" w:type="dxa"/>
                  </w:tcMar>
                  <w:vAlign w:val="center"/>
                </w:tcPr>
                <w:p w14:paraId="72EEC7E6">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eastAsia"/>
                      <w:b/>
                      <w:bCs/>
                      <w:color w:val="auto"/>
                      <w:highlight w:val="none"/>
                      <w:lang w:val="en-US" w:eastAsia="zh-CN"/>
                    </w:rPr>
                    <w:t>东</w:t>
                  </w:r>
                </w:p>
              </w:tc>
              <w:tc>
                <w:tcPr>
                  <w:tcW w:w="194" w:type="pct"/>
                  <w:shd w:val="clear" w:color="auto" w:fill="auto"/>
                  <w:tcMar>
                    <w:top w:w="0" w:type="dxa"/>
                    <w:left w:w="0" w:type="dxa"/>
                    <w:bottom w:w="0" w:type="dxa"/>
                    <w:right w:w="0" w:type="dxa"/>
                  </w:tcMar>
                  <w:vAlign w:val="center"/>
                </w:tcPr>
                <w:p w14:paraId="45CD0D3A">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eastAsia"/>
                      <w:b/>
                      <w:bCs/>
                      <w:color w:val="auto"/>
                      <w:highlight w:val="none"/>
                      <w:lang w:val="en-US" w:eastAsia="zh-CN"/>
                    </w:rPr>
                    <w:t>南</w:t>
                  </w:r>
                </w:p>
              </w:tc>
              <w:tc>
                <w:tcPr>
                  <w:tcW w:w="166" w:type="pct"/>
                  <w:shd w:val="clear" w:color="auto" w:fill="auto"/>
                  <w:tcMar>
                    <w:top w:w="0" w:type="dxa"/>
                    <w:left w:w="0" w:type="dxa"/>
                    <w:bottom w:w="0" w:type="dxa"/>
                    <w:right w:w="0" w:type="dxa"/>
                  </w:tcMar>
                  <w:vAlign w:val="center"/>
                </w:tcPr>
                <w:p w14:paraId="0A99094D">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eastAsia"/>
                      <w:b/>
                      <w:bCs/>
                      <w:color w:val="auto"/>
                      <w:highlight w:val="none"/>
                      <w:lang w:val="en-US" w:eastAsia="zh-CN"/>
                    </w:rPr>
                    <w:t>西</w:t>
                  </w:r>
                </w:p>
              </w:tc>
              <w:tc>
                <w:tcPr>
                  <w:tcW w:w="216" w:type="pct"/>
                  <w:shd w:val="clear" w:color="auto" w:fill="auto"/>
                  <w:tcMar>
                    <w:top w:w="0" w:type="dxa"/>
                    <w:left w:w="0" w:type="dxa"/>
                    <w:bottom w:w="0" w:type="dxa"/>
                    <w:right w:w="0" w:type="dxa"/>
                  </w:tcMar>
                  <w:vAlign w:val="center"/>
                </w:tcPr>
                <w:p w14:paraId="1A5179E2">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eastAsia"/>
                      <w:b/>
                      <w:bCs/>
                      <w:color w:val="auto"/>
                      <w:highlight w:val="none"/>
                      <w:lang w:val="en-US" w:eastAsia="zh-CN"/>
                    </w:rPr>
                    <w:t>北</w:t>
                  </w:r>
                </w:p>
              </w:tc>
              <w:tc>
                <w:tcPr>
                  <w:tcW w:w="166" w:type="pct"/>
                  <w:shd w:val="clear" w:color="auto" w:fill="auto"/>
                  <w:tcMar>
                    <w:top w:w="0" w:type="dxa"/>
                    <w:left w:w="0" w:type="dxa"/>
                    <w:bottom w:w="0" w:type="dxa"/>
                    <w:right w:w="0" w:type="dxa"/>
                  </w:tcMar>
                  <w:vAlign w:val="center"/>
                </w:tcPr>
                <w:p w14:paraId="53FBFA19">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eastAsia"/>
                      <w:b/>
                      <w:bCs/>
                      <w:color w:val="auto"/>
                      <w:highlight w:val="none"/>
                      <w:lang w:val="en-US" w:eastAsia="zh-CN"/>
                    </w:rPr>
                    <w:t>东</w:t>
                  </w:r>
                </w:p>
              </w:tc>
              <w:tc>
                <w:tcPr>
                  <w:tcW w:w="166" w:type="pct"/>
                  <w:shd w:val="clear" w:color="auto" w:fill="auto"/>
                  <w:tcMar>
                    <w:top w:w="0" w:type="dxa"/>
                    <w:left w:w="0" w:type="dxa"/>
                    <w:bottom w:w="0" w:type="dxa"/>
                    <w:right w:w="0" w:type="dxa"/>
                  </w:tcMar>
                  <w:vAlign w:val="center"/>
                </w:tcPr>
                <w:p w14:paraId="3D4DBA96">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eastAsia"/>
                      <w:b/>
                      <w:bCs/>
                      <w:color w:val="auto"/>
                      <w:highlight w:val="none"/>
                      <w:lang w:val="en-US" w:eastAsia="zh-CN"/>
                    </w:rPr>
                    <w:t>南</w:t>
                  </w:r>
                </w:p>
              </w:tc>
              <w:tc>
                <w:tcPr>
                  <w:tcW w:w="166" w:type="pct"/>
                  <w:shd w:val="clear" w:color="auto" w:fill="auto"/>
                  <w:tcMar>
                    <w:top w:w="0" w:type="dxa"/>
                    <w:left w:w="0" w:type="dxa"/>
                    <w:bottom w:w="0" w:type="dxa"/>
                    <w:right w:w="0" w:type="dxa"/>
                  </w:tcMar>
                  <w:vAlign w:val="center"/>
                </w:tcPr>
                <w:p w14:paraId="3A8EBA7F">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eastAsia"/>
                      <w:b/>
                      <w:bCs/>
                      <w:color w:val="auto"/>
                      <w:highlight w:val="none"/>
                      <w:lang w:val="en-US" w:eastAsia="zh-CN"/>
                    </w:rPr>
                    <w:t>西</w:t>
                  </w:r>
                </w:p>
              </w:tc>
              <w:tc>
                <w:tcPr>
                  <w:tcW w:w="182" w:type="pct"/>
                  <w:shd w:val="clear" w:color="auto" w:fill="auto"/>
                  <w:tcMar>
                    <w:top w:w="0" w:type="dxa"/>
                    <w:left w:w="0" w:type="dxa"/>
                    <w:bottom w:w="0" w:type="dxa"/>
                    <w:right w:w="0" w:type="dxa"/>
                  </w:tcMar>
                  <w:vAlign w:val="center"/>
                </w:tcPr>
                <w:p w14:paraId="6ED365A5">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eastAsia"/>
                      <w:b/>
                      <w:bCs/>
                      <w:color w:val="auto"/>
                      <w:highlight w:val="none"/>
                      <w:lang w:val="en-US" w:eastAsia="zh-CN"/>
                    </w:rPr>
                    <w:t>北</w:t>
                  </w:r>
                </w:p>
              </w:tc>
              <w:tc>
                <w:tcPr>
                  <w:tcW w:w="185" w:type="pct"/>
                  <w:vMerge w:val="continue"/>
                  <w:shd w:val="clear" w:color="auto" w:fill="auto"/>
                  <w:tcMar>
                    <w:top w:w="0" w:type="dxa"/>
                    <w:left w:w="0" w:type="dxa"/>
                    <w:bottom w:w="0" w:type="dxa"/>
                    <w:right w:w="0" w:type="dxa"/>
                  </w:tcMar>
                  <w:vAlign w:val="center"/>
                </w:tcPr>
                <w:p w14:paraId="5501FBF4">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p>
              </w:tc>
              <w:tc>
                <w:tcPr>
                  <w:tcW w:w="166" w:type="pct"/>
                  <w:shd w:val="clear" w:color="auto" w:fill="auto"/>
                  <w:tcMar>
                    <w:top w:w="0" w:type="dxa"/>
                    <w:left w:w="0" w:type="dxa"/>
                    <w:bottom w:w="0" w:type="dxa"/>
                    <w:right w:w="0" w:type="dxa"/>
                  </w:tcMar>
                  <w:vAlign w:val="center"/>
                </w:tcPr>
                <w:p w14:paraId="69CAFAEB">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eastAsia"/>
                      <w:b/>
                      <w:bCs/>
                      <w:color w:val="auto"/>
                      <w:highlight w:val="none"/>
                      <w:lang w:val="en-US" w:eastAsia="zh-CN"/>
                    </w:rPr>
                    <w:t>东</w:t>
                  </w:r>
                </w:p>
              </w:tc>
              <w:tc>
                <w:tcPr>
                  <w:tcW w:w="166" w:type="pct"/>
                  <w:shd w:val="clear" w:color="auto" w:fill="auto"/>
                  <w:tcMar>
                    <w:top w:w="0" w:type="dxa"/>
                    <w:left w:w="0" w:type="dxa"/>
                    <w:bottom w:w="0" w:type="dxa"/>
                    <w:right w:w="0" w:type="dxa"/>
                  </w:tcMar>
                  <w:vAlign w:val="center"/>
                </w:tcPr>
                <w:p w14:paraId="4CF11F5E">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eastAsia"/>
                      <w:b/>
                      <w:bCs/>
                      <w:color w:val="auto"/>
                      <w:highlight w:val="none"/>
                      <w:lang w:val="en-US" w:eastAsia="zh-CN"/>
                    </w:rPr>
                    <w:t>南</w:t>
                  </w:r>
                </w:p>
              </w:tc>
              <w:tc>
                <w:tcPr>
                  <w:tcW w:w="166" w:type="pct"/>
                  <w:shd w:val="clear" w:color="auto" w:fill="auto"/>
                  <w:tcMar>
                    <w:top w:w="0" w:type="dxa"/>
                    <w:left w:w="0" w:type="dxa"/>
                    <w:bottom w:w="0" w:type="dxa"/>
                    <w:right w:w="0" w:type="dxa"/>
                  </w:tcMar>
                  <w:vAlign w:val="center"/>
                </w:tcPr>
                <w:p w14:paraId="76CC362A">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eastAsia"/>
                      <w:b/>
                      <w:bCs/>
                      <w:color w:val="auto"/>
                      <w:highlight w:val="none"/>
                      <w:lang w:val="en-US" w:eastAsia="zh-CN"/>
                    </w:rPr>
                    <w:t>西</w:t>
                  </w:r>
                </w:p>
              </w:tc>
              <w:tc>
                <w:tcPr>
                  <w:tcW w:w="182" w:type="pct"/>
                  <w:shd w:val="clear" w:color="auto" w:fill="auto"/>
                  <w:tcMar>
                    <w:top w:w="0" w:type="dxa"/>
                    <w:left w:w="0" w:type="dxa"/>
                    <w:bottom w:w="0" w:type="dxa"/>
                    <w:right w:w="0" w:type="dxa"/>
                  </w:tcMar>
                  <w:vAlign w:val="center"/>
                </w:tcPr>
                <w:p w14:paraId="347A3BAE">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eastAsia"/>
                      <w:b/>
                      <w:bCs/>
                      <w:color w:val="auto"/>
                      <w:highlight w:val="none"/>
                      <w:lang w:val="en-US" w:eastAsia="zh-CN"/>
                    </w:rPr>
                    <w:t>北</w:t>
                  </w:r>
                </w:p>
              </w:tc>
              <w:tc>
                <w:tcPr>
                  <w:tcW w:w="166" w:type="pct"/>
                  <w:shd w:val="clear" w:color="auto" w:fill="auto"/>
                  <w:tcMar>
                    <w:top w:w="0" w:type="dxa"/>
                    <w:left w:w="0" w:type="dxa"/>
                    <w:bottom w:w="0" w:type="dxa"/>
                    <w:right w:w="0" w:type="dxa"/>
                  </w:tcMar>
                  <w:vAlign w:val="center"/>
                </w:tcPr>
                <w:p w14:paraId="62A2EBD4">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eastAsia"/>
                      <w:b/>
                      <w:bCs/>
                      <w:color w:val="auto"/>
                      <w:highlight w:val="none"/>
                      <w:lang w:val="en-US" w:eastAsia="zh-CN"/>
                    </w:rPr>
                    <w:t>东</w:t>
                  </w:r>
                </w:p>
              </w:tc>
              <w:tc>
                <w:tcPr>
                  <w:tcW w:w="166" w:type="pct"/>
                  <w:shd w:val="clear" w:color="auto" w:fill="auto"/>
                  <w:tcMar>
                    <w:top w:w="0" w:type="dxa"/>
                    <w:left w:w="0" w:type="dxa"/>
                    <w:bottom w:w="0" w:type="dxa"/>
                    <w:right w:w="0" w:type="dxa"/>
                  </w:tcMar>
                  <w:vAlign w:val="center"/>
                </w:tcPr>
                <w:p w14:paraId="2EBE04CC">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eastAsia"/>
                      <w:b/>
                      <w:bCs/>
                      <w:color w:val="auto"/>
                      <w:highlight w:val="none"/>
                      <w:lang w:val="en-US" w:eastAsia="zh-CN"/>
                    </w:rPr>
                    <w:t>南</w:t>
                  </w:r>
                </w:p>
              </w:tc>
              <w:tc>
                <w:tcPr>
                  <w:tcW w:w="166" w:type="pct"/>
                  <w:shd w:val="clear" w:color="auto" w:fill="auto"/>
                  <w:tcMar>
                    <w:top w:w="0" w:type="dxa"/>
                    <w:left w:w="0" w:type="dxa"/>
                    <w:bottom w:w="0" w:type="dxa"/>
                    <w:right w:w="0" w:type="dxa"/>
                  </w:tcMar>
                  <w:vAlign w:val="center"/>
                </w:tcPr>
                <w:p w14:paraId="155CBE94">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eastAsia"/>
                      <w:b/>
                      <w:bCs/>
                      <w:color w:val="auto"/>
                      <w:highlight w:val="none"/>
                      <w:lang w:val="en-US" w:eastAsia="zh-CN"/>
                    </w:rPr>
                    <w:t>西</w:t>
                  </w:r>
                </w:p>
              </w:tc>
              <w:tc>
                <w:tcPr>
                  <w:tcW w:w="166" w:type="pct"/>
                  <w:shd w:val="clear" w:color="auto" w:fill="auto"/>
                  <w:tcMar>
                    <w:top w:w="0" w:type="dxa"/>
                    <w:left w:w="0" w:type="dxa"/>
                    <w:bottom w:w="0" w:type="dxa"/>
                    <w:right w:w="0" w:type="dxa"/>
                  </w:tcMar>
                  <w:vAlign w:val="center"/>
                </w:tcPr>
                <w:p w14:paraId="241A50FE">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eastAsia"/>
                      <w:b/>
                      <w:bCs/>
                      <w:color w:val="auto"/>
                      <w:highlight w:val="none"/>
                      <w:lang w:val="en-US" w:eastAsia="zh-CN"/>
                    </w:rPr>
                    <w:t>北</w:t>
                  </w:r>
                </w:p>
              </w:tc>
              <w:tc>
                <w:tcPr>
                  <w:tcW w:w="235" w:type="pct"/>
                  <w:shd w:val="clear" w:color="auto" w:fill="auto"/>
                  <w:tcMar>
                    <w:top w:w="0" w:type="dxa"/>
                    <w:left w:w="0" w:type="dxa"/>
                    <w:bottom w:w="0" w:type="dxa"/>
                    <w:right w:w="0" w:type="dxa"/>
                  </w:tcMar>
                  <w:vAlign w:val="center"/>
                </w:tcPr>
                <w:p w14:paraId="43FCD561">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default"/>
                      <w:b/>
                      <w:bCs/>
                      <w:color w:val="auto"/>
                      <w:highlight w:val="none"/>
                    </w:rPr>
                    <w:t>建筑物外距离</w:t>
                  </w:r>
                </w:p>
              </w:tc>
            </w:tr>
            <w:tr w14:paraId="249F8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24" w:type="pct"/>
                  <w:shd w:val="clear" w:color="auto" w:fill="auto"/>
                  <w:tcMar>
                    <w:top w:w="0" w:type="dxa"/>
                    <w:left w:w="0" w:type="dxa"/>
                    <w:bottom w:w="0" w:type="dxa"/>
                    <w:right w:w="0" w:type="dxa"/>
                  </w:tcMar>
                  <w:vAlign w:val="center"/>
                </w:tcPr>
                <w:p w14:paraId="146FFCA9">
                  <w:pPr>
                    <w:pStyle w:val="20"/>
                    <w:bidi w:val="0"/>
                    <w:jc w:val="center"/>
                    <w:rPr>
                      <w:rFonts w:hint="default"/>
                      <w:color w:val="auto"/>
                      <w:highlight w:val="none"/>
                      <w:lang w:val="en-US" w:eastAsia="zh-CN"/>
                    </w:rPr>
                  </w:pPr>
                  <w:r>
                    <w:rPr>
                      <w:color w:val="auto"/>
                      <w:highlight w:val="none"/>
                    </w:rPr>
                    <w:t>1</w:t>
                  </w:r>
                </w:p>
              </w:tc>
              <w:tc>
                <w:tcPr>
                  <w:tcW w:w="209" w:type="pct"/>
                  <w:vMerge w:val="restart"/>
                  <w:shd w:val="clear" w:color="auto" w:fill="auto"/>
                  <w:tcMar>
                    <w:top w:w="0" w:type="dxa"/>
                    <w:left w:w="0" w:type="dxa"/>
                    <w:bottom w:w="0" w:type="dxa"/>
                    <w:right w:w="0" w:type="dxa"/>
                  </w:tcMar>
                  <w:vAlign w:val="center"/>
                </w:tcPr>
                <w:p w14:paraId="6A2D608E">
                  <w:pPr>
                    <w:pStyle w:val="20"/>
                    <w:bidi w:val="0"/>
                    <w:jc w:val="center"/>
                    <w:rPr>
                      <w:rFonts w:hint="eastAsia"/>
                      <w:color w:val="auto"/>
                      <w:highlight w:val="none"/>
                      <w:lang w:eastAsia="zh-CN"/>
                    </w:rPr>
                  </w:pPr>
                  <w:r>
                    <w:rPr>
                      <w:color w:val="auto"/>
                      <w:highlight w:val="none"/>
                    </w:rPr>
                    <w:t>天畅-库房</w:t>
                  </w:r>
                </w:p>
              </w:tc>
              <w:tc>
                <w:tcPr>
                  <w:tcW w:w="345" w:type="pct"/>
                  <w:shd w:val="clear" w:color="auto" w:fill="auto"/>
                  <w:tcMar>
                    <w:top w:w="0" w:type="dxa"/>
                    <w:left w:w="0" w:type="dxa"/>
                    <w:bottom w:w="0" w:type="dxa"/>
                    <w:right w:w="0" w:type="dxa"/>
                  </w:tcMar>
                  <w:vAlign w:val="center"/>
                </w:tcPr>
                <w:p w14:paraId="7508E360">
                  <w:pPr>
                    <w:pStyle w:val="20"/>
                    <w:bidi w:val="0"/>
                    <w:jc w:val="center"/>
                    <w:rPr>
                      <w:rFonts w:hint="default"/>
                      <w:color w:val="auto"/>
                      <w:highlight w:val="none"/>
                      <w:lang w:val="en-US" w:eastAsia="zh-CN"/>
                    </w:rPr>
                  </w:pPr>
                  <w:r>
                    <w:rPr>
                      <w:color w:val="auto"/>
                      <w:highlight w:val="none"/>
                    </w:rPr>
                    <w:t>混料机</w:t>
                  </w:r>
                </w:p>
              </w:tc>
              <w:tc>
                <w:tcPr>
                  <w:tcW w:w="248" w:type="pct"/>
                  <w:shd w:val="clear" w:color="auto" w:fill="auto"/>
                  <w:tcMar>
                    <w:top w:w="0" w:type="dxa"/>
                    <w:left w:w="0" w:type="dxa"/>
                    <w:bottom w:w="0" w:type="dxa"/>
                    <w:right w:w="0" w:type="dxa"/>
                  </w:tcMar>
                  <w:vAlign w:val="center"/>
                </w:tcPr>
                <w:p w14:paraId="705EBBF4">
                  <w:pPr>
                    <w:pStyle w:val="20"/>
                    <w:bidi w:val="0"/>
                    <w:jc w:val="center"/>
                    <w:rPr>
                      <w:rFonts w:hint="default"/>
                      <w:color w:val="auto"/>
                      <w:highlight w:val="none"/>
                      <w:lang w:val="en-US" w:eastAsia="zh-CN"/>
                    </w:rPr>
                  </w:pPr>
                  <w:r>
                    <w:rPr>
                      <w:color w:val="auto"/>
                      <w:highlight w:val="none"/>
                    </w:rPr>
                    <w:t>70</w:t>
                  </w:r>
                </w:p>
              </w:tc>
              <w:tc>
                <w:tcPr>
                  <w:tcW w:w="195" w:type="pct"/>
                  <w:vMerge w:val="restart"/>
                  <w:shd w:val="clear" w:color="auto" w:fill="auto"/>
                  <w:tcMar>
                    <w:top w:w="0" w:type="dxa"/>
                    <w:left w:w="0" w:type="dxa"/>
                    <w:bottom w:w="0" w:type="dxa"/>
                    <w:right w:w="0" w:type="dxa"/>
                  </w:tcMar>
                  <w:vAlign w:val="center"/>
                </w:tcPr>
                <w:p w14:paraId="1B99931E">
                  <w:pPr>
                    <w:pStyle w:val="20"/>
                    <w:bidi w:val="0"/>
                    <w:jc w:val="center"/>
                    <w:rPr>
                      <w:rFonts w:hint="default"/>
                      <w:color w:val="auto"/>
                      <w:highlight w:val="none"/>
                      <w:lang w:val="en-US" w:eastAsia="zh-CN"/>
                    </w:rPr>
                  </w:pPr>
                  <w:r>
                    <w:rPr>
                      <w:rFonts w:hint="eastAsia"/>
                      <w:color w:val="auto"/>
                      <w:highlight w:val="none"/>
                    </w:rPr>
                    <w:t>厂房隔声、</w:t>
                  </w:r>
                  <w:r>
                    <w:rPr>
                      <w:rFonts w:hint="eastAsia"/>
                      <w:color w:val="auto"/>
                      <w:highlight w:val="none"/>
                      <w:lang w:val="en-US" w:eastAsia="zh-CN"/>
                    </w:rPr>
                    <w:t>基础</w:t>
                  </w:r>
                  <w:r>
                    <w:rPr>
                      <w:rFonts w:hint="eastAsia"/>
                      <w:color w:val="auto"/>
                      <w:highlight w:val="none"/>
                    </w:rPr>
                    <w:t>减振</w:t>
                  </w:r>
                  <w:r>
                    <w:rPr>
                      <w:rFonts w:hint="eastAsia"/>
                      <w:color w:val="auto"/>
                      <w:highlight w:val="none"/>
                      <w:lang w:eastAsia="zh-CN"/>
                    </w:rPr>
                    <w:t>、</w:t>
                  </w:r>
                  <w:r>
                    <w:rPr>
                      <w:rFonts w:hint="eastAsia"/>
                      <w:color w:val="auto"/>
                      <w:highlight w:val="none"/>
                      <w:lang w:val="en-US" w:eastAsia="zh-CN"/>
                    </w:rPr>
                    <w:t>合理布局</w:t>
                  </w:r>
                </w:p>
              </w:tc>
              <w:tc>
                <w:tcPr>
                  <w:tcW w:w="220" w:type="pct"/>
                  <w:shd w:val="clear" w:color="auto" w:fill="auto"/>
                  <w:tcMar>
                    <w:top w:w="0" w:type="dxa"/>
                    <w:left w:w="0" w:type="dxa"/>
                    <w:bottom w:w="0" w:type="dxa"/>
                    <w:right w:w="0" w:type="dxa"/>
                  </w:tcMar>
                  <w:vAlign w:val="center"/>
                </w:tcPr>
                <w:p w14:paraId="343337CF">
                  <w:pPr>
                    <w:pStyle w:val="20"/>
                    <w:bidi w:val="0"/>
                    <w:jc w:val="center"/>
                    <w:rPr>
                      <w:rFonts w:hint="default"/>
                      <w:color w:val="auto"/>
                      <w:highlight w:val="none"/>
                      <w:lang w:val="en-US" w:eastAsia="zh-CN"/>
                    </w:rPr>
                  </w:pPr>
                  <w:r>
                    <w:rPr>
                      <w:color w:val="auto"/>
                      <w:highlight w:val="none"/>
                    </w:rPr>
                    <w:t>-1.7</w:t>
                  </w:r>
                </w:p>
              </w:tc>
              <w:tc>
                <w:tcPr>
                  <w:tcW w:w="238" w:type="pct"/>
                  <w:shd w:val="clear" w:color="auto" w:fill="auto"/>
                  <w:tcMar>
                    <w:top w:w="0" w:type="dxa"/>
                    <w:left w:w="0" w:type="dxa"/>
                    <w:bottom w:w="0" w:type="dxa"/>
                    <w:right w:w="0" w:type="dxa"/>
                  </w:tcMar>
                  <w:vAlign w:val="center"/>
                </w:tcPr>
                <w:p w14:paraId="1A8A606A">
                  <w:pPr>
                    <w:pStyle w:val="20"/>
                    <w:bidi w:val="0"/>
                    <w:jc w:val="center"/>
                    <w:rPr>
                      <w:rFonts w:hint="default"/>
                      <w:color w:val="auto"/>
                      <w:highlight w:val="none"/>
                      <w:lang w:val="en-US" w:eastAsia="zh-CN"/>
                    </w:rPr>
                  </w:pPr>
                  <w:r>
                    <w:rPr>
                      <w:color w:val="auto"/>
                      <w:highlight w:val="none"/>
                    </w:rPr>
                    <w:t>56.6</w:t>
                  </w:r>
                </w:p>
              </w:tc>
              <w:tc>
                <w:tcPr>
                  <w:tcW w:w="190" w:type="pct"/>
                  <w:shd w:val="clear" w:color="auto" w:fill="auto"/>
                  <w:tcMar>
                    <w:top w:w="0" w:type="dxa"/>
                    <w:left w:w="0" w:type="dxa"/>
                    <w:bottom w:w="0" w:type="dxa"/>
                    <w:right w:w="0" w:type="dxa"/>
                  </w:tcMar>
                  <w:vAlign w:val="center"/>
                </w:tcPr>
                <w:p w14:paraId="4DC22A3D">
                  <w:pPr>
                    <w:pStyle w:val="20"/>
                    <w:bidi w:val="0"/>
                    <w:jc w:val="center"/>
                    <w:rPr>
                      <w:rFonts w:hint="default"/>
                      <w:color w:val="auto"/>
                      <w:highlight w:val="none"/>
                      <w:lang w:val="en-US" w:eastAsia="zh-CN"/>
                    </w:rPr>
                  </w:pPr>
                  <w:r>
                    <w:rPr>
                      <w:color w:val="auto"/>
                      <w:highlight w:val="none"/>
                    </w:rPr>
                    <w:t>1.2</w:t>
                  </w:r>
                </w:p>
              </w:tc>
              <w:tc>
                <w:tcPr>
                  <w:tcW w:w="197" w:type="pct"/>
                  <w:shd w:val="clear" w:color="auto" w:fill="auto"/>
                  <w:tcMar>
                    <w:top w:w="0" w:type="dxa"/>
                    <w:left w:w="0" w:type="dxa"/>
                    <w:bottom w:w="0" w:type="dxa"/>
                    <w:right w:w="0" w:type="dxa"/>
                  </w:tcMar>
                  <w:vAlign w:val="center"/>
                </w:tcPr>
                <w:p w14:paraId="1CA32096">
                  <w:pPr>
                    <w:pStyle w:val="20"/>
                    <w:bidi w:val="0"/>
                    <w:jc w:val="center"/>
                    <w:rPr>
                      <w:rFonts w:hint="default"/>
                      <w:color w:val="auto"/>
                      <w:highlight w:val="none"/>
                      <w:lang w:val="en-US" w:eastAsia="zh-CN"/>
                    </w:rPr>
                  </w:pPr>
                  <w:r>
                    <w:rPr>
                      <w:color w:val="auto"/>
                      <w:highlight w:val="none"/>
                    </w:rPr>
                    <w:t>16.0</w:t>
                  </w:r>
                </w:p>
              </w:tc>
              <w:tc>
                <w:tcPr>
                  <w:tcW w:w="194" w:type="pct"/>
                  <w:shd w:val="clear" w:color="auto" w:fill="auto"/>
                  <w:tcMar>
                    <w:top w:w="0" w:type="dxa"/>
                    <w:left w:w="0" w:type="dxa"/>
                    <w:bottom w:w="0" w:type="dxa"/>
                    <w:right w:w="0" w:type="dxa"/>
                  </w:tcMar>
                  <w:vAlign w:val="center"/>
                </w:tcPr>
                <w:p w14:paraId="42EE3F88">
                  <w:pPr>
                    <w:pStyle w:val="20"/>
                    <w:bidi w:val="0"/>
                    <w:jc w:val="center"/>
                    <w:rPr>
                      <w:rFonts w:hint="default"/>
                      <w:color w:val="auto"/>
                      <w:highlight w:val="none"/>
                      <w:lang w:val="en-US" w:eastAsia="zh-CN"/>
                    </w:rPr>
                  </w:pPr>
                  <w:r>
                    <w:rPr>
                      <w:color w:val="auto"/>
                      <w:highlight w:val="none"/>
                    </w:rPr>
                    <w:t>1.7</w:t>
                  </w:r>
                </w:p>
              </w:tc>
              <w:tc>
                <w:tcPr>
                  <w:tcW w:w="166" w:type="pct"/>
                  <w:shd w:val="clear" w:color="auto" w:fill="auto"/>
                  <w:tcMar>
                    <w:top w:w="0" w:type="dxa"/>
                    <w:left w:w="0" w:type="dxa"/>
                    <w:bottom w:w="0" w:type="dxa"/>
                    <w:right w:w="0" w:type="dxa"/>
                  </w:tcMar>
                  <w:vAlign w:val="center"/>
                </w:tcPr>
                <w:p w14:paraId="7E5BFA85">
                  <w:pPr>
                    <w:pStyle w:val="20"/>
                    <w:bidi w:val="0"/>
                    <w:jc w:val="center"/>
                    <w:rPr>
                      <w:rFonts w:hint="default"/>
                      <w:color w:val="auto"/>
                      <w:highlight w:val="none"/>
                      <w:lang w:val="en-US" w:eastAsia="zh-CN"/>
                    </w:rPr>
                  </w:pPr>
                  <w:r>
                    <w:rPr>
                      <w:color w:val="auto"/>
                      <w:highlight w:val="none"/>
                    </w:rPr>
                    <w:t>6.4</w:t>
                  </w:r>
                </w:p>
              </w:tc>
              <w:tc>
                <w:tcPr>
                  <w:tcW w:w="216" w:type="pct"/>
                  <w:shd w:val="clear" w:color="auto" w:fill="auto"/>
                  <w:tcMar>
                    <w:top w:w="0" w:type="dxa"/>
                    <w:left w:w="0" w:type="dxa"/>
                    <w:bottom w:w="0" w:type="dxa"/>
                    <w:right w:w="0" w:type="dxa"/>
                  </w:tcMar>
                  <w:vAlign w:val="center"/>
                </w:tcPr>
                <w:p w14:paraId="2FE33BE6">
                  <w:pPr>
                    <w:pStyle w:val="20"/>
                    <w:bidi w:val="0"/>
                    <w:jc w:val="center"/>
                    <w:rPr>
                      <w:rFonts w:hint="default"/>
                      <w:color w:val="auto"/>
                      <w:highlight w:val="none"/>
                      <w:lang w:val="en-US" w:eastAsia="zh-CN"/>
                    </w:rPr>
                  </w:pPr>
                  <w:r>
                    <w:rPr>
                      <w:color w:val="auto"/>
                      <w:highlight w:val="none"/>
                    </w:rPr>
                    <w:t>23.9</w:t>
                  </w:r>
                </w:p>
              </w:tc>
              <w:tc>
                <w:tcPr>
                  <w:tcW w:w="166" w:type="pct"/>
                  <w:shd w:val="clear" w:color="auto" w:fill="auto"/>
                  <w:tcMar>
                    <w:top w:w="0" w:type="dxa"/>
                    <w:left w:w="0" w:type="dxa"/>
                    <w:bottom w:w="0" w:type="dxa"/>
                    <w:right w:w="0" w:type="dxa"/>
                  </w:tcMar>
                  <w:vAlign w:val="center"/>
                </w:tcPr>
                <w:p w14:paraId="51B6AE3F">
                  <w:pPr>
                    <w:pStyle w:val="20"/>
                    <w:bidi w:val="0"/>
                    <w:jc w:val="center"/>
                    <w:rPr>
                      <w:rFonts w:hint="default"/>
                      <w:color w:val="auto"/>
                      <w:highlight w:val="none"/>
                      <w:lang w:val="en-US" w:eastAsia="zh-CN"/>
                    </w:rPr>
                  </w:pPr>
                  <w:r>
                    <w:rPr>
                      <w:color w:val="auto"/>
                      <w:highlight w:val="none"/>
                    </w:rPr>
                    <w:t>59.1</w:t>
                  </w:r>
                </w:p>
              </w:tc>
              <w:tc>
                <w:tcPr>
                  <w:tcW w:w="166" w:type="pct"/>
                  <w:shd w:val="clear" w:color="auto" w:fill="auto"/>
                  <w:tcMar>
                    <w:top w:w="0" w:type="dxa"/>
                    <w:left w:w="0" w:type="dxa"/>
                    <w:bottom w:w="0" w:type="dxa"/>
                    <w:right w:w="0" w:type="dxa"/>
                  </w:tcMar>
                  <w:vAlign w:val="center"/>
                </w:tcPr>
                <w:p w14:paraId="631C282A">
                  <w:pPr>
                    <w:pStyle w:val="20"/>
                    <w:bidi w:val="0"/>
                    <w:jc w:val="center"/>
                    <w:rPr>
                      <w:rFonts w:hint="default"/>
                      <w:color w:val="auto"/>
                      <w:highlight w:val="none"/>
                      <w:lang w:val="en-US" w:eastAsia="zh-CN"/>
                    </w:rPr>
                  </w:pPr>
                  <w:r>
                    <w:rPr>
                      <w:color w:val="auto"/>
                      <w:highlight w:val="none"/>
                    </w:rPr>
                    <w:t>60.4</w:t>
                  </w:r>
                </w:p>
              </w:tc>
              <w:tc>
                <w:tcPr>
                  <w:tcW w:w="166" w:type="pct"/>
                  <w:shd w:val="clear" w:color="auto" w:fill="auto"/>
                  <w:tcMar>
                    <w:top w:w="0" w:type="dxa"/>
                    <w:left w:w="0" w:type="dxa"/>
                    <w:bottom w:w="0" w:type="dxa"/>
                    <w:right w:w="0" w:type="dxa"/>
                  </w:tcMar>
                  <w:vAlign w:val="center"/>
                </w:tcPr>
                <w:p w14:paraId="21701DDF">
                  <w:pPr>
                    <w:pStyle w:val="20"/>
                    <w:bidi w:val="0"/>
                    <w:jc w:val="center"/>
                    <w:rPr>
                      <w:rFonts w:hint="default"/>
                      <w:color w:val="auto"/>
                      <w:highlight w:val="none"/>
                      <w:lang w:val="en-US" w:eastAsia="zh-CN"/>
                    </w:rPr>
                  </w:pPr>
                  <w:r>
                    <w:rPr>
                      <w:color w:val="auto"/>
                      <w:highlight w:val="none"/>
                    </w:rPr>
                    <w:t>59.2</w:t>
                  </w:r>
                </w:p>
              </w:tc>
              <w:tc>
                <w:tcPr>
                  <w:tcW w:w="182" w:type="pct"/>
                  <w:shd w:val="clear" w:color="auto" w:fill="auto"/>
                  <w:tcMar>
                    <w:top w:w="0" w:type="dxa"/>
                    <w:left w:w="0" w:type="dxa"/>
                    <w:bottom w:w="0" w:type="dxa"/>
                    <w:right w:w="0" w:type="dxa"/>
                  </w:tcMar>
                  <w:vAlign w:val="center"/>
                </w:tcPr>
                <w:p w14:paraId="196EFE4F">
                  <w:pPr>
                    <w:pStyle w:val="20"/>
                    <w:bidi w:val="0"/>
                    <w:jc w:val="center"/>
                    <w:rPr>
                      <w:rFonts w:hint="default"/>
                      <w:color w:val="auto"/>
                      <w:highlight w:val="none"/>
                      <w:lang w:val="en-US" w:eastAsia="zh-CN"/>
                    </w:rPr>
                  </w:pPr>
                  <w:r>
                    <w:rPr>
                      <w:color w:val="auto"/>
                      <w:highlight w:val="none"/>
                    </w:rPr>
                    <w:t>59.1</w:t>
                  </w:r>
                </w:p>
              </w:tc>
              <w:tc>
                <w:tcPr>
                  <w:tcW w:w="185" w:type="pct"/>
                  <w:shd w:val="clear" w:color="auto" w:fill="auto"/>
                  <w:tcMar>
                    <w:top w:w="0" w:type="dxa"/>
                    <w:left w:w="0" w:type="dxa"/>
                    <w:bottom w:w="0" w:type="dxa"/>
                    <w:right w:w="0" w:type="dxa"/>
                  </w:tcMar>
                  <w:vAlign w:val="center"/>
                </w:tcPr>
                <w:p w14:paraId="1CA2656D">
                  <w:pPr>
                    <w:pStyle w:val="20"/>
                    <w:bidi w:val="0"/>
                    <w:jc w:val="center"/>
                    <w:rPr>
                      <w:rFonts w:hint="eastAsia"/>
                      <w:color w:val="auto"/>
                      <w:highlight w:val="none"/>
                      <w:lang w:eastAsia="zh-CN"/>
                    </w:rPr>
                  </w:pPr>
                  <w:r>
                    <w:rPr>
                      <w:rFonts w:hint="eastAsia"/>
                      <w:color w:val="auto"/>
                      <w:highlight w:val="none"/>
                      <w:lang w:eastAsia="zh-CN"/>
                    </w:rPr>
                    <w:t>昼</w:t>
                  </w:r>
                  <w:r>
                    <w:rPr>
                      <w:rFonts w:hint="eastAsia"/>
                      <w:color w:val="auto"/>
                      <w:highlight w:val="none"/>
                      <w:lang w:val="en-US" w:eastAsia="zh-CN"/>
                    </w:rPr>
                    <w:t>间</w:t>
                  </w:r>
                </w:p>
              </w:tc>
              <w:tc>
                <w:tcPr>
                  <w:tcW w:w="166" w:type="pct"/>
                  <w:shd w:val="clear" w:color="auto" w:fill="auto"/>
                  <w:tcMar>
                    <w:top w:w="0" w:type="dxa"/>
                    <w:left w:w="0" w:type="dxa"/>
                    <w:bottom w:w="0" w:type="dxa"/>
                    <w:right w:w="0" w:type="dxa"/>
                  </w:tcMar>
                  <w:vAlign w:val="center"/>
                </w:tcPr>
                <w:p w14:paraId="448E020C">
                  <w:pPr>
                    <w:pStyle w:val="20"/>
                    <w:bidi w:val="0"/>
                    <w:jc w:val="center"/>
                    <w:rPr>
                      <w:rFonts w:hint="default"/>
                      <w:color w:val="auto"/>
                      <w:highlight w:val="none"/>
                      <w:lang w:val="en-US" w:eastAsia="zh-CN"/>
                    </w:rPr>
                  </w:pPr>
                  <w:r>
                    <w:rPr>
                      <w:color w:val="auto"/>
                      <w:highlight w:val="none"/>
                    </w:rPr>
                    <w:t>21.0</w:t>
                  </w:r>
                </w:p>
              </w:tc>
              <w:tc>
                <w:tcPr>
                  <w:tcW w:w="166" w:type="pct"/>
                  <w:shd w:val="clear" w:color="auto" w:fill="auto"/>
                  <w:tcMar>
                    <w:top w:w="0" w:type="dxa"/>
                    <w:left w:w="0" w:type="dxa"/>
                    <w:bottom w:w="0" w:type="dxa"/>
                    <w:right w:w="0" w:type="dxa"/>
                  </w:tcMar>
                  <w:vAlign w:val="center"/>
                </w:tcPr>
                <w:p w14:paraId="31D971DC">
                  <w:pPr>
                    <w:pStyle w:val="20"/>
                    <w:bidi w:val="0"/>
                    <w:jc w:val="center"/>
                    <w:rPr>
                      <w:rFonts w:hint="default"/>
                      <w:color w:val="auto"/>
                      <w:highlight w:val="none"/>
                      <w:lang w:val="en-US" w:eastAsia="zh-CN"/>
                    </w:rPr>
                  </w:pPr>
                  <w:r>
                    <w:rPr>
                      <w:color w:val="auto"/>
                      <w:highlight w:val="none"/>
                    </w:rPr>
                    <w:t>21.0</w:t>
                  </w:r>
                </w:p>
              </w:tc>
              <w:tc>
                <w:tcPr>
                  <w:tcW w:w="166" w:type="pct"/>
                  <w:shd w:val="clear" w:color="auto" w:fill="auto"/>
                  <w:tcMar>
                    <w:top w:w="0" w:type="dxa"/>
                    <w:left w:w="0" w:type="dxa"/>
                    <w:bottom w:w="0" w:type="dxa"/>
                    <w:right w:w="0" w:type="dxa"/>
                  </w:tcMar>
                  <w:vAlign w:val="center"/>
                </w:tcPr>
                <w:p w14:paraId="442573EE">
                  <w:pPr>
                    <w:pStyle w:val="20"/>
                    <w:bidi w:val="0"/>
                    <w:jc w:val="center"/>
                    <w:rPr>
                      <w:rFonts w:hint="default"/>
                      <w:color w:val="auto"/>
                      <w:highlight w:val="none"/>
                      <w:lang w:val="en-US" w:eastAsia="zh-CN"/>
                    </w:rPr>
                  </w:pPr>
                  <w:r>
                    <w:rPr>
                      <w:color w:val="auto"/>
                      <w:highlight w:val="none"/>
                    </w:rPr>
                    <w:t>21.0</w:t>
                  </w:r>
                </w:p>
              </w:tc>
              <w:tc>
                <w:tcPr>
                  <w:tcW w:w="182" w:type="pct"/>
                  <w:shd w:val="clear" w:color="auto" w:fill="auto"/>
                  <w:tcMar>
                    <w:top w:w="0" w:type="dxa"/>
                    <w:left w:w="0" w:type="dxa"/>
                    <w:bottom w:w="0" w:type="dxa"/>
                    <w:right w:w="0" w:type="dxa"/>
                  </w:tcMar>
                  <w:vAlign w:val="center"/>
                </w:tcPr>
                <w:p w14:paraId="48B57C65">
                  <w:pPr>
                    <w:pStyle w:val="20"/>
                    <w:bidi w:val="0"/>
                    <w:jc w:val="center"/>
                    <w:rPr>
                      <w:rFonts w:hint="default"/>
                      <w:color w:val="auto"/>
                      <w:highlight w:val="none"/>
                      <w:lang w:val="en-US" w:eastAsia="zh-CN"/>
                    </w:rPr>
                  </w:pPr>
                  <w:r>
                    <w:rPr>
                      <w:color w:val="auto"/>
                      <w:highlight w:val="none"/>
                    </w:rPr>
                    <w:t>21.0</w:t>
                  </w:r>
                </w:p>
              </w:tc>
              <w:tc>
                <w:tcPr>
                  <w:tcW w:w="166" w:type="pct"/>
                  <w:shd w:val="clear" w:color="auto" w:fill="auto"/>
                  <w:tcMar>
                    <w:top w:w="0" w:type="dxa"/>
                    <w:left w:w="0" w:type="dxa"/>
                    <w:bottom w:w="0" w:type="dxa"/>
                    <w:right w:w="0" w:type="dxa"/>
                  </w:tcMar>
                  <w:vAlign w:val="center"/>
                </w:tcPr>
                <w:p w14:paraId="79B12544">
                  <w:pPr>
                    <w:pStyle w:val="20"/>
                    <w:bidi w:val="0"/>
                    <w:jc w:val="center"/>
                    <w:rPr>
                      <w:rFonts w:hint="default"/>
                      <w:color w:val="auto"/>
                      <w:highlight w:val="none"/>
                      <w:lang w:val="en-US" w:eastAsia="zh-CN"/>
                    </w:rPr>
                  </w:pPr>
                  <w:r>
                    <w:rPr>
                      <w:color w:val="auto"/>
                      <w:highlight w:val="none"/>
                    </w:rPr>
                    <w:t>38.1</w:t>
                  </w:r>
                </w:p>
              </w:tc>
              <w:tc>
                <w:tcPr>
                  <w:tcW w:w="166" w:type="pct"/>
                  <w:shd w:val="clear" w:color="auto" w:fill="auto"/>
                  <w:tcMar>
                    <w:top w:w="0" w:type="dxa"/>
                    <w:left w:w="0" w:type="dxa"/>
                    <w:bottom w:w="0" w:type="dxa"/>
                    <w:right w:w="0" w:type="dxa"/>
                  </w:tcMar>
                  <w:vAlign w:val="center"/>
                </w:tcPr>
                <w:p w14:paraId="261338F1">
                  <w:pPr>
                    <w:pStyle w:val="20"/>
                    <w:bidi w:val="0"/>
                    <w:jc w:val="center"/>
                    <w:rPr>
                      <w:rFonts w:hint="default"/>
                      <w:color w:val="auto"/>
                      <w:highlight w:val="none"/>
                      <w:lang w:val="en-US" w:eastAsia="zh-CN"/>
                    </w:rPr>
                  </w:pPr>
                  <w:r>
                    <w:rPr>
                      <w:color w:val="auto"/>
                      <w:highlight w:val="none"/>
                    </w:rPr>
                    <w:t>39.4</w:t>
                  </w:r>
                </w:p>
              </w:tc>
              <w:tc>
                <w:tcPr>
                  <w:tcW w:w="166" w:type="pct"/>
                  <w:shd w:val="clear" w:color="auto" w:fill="auto"/>
                  <w:tcMar>
                    <w:top w:w="0" w:type="dxa"/>
                    <w:left w:w="0" w:type="dxa"/>
                    <w:bottom w:w="0" w:type="dxa"/>
                    <w:right w:w="0" w:type="dxa"/>
                  </w:tcMar>
                  <w:vAlign w:val="center"/>
                </w:tcPr>
                <w:p w14:paraId="7F7C1A49">
                  <w:pPr>
                    <w:pStyle w:val="20"/>
                    <w:bidi w:val="0"/>
                    <w:jc w:val="center"/>
                    <w:rPr>
                      <w:rFonts w:hint="default"/>
                      <w:color w:val="auto"/>
                      <w:highlight w:val="none"/>
                      <w:lang w:val="en-US" w:eastAsia="zh-CN"/>
                    </w:rPr>
                  </w:pPr>
                  <w:r>
                    <w:rPr>
                      <w:color w:val="auto"/>
                      <w:highlight w:val="none"/>
                    </w:rPr>
                    <w:t>38.2</w:t>
                  </w:r>
                </w:p>
              </w:tc>
              <w:tc>
                <w:tcPr>
                  <w:tcW w:w="166" w:type="pct"/>
                  <w:shd w:val="clear" w:color="auto" w:fill="auto"/>
                  <w:tcMar>
                    <w:top w:w="0" w:type="dxa"/>
                    <w:left w:w="0" w:type="dxa"/>
                    <w:bottom w:w="0" w:type="dxa"/>
                    <w:right w:w="0" w:type="dxa"/>
                  </w:tcMar>
                  <w:vAlign w:val="center"/>
                </w:tcPr>
                <w:p w14:paraId="6CE95C68">
                  <w:pPr>
                    <w:pStyle w:val="20"/>
                    <w:bidi w:val="0"/>
                    <w:jc w:val="center"/>
                    <w:rPr>
                      <w:rFonts w:hint="default"/>
                      <w:color w:val="auto"/>
                      <w:highlight w:val="none"/>
                      <w:lang w:val="en-US" w:eastAsia="zh-CN"/>
                    </w:rPr>
                  </w:pPr>
                  <w:r>
                    <w:rPr>
                      <w:color w:val="auto"/>
                      <w:highlight w:val="none"/>
                    </w:rPr>
                    <w:t>38.1</w:t>
                  </w:r>
                </w:p>
              </w:tc>
              <w:tc>
                <w:tcPr>
                  <w:tcW w:w="235" w:type="pct"/>
                  <w:shd w:val="clear" w:color="auto" w:fill="auto"/>
                  <w:tcMar>
                    <w:top w:w="0" w:type="dxa"/>
                    <w:left w:w="0" w:type="dxa"/>
                    <w:bottom w:w="0" w:type="dxa"/>
                    <w:right w:w="0" w:type="dxa"/>
                  </w:tcMar>
                  <w:vAlign w:val="center"/>
                </w:tcPr>
                <w:p w14:paraId="5098BB9C">
                  <w:pPr>
                    <w:pStyle w:val="20"/>
                    <w:bidi w:val="0"/>
                    <w:jc w:val="center"/>
                    <w:rPr>
                      <w:rFonts w:hint="default"/>
                      <w:color w:val="auto"/>
                      <w:highlight w:val="none"/>
                      <w:lang w:val="en-US" w:eastAsia="zh-CN"/>
                    </w:rPr>
                  </w:pPr>
                  <w:r>
                    <w:rPr>
                      <w:color w:val="auto"/>
                      <w:highlight w:val="none"/>
                    </w:rPr>
                    <w:t>1</w:t>
                  </w:r>
                </w:p>
              </w:tc>
            </w:tr>
            <w:tr w14:paraId="27706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340" w:hRule="atLeast"/>
                <w:jc w:val="center"/>
              </w:trPr>
              <w:tc>
                <w:tcPr>
                  <w:tcW w:w="124" w:type="pct"/>
                  <w:shd w:val="clear" w:color="auto" w:fill="auto"/>
                  <w:tcMar>
                    <w:top w:w="0" w:type="dxa"/>
                    <w:left w:w="0" w:type="dxa"/>
                    <w:bottom w:w="0" w:type="dxa"/>
                    <w:right w:w="0" w:type="dxa"/>
                  </w:tcMar>
                  <w:vAlign w:val="center"/>
                </w:tcPr>
                <w:p w14:paraId="2897E2EE">
                  <w:pPr>
                    <w:pStyle w:val="20"/>
                    <w:bidi w:val="0"/>
                    <w:jc w:val="center"/>
                    <w:rPr>
                      <w:rFonts w:hint="default"/>
                      <w:color w:val="auto"/>
                      <w:highlight w:val="none"/>
                      <w:lang w:val="en-US" w:eastAsia="zh-CN"/>
                    </w:rPr>
                  </w:pPr>
                  <w:r>
                    <w:rPr>
                      <w:color w:val="auto"/>
                      <w:highlight w:val="none"/>
                    </w:rPr>
                    <w:t>2</w:t>
                  </w:r>
                </w:p>
              </w:tc>
              <w:tc>
                <w:tcPr>
                  <w:tcW w:w="209" w:type="pct"/>
                  <w:vMerge w:val="continue"/>
                  <w:shd w:val="clear" w:color="auto" w:fill="auto"/>
                  <w:tcMar>
                    <w:top w:w="0" w:type="dxa"/>
                    <w:left w:w="0" w:type="dxa"/>
                    <w:bottom w:w="0" w:type="dxa"/>
                    <w:right w:w="0" w:type="dxa"/>
                  </w:tcMar>
                  <w:vAlign w:val="center"/>
                </w:tcPr>
                <w:p w14:paraId="6FC31396">
                  <w:pPr>
                    <w:pStyle w:val="20"/>
                    <w:bidi w:val="0"/>
                    <w:jc w:val="center"/>
                    <w:rPr>
                      <w:rFonts w:hint="eastAsia"/>
                      <w:color w:val="auto"/>
                      <w:highlight w:val="none"/>
                      <w:lang w:eastAsia="zh-CN"/>
                    </w:rPr>
                  </w:pPr>
                </w:p>
              </w:tc>
              <w:tc>
                <w:tcPr>
                  <w:tcW w:w="345" w:type="pct"/>
                  <w:shd w:val="clear" w:color="auto" w:fill="auto"/>
                  <w:tcMar>
                    <w:top w:w="0" w:type="dxa"/>
                    <w:left w:w="0" w:type="dxa"/>
                    <w:bottom w:w="0" w:type="dxa"/>
                    <w:right w:w="0" w:type="dxa"/>
                  </w:tcMar>
                  <w:vAlign w:val="center"/>
                </w:tcPr>
                <w:p w14:paraId="3B220BFC">
                  <w:pPr>
                    <w:pStyle w:val="20"/>
                    <w:bidi w:val="0"/>
                    <w:jc w:val="center"/>
                    <w:rPr>
                      <w:rFonts w:hint="default"/>
                      <w:color w:val="auto"/>
                      <w:highlight w:val="none"/>
                      <w:lang w:val="en-US" w:eastAsia="zh-CN"/>
                    </w:rPr>
                  </w:pPr>
                  <w:r>
                    <w:rPr>
                      <w:color w:val="auto"/>
                      <w:highlight w:val="none"/>
                    </w:rPr>
                    <w:t>破碎机1</w:t>
                  </w:r>
                </w:p>
              </w:tc>
              <w:tc>
                <w:tcPr>
                  <w:tcW w:w="248" w:type="pct"/>
                  <w:shd w:val="clear" w:color="auto" w:fill="auto"/>
                  <w:tcMar>
                    <w:top w:w="0" w:type="dxa"/>
                    <w:left w:w="0" w:type="dxa"/>
                    <w:bottom w:w="0" w:type="dxa"/>
                    <w:right w:w="0" w:type="dxa"/>
                  </w:tcMar>
                  <w:vAlign w:val="center"/>
                </w:tcPr>
                <w:p w14:paraId="1F838563">
                  <w:pPr>
                    <w:pStyle w:val="20"/>
                    <w:bidi w:val="0"/>
                    <w:jc w:val="center"/>
                    <w:rPr>
                      <w:rFonts w:hint="default"/>
                      <w:color w:val="auto"/>
                      <w:highlight w:val="none"/>
                      <w:lang w:val="en-US" w:eastAsia="zh-CN"/>
                    </w:rPr>
                  </w:pPr>
                  <w:r>
                    <w:rPr>
                      <w:color w:val="auto"/>
                      <w:highlight w:val="none"/>
                    </w:rPr>
                    <w:t>80</w:t>
                  </w:r>
                </w:p>
              </w:tc>
              <w:tc>
                <w:tcPr>
                  <w:tcW w:w="195" w:type="pct"/>
                  <w:vMerge w:val="continue"/>
                  <w:shd w:val="clear" w:color="auto" w:fill="auto"/>
                  <w:tcMar>
                    <w:top w:w="0" w:type="dxa"/>
                    <w:left w:w="0" w:type="dxa"/>
                    <w:bottom w:w="0" w:type="dxa"/>
                    <w:right w:w="0" w:type="dxa"/>
                  </w:tcMar>
                  <w:vAlign w:val="center"/>
                </w:tcPr>
                <w:p w14:paraId="15187AF7">
                  <w:pPr>
                    <w:pStyle w:val="20"/>
                    <w:bidi w:val="0"/>
                    <w:jc w:val="center"/>
                    <w:rPr>
                      <w:rFonts w:hint="default"/>
                      <w:color w:val="auto"/>
                      <w:highlight w:val="none"/>
                    </w:rPr>
                  </w:pPr>
                </w:p>
              </w:tc>
              <w:tc>
                <w:tcPr>
                  <w:tcW w:w="220" w:type="pct"/>
                  <w:shd w:val="clear" w:color="auto" w:fill="auto"/>
                  <w:tcMar>
                    <w:top w:w="0" w:type="dxa"/>
                    <w:left w:w="0" w:type="dxa"/>
                    <w:bottom w:w="0" w:type="dxa"/>
                    <w:right w:w="0" w:type="dxa"/>
                  </w:tcMar>
                  <w:vAlign w:val="center"/>
                </w:tcPr>
                <w:p w14:paraId="5DB97C0F">
                  <w:pPr>
                    <w:pStyle w:val="20"/>
                    <w:bidi w:val="0"/>
                    <w:jc w:val="center"/>
                    <w:rPr>
                      <w:rFonts w:hint="default"/>
                      <w:color w:val="auto"/>
                      <w:highlight w:val="none"/>
                      <w:lang w:val="en-US" w:eastAsia="zh-CN"/>
                    </w:rPr>
                  </w:pPr>
                  <w:r>
                    <w:rPr>
                      <w:color w:val="auto"/>
                      <w:highlight w:val="none"/>
                    </w:rPr>
                    <w:t>-4.2</w:t>
                  </w:r>
                </w:p>
              </w:tc>
              <w:tc>
                <w:tcPr>
                  <w:tcW w:w="238" w:type="pct"/>
                  <w:shd w:val="clear" w:color="auto" w:fill="auto"/>
                  <w:tcMar>
                    <w:top w:w="0" w:type="dxa"/>
                    <w:left w:w="0" w:type="dxa"/>
                    <w:bottom w:w="0" w:type="dxa"/>
                    <w:right w:w="0" w:type="dxa"/>
                  </w:tcMar>
                  <w:vAlign w:val="center"/>
                </w:tcPr>
                <w:p w14:paraId="439AC341">
                  <w:pPr>
                    <w:pStyle w:val="20"/>
                    <w:bidi w:val="0"/>
                    <w:jc w:val="center"/>
                    <w:rPr>
                      <w:rFonts w:hint="default"/>
                      <w:color w:val="auto"/>
                      <w:highlight w:val="none"/>
                      <w:lang w:val="en-US" w:eastAsia="zh-CN"/>
                    </w:rPr>
                  </w:pPr>
                  <w:r>
                    <w:rPr>
                      <w:color w:val="auto"/>
                      <w:highlight w:val="none"/>
                    </w:rPr>
                    <w:t>56.8</w:t>
                  </w:r>
                </w:p>
              </w:tc>
              <w:tc>
                <w:tcPr>
                  <w:tcW w:w="190" w:type="pct"/>
                  <w:shd w:val="clear" w:color="auto" w:fill="auto"/>
                  <w:tcMar>
                    <w:top w:w="0" w:type="dxa"/>
                    <w:left w:w="0" w:type="dxa"/>
                    <w:bottom w:w="0" w:type="dxa"/>
                    <w:right w:w="0" w:type="dxa"/>
                  </w:tcMar>
                  <w:vAlign w:val="center"/>
                </w:tcPr>
                <w:p w14:paraId="258F5522">
                  <w:pPr>
                    <w:pStyle w:val="20"/>
                    <w:bidi w:val="0"/>
                    <w:jc w:val="center"/>
                    <w:rPr>
                      <w:rFonts w:hint="default"/>
                      <w:color w:val="auto"/>
                      <w:highlight w:val="none"/>
                      <w:lang w:val="en-US" w:eastAsia="zh-CN"/>
                    </w:rPr>
                  </w:pPr>
                  <w:r>
                    <w:rPr>
                      <w:color w:val="auto"/>
                      <w:highlight w:val="none"/>
                    </w:rPr>
                    <w:t>1.2</w:t>
                  </w:r>
                </w:p>
              </w:tc>
              <w:tc>
                <w:tcPr>
                  <w:tcW w:w="197" w:type="pct"/>
                  <w:shd w:val="clear" w:color="auto" w:fill="auto"/>
                  <w:tcMar>
                    <w:top w:w="0" w:type="dxa"/>
                    <w:left w:w="0" w:type="dxa"/>
                    <w:bottom w:w="0" w:type="dxa"/>
                    <w:right w:w="0" w:type="dxa"/>
                  </w:tcMar>
                  <w:vAlign w:val="center"/>
                </w:tcPr>
                <w:p w14:paraId="22D303F5">
                  <w:pPr>
                    <w:pStyle w:val="20"/>
                    <w:bidi w:val="0"/>
                    <w:jc w:val="center"/>
                    <w:rPr>
                      <w:rFonts w:hint="default"/>
                      <w:color w:val="auto"/>
                      <w:highlight w:val="none"/>
                      <w:lang w:val="en-US" w:eastAsia="zh-CN"/>
                    </w:rPr>
                  </w:pPr>
                  <w:r>
                    <w:rPr>
                      <w:color w:val="auto"/>
                      <w:highlight w:val="none"/>
                    </w:rPr>
                    <w:t>18.5</w:t>
                  </w:r>
                </w:p>
              </w:tc>
              <w:tc>
                <w:tcPr>
                  <w:tcW w:w="194" w:type="pct"/>
                  <w:shd w:val="clear" w:color="auto" w:fill="auto"/>
                  <w:tcMar>
                    <w:top w:w="0" w:type="dxa"/>
                    <w:left w:w="0" w:type="dxa"/>
                    <w:bottom w:w="0" w:type="dxa"/>
                    <w:right w:w="0" w:type="dxa"/>
                  </w:tcMar>
                  <w:vAlign w:val="center"/>
                </w:tcPr>
                <w:p w14:paraId="3CAC5553">
                  <w:pPr>
                    <w:pStyle w:val="20"/>
                    <w:bidi w:val="0"/>
                    <w:jc w:val="center"/>
                    <w:rPr>
                      <w:rFonts w:hint="default"/>
                      <w:color w:val="auto"/>
                      <w:highlight w:val="none"/>
                      <w:lang w:val="en-US" w:eastAsia="zh-CN"/>
                    </w:rPr>
                  </w:pPr>
                  <w:r>
                    <w:rPr>
                      <w:color w:val="auto"/>
                      <w:highlight w:val="none"/>
                    </w:rPr>
                    <w:t>1.9</w:t>
                  </w:r>
                </w:p>
              </w:tc>
              <w:tc>
                <w:tcPr>
                  <w:tcW w:w="166" w:type="pct"/>
                  <w:shd w:val="clear" w:color="auto" w:fill="auto"/>
                  <w:tcMar>
                    <w:top w:w="0" w:type="dxa"/>
                    <w:left w:w="0" w:type="dxa"/>
                    <w:bottom w:w="0" w:type="dxa"/>
                    <w:right w:w="0" w:type="dxa"/>
                  </w:tcMar>
                  <w:vAlign w:val="center"/>
                </w:tcPr>
                <w:p w14:paraId="5D22CF5A">
                  <w:pPr>
                    <w:pStyle w:val="20"/>
                    <w:bidi w:val="0"/>
                    <w:jc w:val="center"/>
                    <w:rPr>
                      <w:rFonts w:hint="default"/>
                      <w:color w:val="auto"/>
                      <w:highlight w:val="none"/>
                      <w:lang w:val="en-US" w:eastAsia="zh-CN"/>
                    </w:rPr>
                  </w:pPr>
                  <w:r>
                    <w:rPr>
                      <w:color w:val="auto"/>
                      <w:highlight w:val="none"/>
                    </w:rPr>
                    <w:t>3.9</w:t>
                  </w:r>
                </w:p>
              </w:tc>
              <w:tc>
                <w:tcPr>
                  <w:tcW w:w="216" w:type="pct"/>
                  <w:shd w:val="clear" w:color="auto" w:fill="auto"/>
                  <w:tcMar>
                    <w:top w:w="0" w:type="dxa"/>
                    <w:left w:w="0" w:type="dxa"/>
                    <w:bottom w:w="0" w:type="dxa"/>
                    <w:right w:w="0" w:type="dxa"/>
                  </w:tcMar>
                  <w:vAlign w:val="center"/>
                </w:tcPr>
                <w:p w14:paraId="32056080">
                  <w:pPr>
                    <w:pStyle w:val="20"/>
                    <w:bidi w:val="0"/>
                    <w:jc w:val="center"/>
                    <w:rPr>
                      <w:rFonts w:hint="default"/>
                      <w:color w:val="auto"/>
                      <w:highlight w:val="none"/>
                      <w:lang w:val="en-US" w:eastAsia="zh-CN"/>
                    </w:rPr>
                  </w:pPr>
                  <w:r>
                    <w:rPr>
                      <w:color w:val="auto"/>
                      <w:highlight w:val="none"/>
                    </w:rPr>
                    <w:t>23.7</w:t>
                  </w:r>
                </w:p>
              </w:tc>
              <w:tc>
                <w:tcPr>
                  <w:tcW w:w="166" w:type="pct"/>
                  <w:shd w:val="clear" w:color="auto" w:fill="auto"/>
                  <w:tcMar>
                    <w:top w:w="0" w:type="dxa"/>
                    <w:left w:w="0" w:type="dxa"/>
                    <w:bottom w:w="0" w:type="dxa"/>
                    <w:right w:w="0" w:type="dxa"/>
                  </w:tcMar>
                  <w:vAlign w:val="center"/>
                </w:tcPr>
                <w:p w14:paraId="19B31E50">
                  <w:pPr>
                    <w:pStyle w:val="20"/>
                    <w:bidi w:val="0"/>
                    <w:jc w:val="center"/>
                    <w:rPr>
                      <w:rFonts w:hint="default"/>
                      <w:color w:val="auto"/>
                      <w:highlight w:val="none"/>
                      <w:lang w:val="en-US" w:eastAsia="zh-CN"/>
                    </w:rPr>
                  </w:pPr>
                  <w:r>
                    <w:rPr>
                      <w:color w:val="auto"/>
                      <w:highlight w:val="none"/>
                    </w:rPr>
                    <w:t>69.1</w:t>
                  </w:r>
                </w:p>
              </w:tc>
              <w:tc>
                <w:tcPr>
                  <w:tcW w:w="166" w:type="pct"/>
                  <w:shd w:val="clear" w:color="auto" w:fill="auto"/>
                  <w:tcMar>
                    <w:top w:w="0" w:type="dxa"/>
                    <w:left w:w="0" w:type="dxa"/>
                    <w:bottom w:w="0" w:type="dxa"/>
                    <w:right w:w="0" w:type="dxa"/>
                  </w:tcMar>
                  <w:vAlign w:val="center"/>
                </w:tcPr>
                <w:p w14:paraId="641F73D8">
                  <w:pPr>
                    <w:pStyle w:val="20"/>
                    <w:bidi w:val="0"/>
                    <w:jc w:val="center"/>
                    <w:rPr>
                      <w:rFonts w:hint="default"/>
                      <w:color w:val="auto"/>
                      <w:highlight w:val="none"/>
                      <w:lang w:val="en-US" w:eastAsia="zh-CN"/>
                    </w:rPr>
                  </w:pPr>
                  <w:r>
                    <w:rPr>
                      <w:color w:val="auto"/>
                      <w:highlight w:val="none"/>
                    </w:rPr>
                    <w:t>70.2</w:t>
                  </w:r>
                </w:p>
              </w:tc>
              <w:tc>
                <w:tcPr>
                  <w:tcW w:w="166" w:type="pct"/>
                  <w:shd w:val="clear" w:color="auto" w:fill="auto"/>
                  <w:tcMar>
                    <w:top w:w="0" w:type="dxa"/>
                    <w:left w:w="0" w:type="dxa"/>
                    <w:bottom w:w="0" w:type="dxa"/>
                    <w:right w:w="0" w:type="dxa"/>
                  </w:tcMar>
                  <w:vAlign w:val="center"/>
                </w:tcPr>
                <w:p w14:paraId="388004D2">
                  <w:pPr>
                    <w:pStyle w:val="20"/>
                    <w:bidi w:val="0"/>
                    <w:jc w:val="center"/>
                    <w:rPr>
                      <w:rFonts w:hint="default"/>
                      <w:color w:val="auto"/>
                      <w:highlight w:val="none"/>
                      <w:lang w:val="en-US" w:eastAsia="zh-CN"/>
                    </w:rPr>
                  </w:pPr>
                  <w:r>
                    <w:rPr>
                      <w:color w:val="auto"/>
                      <w:highlight w:val="none"/>
                    </w:rPr>
                    <w:t>69.4</w:t>
                  </w:r>
                </w:p>
              </w:tc>
              <w:tc>
                <w:tcPr>
                  <w:tcW w:w="182" w:type="pct"/>
                  <w:shd w:val="clear" w:color="auto" w:fill="auto"/>
                  <w:tcMar>
                    <w:top w:w="0" w:type="dxa"/>
                    <w:left w:w="0" w:type="dxa"/>
                    <w:bottom w:w="0" w:type="dxa"/>
                    <w:right w:w="0" w:type="dxa"/>
                  </w:tcMar>
                  <w:vAlign w:val="center"/>
                </w:tcPr>
                <w:p w14:paraId="3B0EB92C">
                  <w:pPr>
                    <w:pStyle w:val="20"/>
                    <w:bidi w:val="0"/>
                    <w:jc w:val="center"/>
                    <w:rPr>
                      <w:rFonts w:hint="default"/>
                      <w:color w:val="auto"/>
                      <w:highlight w:val="none"/>
                      <w:lang w:val="en-US" w:eastAsia="zh-CN"/>
                    </w:rPr>
                  </w:pPr>
                  <w:r>
                    <w:rPr>
                      <w:color w:val="auto"/>
                      <w:highlight w:val="none"/>
                    </w:rPr>
                    <w:t>69.1</w:t>
                  </w:r>
                </w:p>
              </w:tc>
              <w:tc>
                <w:tcPr>
                  <w:tcW w:w="185" w:type="pct"/>
                  <w:shd w:val="clear" w:color="auto" w:fill="auto"/>
                  <w:tcMar>
                    <w:top w:w="0" w:type="dxa"/>
                    <w:left w:w="0" w:type="dxa"/>
                    <w:bottom w:w="0" w:type="dxa"/>
                    <w:right w:w="0" w:type="dxa"/>
                  </w:tcMar>
                  <w:vAlign w:val="center"/>
                </w:tcPr>
                <w:p w14:paraId="006ED1FB">
                  <w:pPr>
                    <w:pStyle w:val="20"/>
                    <w:bidi w:val="0"/>
                    <w:jc w:val="center"/>
                    <w:rPr>
                      <w:rFonts w:hint="eastAsia"/>
                      <w:color w:val="auto"/>
                      <w:highlight w:val="none"/>
                      <w:lang w:eastAsia="zh-CN"/>
                    </w:rPr>
                  </w:pPr>
                  <w:r>
                    <w:rPr>
                      <w:rFonts w:hint="eastAsia"/>
                      <w:color w:val="auto"/>
                      <w:highlight w:val="none"/>
                      <w:lang w:eastAsia="zh-CN"/>
                    </w:rPr>
                    <w:t>昼</w:t>
                  </w:r>
                  <w:r>
                    <w:rPr>
                      <w:rFonts w:hint="eastAsia"/>
                      <w:color w:val="auto"/>
                      <w:highlight w:val="none"/>
                      <w:lang w:val="en-US" w:eastAsia="zh-CN"/>
                    </w:rPr>
                    <w:t>间</w:t>
                  </w:r>
                </w:p>
              </w:tc>
              <w:tc>
                <w:tcPr>
                  <w:tcW w:w="166" w:type="pct"/>
                  <w:shd w:val="clear" w:color="auto" w:fill="auto"/>
                  <w:tcMar>
                    <w:top w:w="0" w:type="dxa"/>
                    <w:left w:w="0" w:type="dxa"/>
                    <w:bottom w:w="0" w:type="dxa"/>
                    <w:right w:w="0" w:type="dxa"/>
                  </w:tcMar>
                  <w:vAlign w:val="center"/>
                </w:tcPr>
                <w:p w14:paraId="3ED96BC0">
                  <w:pPr>
                    <w:pStyle w:val="20"/>
                    <w:bidi w:val="0"/>
                    <w:jc w:val="center"/>
                    <w:rPr>
                      <w:rFonts w:hint="default"/>
                      <w:color w:val="auto"/>
                      <w:highlight w:val="none"/>
                      <w:lang w:val="en-US" w:eastAsia="zh-CN"/>
                    </w:rPr>
                  </w:pPr>
                  <w:r>
                    <w:rPr>
                      <w:color w:val="auto"/>
                      <w:highlight w:val="none"/>
                    </w:rPr>
                    <w:t>21.0</w:t>
                  </w:r>
                </w:p>
              </w:tc>
              <w:tc>
                <w:tcPr>
                  <w:tcW w:w="166" w:type="pct"/>
                  <w:shd w:val="clear" w:color="auto" w:fill="auto"/>
                  <w:tcMar>
                    <w:top w:w="0" w:type="dxa"/>
                    <w:left w:w="0" w:type="dxa"/>
                    <w:bottom w:w="0" w:type="dxa"/>
                    <w:right w:w="0" w:type="dxa"/>
                  </w:tcMar>
                  <w:vAlign w:val="center"/>
                </w:tcPr>
                <w:p w14:paraId="38F2416C">
                  <w:pPr>
                    <w:pStyle w:val="20"/>
                    <w:bidi w:val="0"/>
                    <w:jc w:val="center"/>
                    <w:rPr>
                      <w:rFonts w:hint="default"/>
                      <w:color w:val="auto"/>
                      <w:highlight w:val="none"/>
                      <w:lang w:val="en-US" w:eastAsia="zh-CN"/>
                    </w:rPr>
                  </w:pPr>
                  <w:r>
                    <w:rPr>
                      <w:color w:val="auto"/>
                      <w:highlight w:val="none"/>
                    </w:rPr>
                    <w:t>21.0</w:t>
                  </w:r>
                </w:p>
              </w:tc>
              <w:tc>
                <w:tcPr>
                  <w:tcW w:w="166" w:type="pct"/>
                  <w:shd w:val="clear" w:color="auto" w:fill="auto"/>
                  <w:tcMar>
                    <w:top w:w="0" w:type="dxa"/>
                    <w:left w:w="0" w:type="dxa"/>
                    <w:bottom w:w="0" w:type="dxa"/>
                    <w:right w:w="0" w:type="dxa"/>
                  </w:tcMar>
                  <w:vAlign w:val="center"/>
                </w:tcPr>
                <w:p w14:paraId="3C32B655">
                  <w:pPr>
                    <w:pStyle w:val="20"/>
                    <w:bidi w:val="0"/>
                    <w:jc w:val="center"/>
                    <w:rPr>
                      <w:rFonts w:hint="default"/>
                      <w:color w:val="auto"/>
                      <w:highlight w:val="none"/>
                      <w:lang w:val="en-US" w:eastAsia="zh-CN"/>
                    </w:rPr>
                  </w:pPr>
                  <w:r>
                    <w:rPr>
                      <w:color w:val="auto"/>
                      <w:highlight w:val="none"/>
                    </w:rPr>
                    <w:t>21.0</w:t>
                  </w:r>
                </w:p>
              </w:tc>
              <w:tc>
                <w:tcPr>
                  <w:tcW w:w="182" w:type="pct"/>
                  <w:shd w:val="clear" w:color="auto" w:fill="auto"/>
                  <w:tcMar>
                    <w:top w:w="0" w:type="dxa"/>
                    <w:left w:w="0" w:type="dxa"/>
                    <w:bottom w:w="0" w:type="dxa"/>
                    <w:right w:w="0" w:type="dxa"/>
                  </w:tcMar>
                  <w:vAlign w:val="center"/>
                </w:tcPr>
                <w:p w14:paraId="34B0B49D">
                  <w:pPr>
                    <w:pStyle w:val="20"/>
                    <w:bidi w:val="0"/>
                    <w:jc w:val="center"/>
                    <w:rPr>
                      <w:rFonts w:hint="default"/>
                      <w:color w:val="auto"/>
                      <w:highlight w:val="none"/>
                      <w:lang w:val="en-US" w:eastAsia="zh-CN"/>
                    </w:rPr>
                  </w:pPr>
                  <w:r>
                    <w:rPr>
                      <w:color w:val="auto"/>
                      <w:highlight w:val="none"/>
                    </w:rPr>
                    <w:t>21.0</w:t>
                  </w:r>
                </w:p>
              </w:tc>
              <w:tc>
                <w:tcPr>
                  <w:tcW w:w="166" w:type="pct"/>
                  <w:shd w:val="clear" w:color="auto" w:fill="auto"/>
                  <w:tcMar>
                    <w:top w:w="0" w:type="dxa"/>
                    <w:left w:w="0" w:type="dxa"/>
                    <w:bottom w:w="0" w:type="dxa"/>
                    <w:right w:w="0" w:type="dxa"/>
                  </w:tcMar>
                  <w:vAlign w:val="center"/>
                </w:tcPr>
                <w:p w14:paraId="5EC79321">
                  <w:pPr>
                    <w:pStyle w:val="20"/>
                    <w:bidi w:val="0"/>
                    <w:jc w:val="center"/>
                    <w:rPr>
                      <w:rFonts w:hint="default"/>
                      <w:color w:val="auto"/>
                      <w:highlight w:val="none"/>
                      <w:lang w:val="en-US" w:eastAsia="zh-CN"/>
                    </w:rPr>
                  </w:pPr>
                  <w:r>
                    <w:rPr>
                      <w:color w:val="auto"/>
                      <w:highlight w:val="none"/>
                    </w:rPr>
                    <w:t>48.1</w:t>
                  </w:r>
                </w:p>
              </w:tc>
              <w:tc>
                <w:tcPr>
                  <w:tcW w:w="166" w:type="pct"/>
                  <w:shd w:val="clear" w:color="auto" w:fill="auto"/>
                  <w:tcMar>
                    <w:top w:w="0" w:type="dxa"/>
                    <w:left w:w="0" w:type="dxa"/>
                    <w:bottom w:w="0" w:type="dxa"/>
                    <w:right w:w="0" w:type="dxa"/>
                  </w:tcMar>
                  <w:vAlign w:val="center"/>
                </w:tcPr>
                <w:p w14:paraId="6B0F51CE">
                  <w:pPr>
                    <w:pStyle w:val="20"/>
                    <w:bidi w:val="0"/>
                    <w:jc w:val="center"/>
                    <w:rPr>
                      <w:rFonts w:hint="default"/>
                      <w:color w:val="auto"/>
                      <w:highlight w:val="none"/>
                      <w:lang w:val="en-US" w:eastAsia="zh-CN"/>
                    </w:rPr>
                  </w:pPr>
                  <w:r>
                    <w:rPr>
                      <w:color w:val="auto"/>
                      <w:highlight w:val="none"/>
                    </w:rPr>
                    <w:t>49.2</w:t>
                  </w:r>
                </w:p>
              </w:tc>
              <w:tc>
                <w:tcPr>
                  <w:tcW w:w="166" w:type="pct"/>
                  <w:shd w:val="clear" w:color="auto" w:fill="auto"/>
                  <w:tcMar>
                    <w:top w:w="0" w:type="dxa"/>
                    <w:left w:w="0" w:type="dxa"/>
                    <w:bottom w:w="0" w:type="dxa"/>
                    <w:right w:w="0" w:type="dxa"/>
                  </w:tcMar>
                  <w:vAlign w:val="center"/>
                </w:tcPr>
                <w:p w14:paraId="51824244">
                  <w:pPr>
                    <w:pStyle w:val="20"/>
                    <w:bidi w:val="0"/>
                    <w:jc w:val="center"/>
                    <w:rPr>
                      <w:rFonts w:hint="default"/>
                      <w:color w:val="auto"/>
                      <w:highlight w:val="none"/>
                      <w:lang w:val="en-US" w:eastAsia="zh-CN"/>
                    </w:rPr>
                  </w:pPr>
                  <w:r>
                    <w:rPr>
                      <w:color w:val="auto"/>
                      <w:highlight w:val="none"/>
                    </w:rPr>
                    <w:t>48.4</w:t>
                  </w:r>
                </w:p>
              </w:tc>
              <w:tc>
                <w:tcPr>
                  <w:tcW w:w="166" w:type="pct"/>
                  <w:shd w:val="clear" w:color="auto" w:fill="auto"/>
                  <w:tcMar>
                    <w:top w:w="0" w:type="dxa"/>
                    <w:left w:w="0" w:type="dxa"/>
                    <w:bottom w:w="0" w:type="dxa"/>
                    <w:right w:w="0" w:type="dxa"/>
                  </w:tcMar>
                  <w:vAlign w:val="center"/>
                </w:tcPr>
                <w:p w14:paraId="62F883A7">
                  <w:pPr>
                    <w:pStyle w:val="20"/>
                    <w:bidi w:val="0"/>
                    <w:jc w:val="center"/>
                    <w:rPr>
                      <w:rFonts w:hint="default"/>
                      <w:color w:val="auto"/>
                      <w:highlight w:val="none"/>
                      <w:lang w:val="en-US" w:eastAsia="zh-CN"/>
                    </w:rPr>
                  </w:pPr>
                  <w:r>
                    <w:rPr>
                      <w:color w:val="auto"/>
                      <w:highlight w:val="none"/>
                    </w:rPr>
                    <w:t>48.1</w:t>
                  </w:r>
                </w:p>
              </w:tc>
              <w:tc>
                <w:tcPr>
                  <w:tcW w:w="235" w:type="pct"/>
                  <w:shd w:val="clear" w:color="auto" w:fill="auto"/>
                  <w:tcMar>
                    <w:top w:w="0" w:type="dxa"/>
                    <w:left w:w="0" w:type="dxa"/>
                    <w:bottom w:w="0" w:type="dxa"/>
                    <w:right w:w="0" w:type="dxa"/>
                  </w:tcMar>
                  <w:vAlign w:val="center"/>
                </w:tcPr>
                <w:p w14:paraId="74EDF7B2">
                  <w:pPr>
                    <w:pStyle w:val="20"/>
                    <w:bidi w:val="0"/>
                    <w:jc w:val="center"/>
                    <w:rPr>
                      <w:rFonts w:hint="default"/>
                      <w:color w:val="auto"/>
                      <w:highlight w:val="none"/>
                      <w:lang w:val="en-US" w:eastAsia="zh-CN"/>
                    </w:rPr>
                  </w:pPr>
                  <w:r>
                    <w:rPr>
                      <w:color w:val="auto"/>
                      <w:highlight w:val="none"/>
                    </w:rPr>
                    <w:t>1</w:t>
                  </w:r>
                </w:p>
              </w:tc>
            </w:tr>
            <w:tr w14:paraId="39188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340" w:hRule="atLeast"/>
                <w:jc w:val="center"/>
              </w:trPr>
              <w:tc>
                <w:tcPr>
                  <w:tcW w:w="124" w:type="pct"/>
                  <w:shd w:val="clear" w:color="auto" w:fill="auto"/>
                  <w:tcMar>
                    <w:top w:w="0" w:type="dxa"/>
                    <w:left w:w="0" w:type="dxa"/>
                    <w:bottom w:w="0" w:type="dxa"/>
                    <w:right w:w="0" w:type="dxa"/>
                  </w:tcMar>
                  <w:vAlign w:val="center"/>
                </w:tcPr>
                <w:p w14:paraId="1ADE2720">
                  <w:pPr>
                    <w:pStyle w:val="20"/>
                    <w:bidi w:val="0"/>
                    <w:jc w:val="center"/>
                    <w:rPr>
                      <w:rFonts w:hint="default"/>
                      <w:color w:val="auto"/>
                      <w:highlight w:val="none"/>
                      <w:lang w:val="en-US" w:eastAsia="zh-CN"/>
                    </w:rPr>
                  </w:pPr>
                  <w:r>
                    <w:rPr>
                      <w:color w:val="auto"/>
                      <w:highlight w:val="none"/>
                    </w:rPr>
                    <w:t>3</w:t>
                  </w:r>
                </w:p>
              </w:tc>
              <w:tc>
                <w:tcPr>
                  <w:tcW w:w="209" w:type="pct"/>
                  <w:vMerge w:val="continue"/>
                  <w:shd w:val="clear" w:color="auto" w:fill="auto"/>
                  <w:tcMar>
                    <w:top w:w="0" w:type="dxa"/>
                    <w:left w:w="0" w:type="dxa"/>
                    <w:bottom w:w="0" w:type="dxa"/>
                    <w:right w:w="0" w:type="dxa"/>
                  </w:tcMar>
                  <w:vAlign w:val="center"/>
                </w:tcPr>
                <w:p w14:paraId="17E2FBE9">
                  <w:pPr>
                    <w:pStyle w:val="20"/>
                    <w:bidi w:val="0"/>
                    <w:jc w:val="center"/>
                    <w:rPr>
                      <w:rFonts w:hint="eastAsia"/>
                      <w:color w:val="auto"/>
                      <w:highlight w:val="none"/>
                      <w:lang w:eastAsia="zh-CN"/>
                    </w:rPr>
                  </w:pPr>
                </w:p>
              </w:tc>
              <w:tc>
                <w:tcPr>
                  <w:tcW w:w="345" w:type="pct"/>
                  <w:shd w:val="clear" w:color="auto" w:fill="auto"/>
                  <w:tcMar>
                    <w:top w:w="0" w:type="dxa"/>
                    <w:left w:w="0" w:type="dxa"/>
                    <w:bottom w:w="0" w:type="dxa"/>
                    <w:right w:w="0" w:type="dxa"/>
                  </w:tcMar>
                  <w:vAlign w:val="center"/>
                </w:tcPr>
                <w:p w14:paraId="7035560D">
                  <w:pPr>
                    <w:pStyle w:val="20"/>
                    <w:bidi w:val="0"/>
                    <w:jc w:val="center"/>
                    <w:rPr>
                      <w:rFonts w:hint="default"/>
                      <w:color w:val="auto"/>
                      <w:highlight w:val="none"/>
                      <w:lang w:val="en-US" w:eastAsia="zh-CN"/>
                    </w:rPr>
                  </w:pPr>
                  <w:r>
                    <w:rPr>
                      <w:color w:val="auto"/>
                      <w:highlight w:val="none"/>
                    </w:rPr>
                    <w:t>破碎机2</w:t>
                  </w:r>
                </w:p>
              </w:tc>
              <w:tc>
                <w:tcPr>
                  <w:tcW w:w="248" w:type="pct"/>
                  <w:shd w:val="clear" w:color="auto" w:fill="auto"/>
                  <w:tcMar>
                    <w:top w:w="0" w:type="dxa"/>
                    <w:left w:w="0" w:type="dxa"/>
                    <w:bottom w:w="0" w:type="dxa"/>
                    <w:right w:w="0" w:type="dxa"/>
                  </w:tcMar>
                  <w:vAlign w:val="center"/>
                </w:tcPr>
                <w:p w14:paraId="0F1B297E">
                  <w:pPr>
                    <w:pStyle w:val="20"/>
                    <w:bidi w:val="0"/>
                    <w:jc w:val="center"/>
                    <w:rPr>
                      <w:rFonts w:hint="default"/>
                      <w:color w:val="auto"/>
                      <w:highlight w:val="none"/>
                      <w:lang w:val="en-US" w:eastAsia="zh-CN"/>
                    </w:rPr>
                  </w:pPr>
                  <w:r>
                    <w:rPr>
                      <w:color w:val="auto"/>
                      <w:highlight w:val="none"/>
                    </w:rPr>
                    <w:t>80</w:t>
                  </w:r>
                </w:p>
              </w:tc>
              <w:tc>
                <w:tcPr>
                  <w:tcW w:w="195" w:type="pct"/>
                  <w:vMerge w:val="continue"/>
                  <w:shd w:val="clear" w:color="auto" w:fill="auto"/>
                  <w:tcMar>
                    <w:top w:w="0" w:type="dxa"/>
                    <w:left w:w="0" w:type="dxa"/>
                    <w:bottom w:w="0" w:type="dxa"/>
                    <w:right w:w="0" w:type="dxa"/>
                  </w:tcMar>
                  <w:vAlign w:val="center"/>
                </w:tcPr>
                <w:p w14:paraId="2750959C">
                  <w:pPr>
                    <w:pStyle w:val="20"/>
                    <w:bidi w:val="0"/>
                    <w:jc w:val="center"/>
                    <w:rPr>
                      <w:rFonts w:hint="default"/>
                      <w:color w:val="auto"/>
                      <w:highlight w:val="none"/>
                    </w:rPr>
                  </w:pPr>
                </w:p>
              </w:tc>
              <w:tc>
                <w:tcPr>
                  <w:tcW w:w="220" w:type="pct"/>
                  <w:shd w:val="clear" w:color="auto" w:fill="auto"/>
                  <w:tcMar>
                    <w:top w:w="0" w:type="dxa"/>
                    <w:left w:w="0" w:type="dxa"/>
                    <w:bottom w:w="0" w:type="dxa"/>
                    <w:right w:w="0" w:type="dxa"/>
                  </w:tcMar>
                  <w:vAlign w:val="center"/>
                </w:tcPr>
                <w:p w14:paraId="4E1CCA1B">
                  <w:pPr>
                    <w:pStyle w:val="20"/>
                    <w:bidi w:val="0"/>
                    <w:jc w:val="center"/>
                    <w:rPr>
                      <w:rFonts w:hint="default"/>
                      <w:color w:val="auto"/>
                      <w:highlight w:val="none"/>
                      <w:lang w:val="en-US" w:eastAsia="zh-CN"/>
                    </w:rPr>
                  </w:pPr>
                  <w:r>
                    <w:rPr>
                      <w:color w:val="auto"/>
                      <w:highlight w:val="none"/>
                    </w:rPr>
                    <w:t>-6.3</w:t>
                  </w:r>
                </w:p>
              </w:tc>
              <w:tc>
                <w:tcPr>
                  <w:tcW w:w="238" w:type="pct"/>
                  <w:shd w:val="clear" w:color="auto" w:fill="auto"/>
                  <w:tcMar>
                    <w:top w:w="0" w:type="dxa"/>
                    <w:left w:w="0" w:type="dxa"/>
                    <w:bottom w:w="0" w:type="dxa"/>
                    <w:right w:w="0" w:type="dxa"/>
                  </w:tcMar>
                  <w:vAlign w:val="center"/>
                </w:tcPr>
                <w:p w14:paraId="01CE77A4">
                  <w:pPr>
                    <w:pStyle w:val="20"/>
                    <w:bidi w:val="0"/>
                    <w:jc w:val="center"/>
                    <w:rPr>
                      <w:rFonts w:hint="default"/>
                      <w:color w:val="auto"/>
                      <w:highlight w:val="none"/>
                      <w:lang w:val="en-US" w:eastAsia="zh-CN"/>
                    </w:rPr>
                  </w:pPr>
                  <w:r>
                    <w:rPr>
                      <w:color w:val="auto"/>
                      <w:highlight w:val="none"/>
                    </w:rPr>
                    <w:t>57</w:t>
                  </w:r>
                </w:p>
              </w:tc>
              <w:tc>
                <w:tcPr>
                  <w:tcW w:w="190" w:type="pct"/>
                  <w:shd w:val="clear" w:color="auto" w:fill="auto"/>
                  <w:tcMar>
                    <w:top w:w="0" w:type="dxa"/>
                    <w:left w:w="0" w:type="dxa"/>
                    <w:bottom w:w="0" w:type="dxa"/>
                    <w:right w:w="0" w:type="dxa"/>
                  </w:tcMar>
                  <w:vAlign w:val="center"/>
                </w:tcPr>
                <w:p w14:paraId="281B7889">
                  <w:pPr>
                    <w:pStyle w:val="20"/>
                    <w:bidi w:val="0"/>
                    <w:jc w:val="center"/>
                    <w:rPr>
                      <w:rFonts w:hint="default"/>
                      <w:color w:val="auto"/>
                      <w:highlight w:val="none"/>
                      <w:lang w:val="en-US" w:eastAsia="zh-CN"/>
                    </w:rPr>
                  </w:pPr>
                  <w:r>
                    <w:rPr>
                      <w:color w:val="auto"/>
                      <w:highlight w:val="none"/>
                    </w:rPr>
                    <w:t>1.2</w:t>
                  </w:r>
                </w:p>
              </w:tc>
              <w:tc>
                <w:tcPr>
                  <w:tcW w:w="197" w:type="pct"/>
                  <w:shd w:val="clear" w:color="auto" w:fill="auto"/>
                  <w:tcMar>
                    <w:top w:w="0" w:type="dxa"/>
                    <w:left w:w="0" w:type="dxa"/>
                    <w:bottom w:w="0" w:type="dxa"/>
                    <w:right w:w="0" w:type="dxa"/>
                  </w:tcMar>
                  <w:vAlign w:val="center"/>
                </w:tcPr>
                <w:p w14:paraId="2CE3713A">
                  <w:pPr>
                    <w:pStyle w:val="20"/>
                    <w:bidi w:val="0"/>
                    <w:jc w:val="center"/>
                    <w:rPr>
                      <w:rFonts w:hint="default"/>
                      <w:color w:val="auto"/>
                      <w:highlight w:val="none"/>
                      <w:lang w:val="en-US" w:eastAsia="zh-CN"/>
                    </w:rPr>
                  </w:pPr>
                  <w:r>
                    <w:rPr>
                      <w:color w:val="auto"/>
                      <w:highlight w:val="none"/>
                    </w:rPr>
                    <w:t>20.6</w:t>
                  </w:r>
                </w:p>
              </w:tc>
              <w:tc>
                <w:tcPr>
                  <w:tcW w:w="194" w:type="pct"/>
                  <w:shd w:val="clear" w:color="auto" w:fill="auto"/>
                  <w:tcMar>
                    <w:top w:w="0" w:type="dxa"/>
                    <w:left w:w="0" w:type="dxa"/>
                    <w:bottom w:w="0" w:type="dxa"/>
                    <w:right w:w="0" w:type="dxa"/>
                  </w:tcMar>
                  <w:vAlign w:val="center"/>
                </w:tcPr>
                <w:p w14:paraId="5DD53790">
                  <w:pPr>
                    <w:pStyle w:val="20"/>
                    <w:bidi w:val="0"/>
                    <w:jc w:val="center"/>
                    <w:rPr>
                      <w:rFonts w:hint="default"/>
                      <w:color w:val="auto"/>
                      <w:highlight w:val="none"/>
                      <w:lang w:val="en-US" w:eastAsia="zh-CN"/>
                    </w:rPr>
                  </w:pPr>
                  <w:r>
                    <w:rPr>
                      <w:color w:val="auto"/>
                      <w:highlight w:val="none"/>
                    </w:rPr>
                    <w:t>2.1</w:t>
                  </w:r>
                </w:p>
              </w:tc>
              <w:tc>
                <w:tcPr>
                  <w:tcW w:w="166" w:type="pct"/>
                  <w:shd w:val="clear" w:color="auto" w:fill="auto"/>
                  <w:tcMar>
                    <w:top w:w="0" w:type="dxa"/>
                    <w:left w:w="0" w:type="dxa"/>
                    <w:bottom w:w="0" w:type="dxa"/>
                    <w:right w:w="0" w:type="dxa"/>
                  </w:tcMar>
                  <w:vAlign w:val="center"/>
                </w:tcPr>
                <w:p w14:paraId="3DA6FE3C">
                  <w:pPr>
                    <w:pStyle w:val="20"/>
                    <w:bidi w:val="0"/>
                    <w:jc w:val="center"/>
                    <w:rPr>
                      <w:rFonts w:hint="default"/>
                      <w:color w:val="auto"/>
                      <w:highlight w:val="none"/>
                      <w:lang w:val="en-US" w:eastAsia="zh-CN"/>
                    </w:rPr>
                  </w:pPr>
                  <w:r>
                    <w:rPr>
                      <w:color w:val="auto"/>
                      <w:highlight w:val="none"/>
                    </w:rPr>
                    <w:t>1.8</w:t>
                  </w:r>
                </w:p>
              </w:tc>
              <w:tc>
                <w:tcPr>
                  <w:tcW w:w="216" w:type="pct"/>
                  <w:shd w:val="clear" w:color="auto" w:fill="auto"/>
                  <w:tcMar>
                    <w:top w:w="0" w:type="dxa"/>
                    <w:left w:w="0" w:type="dxa"/>
                    <w:bottom w:w="0" w:type="dxa"/>
                    <w:right w:w="0" w:type="dxa"/>
                  </w:tcMar>
                  <w:vAlign w:val="center"/>
                </w:tcPr>
                <w:p w14:paraId="01DC675B">
                  <w:pPr>
                    <w:pStyle w:val="20"/>
                    <w:bidi w:val="0"/>
                    <w:jc w:val="center"/>
                    <w:rPr>
                      <w:rFonts w:hint="default"/>
                      <w:color w:val="auto"/>
                      <w:highlight w:val="none"/>
                      <w:lang w:val="en-US" w:eastAsia="zh-CN"/>
                    </w:rPr>
                  </w:pPr>
                  <w:r>
                    <w:rPr>
                      <w:color w:val="auto"/>
                      <w:highlight w:val="none"/>
                    </w:rPr>
                    <w:t>23.5</w:t>
                  </w:r>
                </w:p>
              </w:tc>
              <w:tc>
                <w:tcPr>
                  <w:tcW w:w="166" w:type="pct"/>
                  <w:shd w:val="clear" w:color="auto" w:fill="auto"/>
                  <w:tcMar>
                    <w:top w:w="0" w:type="dxa"/>
                    <w:left w:w="0" w:type="dxa"/>
                    <w:bottom w:w="0" w:type="dxa"/>
                    <w:right w:w="0" w:type="dxa"/>
                  </w:tcMar>
                  <w:vAlign w:val="center"/>
                </w:tcPr>
                <w:p w14:paraId="66FBEB23">
                  <w:pPr>
                    <w:pStyle w:val="20"/>
                    <w:bidi w:val="0"/>
                    <w:jc w:val="center"/>
                    <w:rPr>
                      <w:rFonts w:hint="default"/>
                      <w:color w:val="auto"/>
                      <w:highlight w:val="none"/>
                      <w:lang w:val="en-US" w:eastAsia="zh-CN"/>
                    </w:rPr>
                  </w:pPr>
                  <w:r>
                    <w:rPr>
                      <w:color w:val="auto"/>
                      <w:highlight w:val="none"/>
                    </w:rPr>
                    <w:t>69.1</w:t>
                  </w:r>
                </w:p>
              </w:tc>
              <w:tc>
                <w:tcPr>
                  <w:tcW w:w="166" w:type="pct"/>
                  <w:shd w:val="clear" w:color="auto" w:fill="auto"/>
                  <w:tcMar>
                    <w:top w:w="0" w:type="dxa"/>
                    <w:left w:w="0" w:type="dxa"/>
                    <w:bottom w:w="0" w:type="dxa"/>
                    <w:right w:w="0" w:type="dxa"/>
                  </w:tcMar>
                  <w:vAlign w:val="center"/>
                </w:tcPr>
                <w:p w14:paraId="01B38473">
                  <w:pPr>
                    <w:pStyle w:val="20"/>
                    <w:bidi w:val="0"/>
                    <w:jc w:val="center"/>
                    <w:rPr>
                      <w:rFonts w:hint="default"/>
                      <w:color w:val="auto"/>
                      <w:highlight w:val="none"/>
                      <w:lang w:val="en-US" w:eastAsia="zh-CN"/>
                    </w:rPr>
                  </w:pPr>
                  <w:r>
                    <w:rPr>
                      <w:color w:val="auto"/>
                      <w:highlight w:val="none"/>
                    </w:rPr>
                    <w:t>70.0</w:t>
                  </w:r>
                </w:p>
              </w:tc>
              <w:tc>
                <w:tcPr>
                  <w:tcW w:w="166" w:type="pct"/>
                  <w:shd w:val="clear" w:color="auto" w:fill="auto"/>
                  <w:tcMar>
                    <w:top w:w="0" w:type="dxa"/>
                    <w:left w:w="0" w:type="dxa"/>
                    <w:bottom w:w="0" w:type="dxa"/>
                    <w:right w:w="0" w:type="dxa"/>
                  </w:tcMar>
                  <w:vAlign w:val="center"/>
                </w:tcPr>
                <w:p w14:paraId="68EC02AD">
                  <w:pPr>
                    <w:pStyle w:val="20"/>
                    <w:bidi w:val="0"/>
                    <w:jc w:val="center"/>
                    <w:rPr>
                      <w:rFonts w:hint="default"/>
                      <w:color w:val="auto"/>
                      <w:highlight w:val="none"/>
                      <w:lang w:val="en-US" w:eastAsia="zh-CN"/>
                    </w:rPr>
                  </w:pPr>
                  <w:r>
                    <w:rPr>
                      <w:color w:val="auto"/>
                      <w:highlight w:val="none"/>
                    </w:rPr>
                    <w:t>70.3</w:t>
                  </w:r>
                </w:p>
              </w:tc>
              <w:tc>
                <w:tcPr>
                  <w:tcW w:w="182" w:type="pct"/>
                  <w:shd w:val="clear" w:color="auto" w:fill="auto"/>
                  <w:tcMar>
                    <w:top w:w="0" w:type="dxa"/>
                    <w:left w:w="0" w:type="dxa"/>
                    <w:bottom w:w="0" w:type="dxa"/>
                    <w:right w:w="0" w:type="dxa"/>
                  </w:tcMar>
                  <w:vAlign w:val="center"/>
                </w:tcPr>
                <w:p w14:paraId="1EE8B4CE">
                  <w:pPr>
                    <w:pStyle w:val="20"/>
                    <w:bidi w:val="0"/>
                    <w:jc w:val="center"/>
                    <w:rPr>
                      <w:rFonts w:hint="default"/>
                      <w:color w:val="auto"/>
                      <w:highlight w:val="none"/>
                      <w:lang w:val="en-US" w:eastAsia="zh-CN"/>
                    </w:rPr>
                  </w:pPr>
                  <w:r>
                    <w:rPr>
                      <w:color w:val="auto"/>
                      <w:highlight w:val="none"/>
                    </w:rPr>
                    <w:t>69.1</w:t>
                  </w:r>
                </w:p>
              </w:tc>
              <w:tc>
                <w:tcPr>
                  <w:tcW w:w="185" w:type="pct"/>
                  <w:shd w:val="clear" w:color="auto" w:fill="auto"/>
                  <w:tcMar>
                    <w:top w:w="0" w:type="dxa"/>
                    <w:left w:w="0" w:type="dxa"/>
                    <w:bottom w:w="0" w:type="dxa"/>
                    <w:right w:w="0" w:type="dxa"/>
                  </w:tcMar>
                  <w:vAlign w:val="center"/>
                </w:tcPr>
                <w:p w14:paraId="4CD73AA5">
                  <w:pPr>
                    <w:pStyle w:val="20"/>
                    <w:bidi w:val="0"/>
                    <w:jc w:val="center"/>
                    <w:rPr>
                      <w:rFonts w:hint="eastAsia"/>
                      <w:color w:val="auto"/>
                      <w:highlight w:val="none"/>
                      <w:lang w:eastAsia="zh-CN"/>
                    </w:rPr>
                  </w:pPr>
                  <w:r>
                    <w:rPr>
                      <w:rFonts w:hint="eastAsia"/>
                      <w:color w:val="auto"/>
                      <w:highlight w:val="none"/>
                      <w:lang w:eastAsia="zh-CN"/>
                    </w:rPr>
                    <w:t>昼</w:t>
                  </w:r>
                  <w:r>
                    <w:rPr>
                      <w:rFonts w:hint="eastAsia"/>
                      <w:color w:val="auto"/>
                      <w:highlight w:val="none"/>
                      <w:lang w:val="en-US" w:eastAsia="zh-CN"/>
                    </w:rPr>
                    <w:t>间</w:t>
                  </w:r>
                </w:p>
              </w:tc>
              <w:tc>
                <w:tcPr>
                  <w:tcW w:w="166" w:type="pct"/>
                  <w:shd w:val="clear" w:color="auto" w:fill="auto"/>
                  <w:tcMar>
                    <w:top w:w="0" w:type="dxa"/>
                    <w:left w:w="0" w:type="dxa"/>
                    <w:bottom w:w="0" w:type="dxa"/>
                    <w:right w:w="0" w:type="dxa"/>
                  </w:tcMar>
                  <w:vAlign w:val="center"/>
                </w:tcPr>
                <w:p w14:paraId="38B8C5C8">
                  <w:pPr>
                    <w:pStyle w:val="20"/>
                    <w:bidi w:val="0"/>
                    <w:jc w:val="center"/>
                    <w:rPr>
                      <w:rFonts w:hint="default"/>
                      <w:color w:val="auto"/>
                      <w:highlight w:val="none"/>
                      <w:lang w:val="en-US" w:eastAsia="zh-CN"/>
                    </w:rPr>
                  </w:pPr>
                  <w:r>
                    <w:rPr>
                      <w:color w:val="auto"/>
                      <w:highlight w:val="none"/>
                    </w:rPr>
                    <w:t>21.0</w:t>
                  </w:r>
                </w:p>
              </w:tc>
              <w:tc>
                <w:tcPr>
                  <w:tcW w:w="166" w:type="pct"/>
                  <w:shd w:val="clear" w:color="auto" w:fill="auto"/>
                  <w:tcMar>
                    <w:top w:w="0" w:type="dxa"/>
                    <w:left w:w="0" w:type="dxa"/>
                    <w:bottom w:w="0" w:type="dxa"/>
                    <w:right w:w="0" w:type="dxa"/>
                  </w:tcMar>
                  <w:vAlign w:val="center"/>
                </w:tcPr>
                <w:p w14:paraId="5E4502C0">
                  <w:pPr>
                    <w:pStyle w:val="20"/>
                    <w:bidi w:val="0"/>
                    <w:jc w:val="center"/>
                    <w:rPr>
                      <w:rFonts w:hint="default"/>
                      <w:color w:val="auto"/>
                      <w:highlight w:val="none"/>
                      <w:lang w:val="en-US" w:eastAsia="zh-CN"/>
                    </w:rPr>
                  </w:pPr>
                  <w:r>
                    <w:rPr>
                      <w:color w:val="auto"/>
                      <w:highlight w:val="none"/>
                    </w:rPr>
                    <w:t>21.0</w:t>
                  </w:r>
                </w:p>
              </w:tc>
              <w:tc>
                <w:tcPr>
                  <w:tcW w:w="166" w:type="pct"/>
                  <w:shd w:val="clear" w:color="auto" w:fill="auto"/>
                  <w:tcMar>
                    <w:top w:w="0" w:type="dxa"/>
                    <w:left w:w="0" w:type="dxa"/>
                    <w:bottom w:w="0" w:type="dxa"/>
                    <w:right w:w="0" w:type="dxa"/>
                  </w:tcMar>
                  <w:vAlign w:val="center"/>
                </w:tcPr>
                <w:p w14:paraId="2CAE49BA">
                  <w:pPr>
                    <w:pStyle w:val="20"/>
                    <w:bidi w:val="0"/>
                    <w:jc w:val="center"/>
                    <w:rPr>
                      <w:rFonts w:hint="default"/>
                      <w:color w:val="auto"/>
                      <w:highlight w:val="none"/>
                      <w:lang w:val="en-US" w:eastAsia="zh-CN"/>
                    </w:rPr>
                  </w:pPr>
                  <w:r>
                    <w:rPr>
                      <w:color w:val="auto"/>
                      <w:highlight w:val="none"/>
                    </w:rPr>
                    <w:t>21.0</w:t>
                  </w:r>
                </w:p>
              </w:tc>
              <w:tc>
                <w:tcPr>
                  <w:tcW w:w="182" w:type="pct"/>
                  <w:shd w:val="clear" w:color="auto" w:fill="auto"/>
                  <w:tcMar>
                    <w:top w:w="0" w:type="dxa"/>
                    <w:left w:w="0" w:type="dxa"/>
                    <w:bottom w:w="0" w:type="dxa"/>
                    <w:right w:w="0" w:type="dxa"/>
                  </w:tcMar>
                  <w:vAlign w:val="center"/>
                </w:tcPr>
                <w:p w14:paraId="05BD4C5E">
                  <w:pPr>
                    <w:pStyle w:val="20"/>
                    <w:bidi w:val="0"/>
                    <w:jc w:val="center"/>
                    <w:rPr>
                      <w:rFonts w:hint="default"/>
                      <w:color w:val="auto"/>
                      <w:highlight w:val="none"/>
                      <w:lang w:val="en-US" w:eastAsia="zh-CN"/>
                    </w:rPr>
                  </w:pPr>
                  <w:r>
                    <w:rPr>
                      <w:color w:val="auto"/>
                      <w:highlight w:val="none"/>
                    </w:rPr>
                    <w:t>21.0</w:t>
                  </w:r>
                </w:p>
              </w:tc>
              <w:tc>
                <w:tcPr>
                  <w:tcW w:w="166" w:type="pct"/>
                  <w:shd w:val="clear" w:color="auto" w:fill="auto"/>
                  <w:tcMar>
                    <w:top w:w="0" w:type="dxa"/>
                    <w:left w:w="0" w:type="dxa"/>
                    <w:bottom w:w="0" w:type="dxa"/>
                    <w:right w:w="0" w:type="dxa"/>
                  </w:tcMar>
                  <w:vAlign w:val="center"/>
                </w:tcPr>
                <w:p w14:paraId="556AD52E">
                  <w:pPr>
                    <w:pStyle w:val="20"/>
                    <w:bidi w:val="0"/>
                    <w:jc w:val="center"/>
                    <w:rPr>
                      <w:rFonts w:hint="default"/>
                      <w:color w:val="auto"/>
                      <w:highlight w:val="none"/>
                      <w:lang w:val="en-US" w:eastAsia="zh-CN"/>
                    </w:rPr>
                  </w:pPr>
                  <w:r>
                    <w:rPr>
                      <w:color w:val="auto"/>
                      <w:highlight w:val="none"/>
                    </w:rPr>
                    <w:t>48.1</w:t>
                  </w:r>
                </w:p>
              </w:tc>
              <w:tc>
                <w:tcPr>
                  <w:tcW w:w="166" w:type="pct"/>
                  <w:shd w:val="clear" w:color="auto" w:fill="auto"/>
                  <w:tcMar>
                    <w:top w:w="0" w:type="dxa"/>
                    <w:left w:w="0" w:type="dxa"/>
                    <w:bottom w:w="0" w:type="dxa"/>
                    <w:right w:w="0" w:type="dxa"/>
                  </w:tcMar>
                  <w:vAlign w:val="center"/>
                </w:tcPr>
                <w:p w14:paraId="0BC1C3A5">
                  <w:pPr>
                    <w:pStyle w:val="20"/>
                    <w:bidi w:val="0"/>
                    <w:jc w:val="center"/>
                    <w:rPr>
                      <w:rFonts w:hint="default"/>
                      <w:color w:val="auto"/>
                      <w:highlight w:val="none"/>
                      <w:lang w:val="en-US" w:eastAsia="zh-CN"/>
                    </w:rPr>
                  </w:pPr>
                  <w:r>
                    <w:rPr>
                      <w:color w:val="auto"/>
                      <w:highlight w:val="none"/>
                    </w:rPr>
                    <w:t>49.0</w:t>
                  </w:r>
                </w:p>
              </w:tc>
              <w:tc>
                <w:tcPr>
                  <w:tcW w:w="166" w:type="pct"/>
                  <w:shd w:val="clear" w:color="auto" w:fill="auto"/>
                  <w:tcMar>
                    <w:top w:w="0" w:type="dxa"/>
                    <w:left w:w="0" w:type="dxa"/>
                    <w:bottom w:w="0" w:type="dxa"/>
                    <w:right w:w="0" w:type="dxa"/>
                  </w:tcMar>
                  <w:vAlign w:val="center"/>
                </w:tcPr>
                <w:p w14:paraId="1153EF07">
                  <w:pPr>
                    <w:pStyle w:val="20"/>
                    <w:bidi w:val="0"/>
                    <w:jc w:val="center"/>
                    <w:rPr>
                      <w:rFonts w:hint="default"/>
                      <w:color w:val="auto"/>
                      <w:highlight w:val="none"/>
                      <w:lang w:val="en-US" w:eastAsia="zh-CN"/>
                    </w:rPr>
                  </w:pPr>
                  <w:r>
                    <w:rPr>
                      <w:color w:val="auto"/>
                      <w:highlight w:val="none"/>
                    </w:rPr>
                    <w:t>49.3</w:t>
                  </w:r>
                </w:p>
              </w:tc>
              <w:tc>
                <w:tcPr>
                  <w:tcW w:w="166" w:type="pct"/>
                  <w:shd w:val="clear" w:color="auto" w:fill="auto"/>
                  <w:tcMar>
                    <w:top w:w="0" w:type="dxa"/>
                    <w:left w:w="0" w:type="dxa"/>
                    <w:bottom w:w="0" w:type="dxa"/>
                    <w:right w:w="0" w:type="dxa"/>
                  </w:tcMar>
                  <w:vAlign w:val="center"/>
                </w:tcPr>
                <w:p w14:paraId="1BE8687A">
                  <w:pPr>
                    <w:pStyle w:val="20"/>
                    <w:bidi w:val="0"/>
                    <w:jc w:val="center"/>
                    <w:rPr>
                      <w:rFonts w:hint="default"/>
                      <w:color w:val="auto"/>
                      <w:highlight w:val="none"/>
                      <w:lang w:val="en-US" w:eastAsia="zh-CN"/>
                    </w:rPr>
                  </w:pPr>
                  <w:r>
                    <w:rPr>
                      <w:color w:val="auto"/>
                      <w:highlight w:val="none"/>
                    </w:rPr>
                    <w:t>48.1</w:t>
                  </w:r>
                </w:p>
              </w:tc>
              <w:tc>
                <w:tcPr>
                  <w:tcW w:w="235" w:type="pct"/>
                  <w:shd w:val="clear" w:color="auto" w:fill="auto"/>
                  <w:tcMar>
                    <w:top w:w="0" w:type="dxa"/>
                    <w:left w:w="0" w:type="dxa"/>
                    <w:bottom w:w="0" w:type="dxa"/>
                    <w:right w:w="0" w:type="dxa"/>
                  </w:tcMar>
                  <w:vAlign w:val="center"/>
                </w:tcPr>
                <w:p w14:paraId="19260351">
                  <w:pPr>
                    <w:pStyle w:val="20"/>
                    <w:bidi w:val="0"/>
                    <w:jc w:val="center"/>
                    <w:rPr>
                      <w:rFonts w:hint="default"/>
                      <w:color w:val="auto"/>
                      <w:highlight w:val="none"/>
                      <w:lang w:val="en-US" w:eastAsia="zh-CN"/>
                    </w:rPr>
                  </w:pPr>
                  <w:r>
                    <w:rPr>
                      <w:color w:val="auto"/>
                      <w:highlight w:val="none"/>
                    </w:rPr>
                    <w:t>1</w:t>
                  </w:r>
                </w:p>
              </w:tc>
            </w:tr>
            <w:tr w14:paraId="0F39F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340" w:hRule="atLeast"/>
                <w:jc w:val="center"/>
              </w:trPr>
              <w:tc>
                <w:tcPr>
                  <w:tcW w:w="124" w:type="pct"/>
                  <w:shd w:val="clear" w:color="auto" w:fill="auto"/>
                  <w:tcMar>
                    <w:top w:w="0" w:type="dxa"/>
                    <w:left w:w="0" w:type="dxa"/>
                    <w:bottom w:w="0" w:type="dxa"/>
                    <w:right w:w="0" w:type="dxa"/>
                  </w:tcMar>
                  <w:vAlign w:val="center"/>
                </w:tcPr>
                <w:p w14:paraId="7AB0F9C3">
                  <w:pPr>
                    <w:pStyle w:val="20"/>
                    <w:bidi w:val="0"/>
                    <w:jc w:val="center"/>
                    <w:rPr>
                      <w:rFonts w:hint="default"/>
                      <w:color w:val="auto"/>
                      <w:highlight w:val="none"/>
                      <w:lang w:val="en-US" w:eastAsia="zh-CN"/>
                    </w:rPr>
                  </w:pPr>
                  <w:r>
                    <w:rPr>
                      <w:color w:val="auto"/>
                      <w:highlight w:val="none"/>
                    </w:rPr>
                    <w:t>4</w:t>
                  </w:r>
                </w:p>
              </w:tc>
              <w:tc>
                <w:tcPr>
                  <w:tcW w:w="209" w:type="pct"/>
                  <w:vMerge w:val="restart"/>
                  <w:shd w:val="clear" w:color="auto" w:fill="auto"/>
                  <w:tcMar>
                    <w:top w:w="0" w:type="dxa"/>
                    <w:left w:w="0" w:type="dxa"/>
                    <w:bottom w:w="0" w:type="dxa"/>
                    <w:right w:w="0" w:type="dxa"/>
                  </w:tcMar>
                  <w:vAlign w:val="center"/>
                </w:tcPr>
                <w:p w14:paraId="353BEE9B">
                  <w:pPr>
                    <w:pStyle w:val="20"/>
                    <w:bidi w:val="0"/>
                    <w:jc w:val="center"/>
                    <w:rPr>
                      <w:rFonts w:hint="eastAsia"/>
                      <w:color w:val="auto"/>
                      <w:highlight w:val="none"/>
                      <w:lang w:eastAsia="zh-CN"/>
                    </w:rPr>
                  </w:pPr>
                  <w:r>
                    <w:rPr>
                      <w:color w:val="auto"/>
                      <w:highlight w:val="none"/>
                    </w:rPr>
                    <w:t>天畅-厂房</w:t>
                  </w:r>
                </w:p>
              </w:tc>
              <w:tc>
                <w:tcPr>
                  <w:tcW w:w="345" w:type="pct"/>
                  <w:shd w:val="clear" w:color="auto" w:fill="auto"/>
                  <w:tcMar>
                    <w:top w:w="0" w:type="dxa"/>
                    <w:left w:w="0" w:type="dxa"/>
                    <w:bottom w:w="0" w:type="dxa"/>
                    <w:right w:w="0" w:type="dxa"/>
                  </w:tcMar>
                  <w:vAlign w:val="center"/>
                </w:tcPr>
                <w:p w14:paraId="62CFD140">
                  <w:pPr>
                    <w:pStyle w:val="20"/>
                    <w:bidi w:val="0"/>
                    <w:jc w:val="center"/>
                    <w:rPr>
                      <w:rFonts w:hint="default"/>
                      <w:color w:val="auto"/>
                      <w:highlight w:val="none"/>
                      <w:lang w:val="en-US" w:eastAsia="zh-CN"/>
                    </w:rPr>
                  </w:pPr>
                  <w:r>
                    <w:rPr>
                      <w:color w:val="auto"/>
                      <w:highlight w:val="none"/>
                    </w:rPr>
                    <w:t>注塑机1</w:t>
                  </w:r>
                </w:p>
              </w:tc>
              <w:tc>
                <w:tcPr>
                  <w:tcW w:w="248" w:type="pct"/>
                  <w:shd w:val="clear" w:color="auto" w:fill="auto"/>
                  <w:tcMar>
                    <w:top w:w="0" w:type="dxa"/>
                    <w:left w:w="0" w:type="dxa"/>
                    <w:bottom w:w="0" w:type="dxa"/>
                    <w:right w:w="0" w:type="dxa"/>
                  </w:tcMar>
                  <w:vAlign w:val="center"/>
                </w:tcPr>
                <w:p w14:paraId="2C6642E2">
                  <w:pPr>
                    <w:pStyle w:val="20"/>
                    <w:bidi w:val="0"/>
                    <w:jc w:val="center"/>
                    <w:rPr>
                      <w:rFonts w:hint="default"/>
                      <w:color w:val="auto"/>
                      <w:highlight w:val="none"/>
                      <w:lang w:val="en-US" w:eastAsia="zh-CN"/>
                    </w:rPr>
                  </w:pPr>
                  <w:r>
                    <w:rPr>
                      <w:color w:val="auto"/>
                      <w:highlight w:val="none"/>
                    </w:rPr>
                    <w:t>70</w:t>
                  </w:r>
                </w:p>
              </w:tc>
              <w:tc>
                <w:tcPr>
                  <w:tcW w:w="195" w:type="pct"/>
                  <w:vMerge w:val="continue"/>
                  <w:shd w:val="clear" w:color="auto" w:fill="auto"/>
                  <w:tcMar>
                    <w:top w:w="0" w:type="dxa"/>
                    <w:left w:w="0" w:type="dxa"/>
                    <w:bottom w:w="0" w:type="dxa"/>
                    <w:right w:w="0" w:type="dxa"/>
                  </w:tcMar>
                  <w:vAlign w:val="center"/>
                </w:tcPr>
                <w:p w14:paraId="1AA3DFCE">
                  <w:pPr>
                    <w:pStyle w:val="20"/>
                    <w:bidi w:val="0"/>
                    <w:jc w:val="center"/>
                    <w:rPr>
                      <w:rFonts w:hint="default"/>
                      <w:color w:val="auto"/>
                      <w:highlight w:val="none"/>
                    </w:rPr>
                  </w:pPr>
                </w:p>
              </w:tc>
              <w:tc>
                <w:tcPr>
                  <w:tcW w:w="220" w:type="pct"/>
                  <w:shd w:val="clear" w:color="auto" w:fill="auto"/>
                  <w:tcMar>
                    <w:top w:w="0" w:type="dxa"/>
                    <w:left w:w="0" w:type="dxa"/>
                    <w:bottom w:w="0" w:type="dxa"/>
                    <w:right w:w="0" w:type="dxa"/>
                  </w:tcMar>
                  <w:vAlign w:val="center"/>
                </w:tcPr>
                <w:p w14:paraId="1C2496FD">
                  <w:pPr>
                    <w:pStyle w:val="20"/>
                    <w:bidi w:val="0"/>
                    <w:jc w:val="center"/>
                    <w:rPr>
                      <w:rFonts w:hint="default"/>
                      <w:color w:val="auto"/>
                      <w:highlight w:val="none"/>
                      <w:lang w:val="en-US" w:eastAsia="zh-CN"/>
                    </w:rPr>
                  </w:pPr>
                  <w:r>
                    <w:rPr>
                      <w:color w:val="auto"/>
                      <w:highlight w:val="none"/>
                    </w:rPr>
                    <w:t>2.1</w:t>
                  </w:r>
                </w:p>
              </w:tc>
              <w:tc>
                <w:tcPr>
                  <w:tcW w:w="238" w:type="pct"/>
                  <w:shd w:val="clear" w:color="auto" w:fill="auto"/>
                  <w:tcMar>
                    <w:top w:w="0" w:type="dxa"/>
                    <w:left w:w="0" w:type="dxa"/>
                    <w:bottom w:w="0" w:type="dxa"/>
                    <w:right w:w="0" w:type="dxa"/>
                  </w:tcMar>
                  <w:vAlign w:val="center"/>
                </w:tcPr>
                <w:p w14:paraId="4A1D0E44">
                  <w:pPr>
                    <w:pStyle w:val="20"/>
                    <w:bidi w:val="0"/>
                    <w:jc w:val="center"/>
                    <w:rPr>
                      <w:rFonts w:hint="default"/>
                      <w:color w:val="auto"/>
                      <w:highlight w:val="none"/>
                      <w:lang w:val="en-US" w:eastAsia="zh-CN"/>
                    </w:rPr>
                  </w:pPr>
                  <w:r>
                    <w:rPr>
                      <w:color w:val="auto"/>
                      <w:highlight w:val="none"/>
                    </w:rPr>
                    <w:t>-17.8</w:t>
                  </w:r>
                </w:p>
              </w:tc>
              <w:tc>
                <w:tcPr>
                  <w:tcW w:w="190" w:type="pct"/>
                  <w:shd w:val="clear" w:color="auto" w:fill="auto"/>
                  <w:tcMar>
                    <w:top w:w="0" w:type="dxa"/>
                    <w:left w:w="0" w:type="dxa"/>
                    <w:bottom w:w="0" w:type="dxa"/>
                    <w:right w:w="0" w:type="dxa"/>
                  </w:tcMar>
                  <w:vAlign w:val="center"/>
                </w:tcPr>
                <w:p w14:paraId="48399436">
                  <w:pPr>
                    <w:pStyle w:val="20"/>
                    <w:bidi w:val="0"/>
                    <w:jc w:val="center"/>
                    <w:rPr>
                      <w:rFonts w:hint="default"/>
                      <w:color w:val="auto"/>
                      <w:highlight w:val="none"/>
                      <w:lang w:val="en-US" w:eastAsia="zh-CN"/>
                    </w:rPr>
                  </w:pPr>
                  <w:r>
                    <w:rPr>
                      <w:color w:val="auto"/>
                      <w:highlight w:val="none"/>
                    </w:rPr>
                    <w:t>1.2</w:t>
                  </w:r>
                </w:p>
              </w:tc>
              <w:tc>
                <w:tcPr>
                  <w:tcW w:w="197" w:type="pct"/>
                  <w:shd w:val="clear" w:color="auto" w:fill="auto"/>
                  <w:tcMar>
                    <w:top w:w="0" w:type="dxa"/>
                    <w:left w:w="0" w:type="dxa"/>
                    <w:bottom w:w="0" w:type="dxa"/>
                    <w:right w:w="0" w:type="dxa"/>
                  </w:tcMar>
                  <w:vAlign w:val="center"/>
                </w:tcPr>
                <w:p w14:paraId="055A66F9">
                  <w:pPr>
                    <w:pStyle w:val="20"/>
                    <w:bidi w:val="0"/>
                    <w:jc w:val="center"/>
                    <w:rPr>
                      <w:rFonts w:hint="default"/>
                      <w:color w:val="auto"/>
                      <w:highlight w:val="none"/>
                      <w:lang w:val="en-US" w:eastAsia="zh-CN"/>
                    </w:rPr>
                  </w:pPr>
                  <w:r>
                    <w:rPr>
                      <w:color w:val="auto"/>
                      <w:highlight w:val="none"/>
                    </w:rPr>
                    <w:t>6.0</w:t>
                  </w:r>
                </w:p>
              </w:tc>
              <w:tc>
                <w:tcPr>
                  <w:tcW w:w="194" w:type="pct"/>
                  <w:shd w:val="clear" w:color="auto" w:fill="auto"/>
                  <w:tcMar>
                    <w:top w:w="0" w:type="dxa"/>
                    <w:left w:w="0" w:type="dxa"/>
                    <w:bottom w:w="0" w:type="dxa"/>
                    <w:right w:w="0" w:type="dxa"/>
                  </w:tcMar>
                  <w:vAlign w:val="center"/>
                </w:tcPr>
                <w:p w14:paraId="7181AB0D">
                  <w:pPr>
                    <w:pStyle w:val="20"/>
                    <w:bidi w:val="0"/>
                    <w:jc w:val="center"/>
                    <w:rPr>
                      <w:rFonts w:hint="default"/>
                      <w:color w:val="auto"/>
                      <w:highlight w:val="none"/>
                      <w:lang w:val="en-US" w:eastAsia="zh-CN"/>
                    </w:rPr>
                  </w:pPr>
                  <w:r>
                    <w:rPr>
                      <w:color w:val="auto"/>
                      <w:highlight w:val="none"/>
                    </w:rPr>
                    <w:t>62.4</w:t>
                  </w:r>
                </w:p>
              </w:tc>
              <w:tc>
                <w:tcPr>
                  <w:tcW w:w="166" w:type="pct"/>
                  <w:shd w:val="clear" w:color="auto" w:fill="auto"/>
                  <w:tcMar>
                    <w:top w:w="0" w:type="dxa"/>
                    <w:left w:w="0" w:type="dxa"/>
                    <w:bottom w:w="0" w:type="dxa"/>
                    <w:right w:w="0" w:type="dxa"/>
                  </w:tcMar>
                  <w:vAlign w:val="center"/>
                </w:tcPr>
                <w:p w14:paraId="78AE407A">
                  <w:pPr>
                    <w:pStyle w:val="20"/>
                    <w:bidi w:val="0"/>
                    <w:jc w:val="center"/>
                    <w:rPr>
                      <w:rFonts w:hint="default"/>
                      <w:color w:val="auto"/>
                      <w:highlight w:val="none"/>
                      <w:lang w:val="en-US" w:eastAsia="zh-CN"/>
                    </w:rPr>
                  </w:pPr>
                  <w:r>
                    <w:rPr>
                      <w:color w:val="auto"/>
                      <w:highlight w:val="none"/>
                    </w:rPr>
                    <w:t>23.2</w:t>
                  </w:r>
                </w:p>
              </w:tc>
              <w:tc>
                <w:tcPr>
                  <w:tcW w:w="216" w:type="pct"/>
                  <w:shd w:val="clear" w:color="auto" w:fill="auto"/>
                  <w:tcMar>
                    <w:top w:w="0" w:type="dxa"/>
                    <w:left w:w="0" w:type="dxa"/>
                    <w:bottom w:w="0" w:type="dxa"/>
                    <w:right w:w="0" w:type="dxa"/>
                  </w:tcMar>
                  <w:vAlign w:val="center"/>
                </w:tcPr>
                <w:p w14:paraId="6A9BA394">
                  <w:pPr>
                    <w:pStyle w:val="20"/>
                    <w:bidi w:val="0"/>
                    <w:jc w:val="center"/>
                    <w:rPr>
                      <w:rFonts w:hint="default"/>
                      <w:color w:val="auto"/>
                      <w:highlight w:val="none"/>
                      <w:lang w:val="en-US" w:eastAsia="zh-CN"/>
                    </w:rPr>
                  </w:pPr>
                  <w:r>
                    <w:rPr>
                      <w:color w:val="auto"/>
                      <w:highlight w:val="none"/>
                    </w:rPr>
                    <w:t>63.6</w:t>
                  </w:r>
                </w:p>
              </w:tc>
              <w:tc>
                <w:tcPr>
                  <w:tcW w:w="166" w:type="pct"/>
                  <w:shd w:val="clear" w:color="auto" w:fill="auto"/>
                  <w:tcMar>
                    <w:top w:w="0" w:type="dxa"/>
                    <w:left w:w="0" w:type="dxa"/>
                    <w:bottom w:w="0" w:type="dxa"/>
                    <w:right w:w="0" w:type="dxa"/>
                  </w:tcMar>
                  <w:vAlign w:val="center"/>
                </w:tcPr>
                <w:p w14:paraId="10508079">
                  <w:pPr>
                    <w:pStyle w:val="20"/>
                    <w:bidi w:val="0"/>
                    <w:jc w:val="center"/>
                    <w:rPr>
                      <w:rFonts w:hint="default"/>
                      <w:color w:val="auto"/>
                      <w:highlight w:val="none"/>
                      <w:lang w:val="en-US" w:eastAsia="zh-CN"/>
                    </w:rPr>
                  </w:pPr>
                  <w:r>
                    <w:rPr>
                      <w:color w:val="auto"/>
                      <w:highlight w:val="none"/>
                    </w:rPr>
                    <w:t>52.8</w:t>
                  </w:r>
                </w:p>
              </w:tc>
              <w:tc>
                <w:tcPr>
                  <w:tcW w:w="166" w:type="pct"/>
                  <w:shd w:val="clear" w:color="auto" w:fill="auto"/>
                  <w:tcMar>
                    <w:top w:w="0" w:type="dxa"/>
                    <w:left w:w="0" w:type="dxa"/>
                    <w:bottom w:w="0" w:type="dxa"/>
                    <w:right w:w="0" w:type="dxa"/>
                  </w:tcMar>
                  <w:vAlign w:val="center"/>
                </w:tcPr>
                <w:p w14:paraId="2BD8A299">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tcMar>
                    <w:top w:w="0" w:type="dxa"/>
                    <w:left w:w="0" w:type="dxa"/>
                    <w:bottom w:w="0" w:type="dxa"/>
                    <w:right w:w="0" w:type="dxa"/>
                  </w:tcMar>
                  <w:vAlign w:val="center"/>
                </w:tcPr>
                <w:p w14:paraId="71AC0597">
                  <w:pPr>
                    <w:pStyle w:val="20"/>
                    <w:bidi w:val="0"/>
                    <w:jc w:val="center"/>
                    <w:rPr>
                      <w:rFonts w:hint="default"/>
                      <w:color w:val="auto"/>
                      <w:highlight w:val="none"/>
                      <w:lang w:val="en-US" w:eastAsia="zh-CN"/>
                    </w:rPr>
                  </w:pPr>
                  <w:r>
                    <w:rPr>
                      <w:color w:val="auto"/>
                      <w:highlight w:val="none"/>
                    </w:rPr>
                    <w:t>52.3</w:t>
                  </w:r>
                </w:p>
              </w:tc>
              <w:tc>
                <w:tcPr>
                  <w:tcW w:w="182" w:type="pct"/>
                  <w:shd w:val="clear" w:color="auto" w:fill="auto"/>
                  <w:tcMar>
                    <w:top w:w="0" w:type="dxa"/>
                    <w:left w:w="0" w:type="dxa"/>
                    <w:bottom w:w="0" w:type="dxa"/>
                    <w:right w:w="0" w:type="dxa"/>
                  </w:tcMar>
                  <w:vAlign w:val="center"/>
                </w:tcPr>
                <w:p w14:paraId="3908B410">
                  <w:pPr>
                    <w:pStyle w:val="20"/>
                    <w:bidi w:val="0"/>
                    <w:jc w:val="center"/>
                    <w:rPr>
                      <w:rFonts w:hint="default"/>
                      <w:color w:val="auto"/>
                      <w:highlight w:val="none"/>
                      <w:lang w:val="en-US" w:eastAsia="zh-CN"/>
                    </w:rPr>
                  </w:pPr>
                  <w:r>
                    <w:rPr>
                      <w:color w:val="auto"/>
                      <w:highlight w:val="none"/>
                    </w:rPr>
                    <w:t>52.3</w:t>
                  </w:r>
                </w:p>
              </w:tc>
              <w:tc>
                <w:tcPr>
                  <w:tcW w:w="185" w:type="pct"/>
                  <w:shd w:val="clear" w:color="auto" w:fill="auto"/>
                  <w:tcMar>
                    <w:top w:w="0" w:type="dxa"/>
                    <w:left w:w="0" w:type="dxa"/>
                    <w:bottom w:w="0" w:type="dxa"/>
                    <w:right w:w="0" w:type="dxa"/>
                  </w:tcMar>
                  <w:vAlign w:val="center"/>
                </w:tcPr>
                <w:p w14:paraId="54875CDA">
                  <w:pPr>
                    <w:pStyle w:val="20"/>
                    <w:bidi w:val="0"/>
                    <w:jc w:val="center"/>
                    <w:rPr>
                      <w:rFonts w:hint="eastAsia"/>
                      <w:color w:val="auto"/>
                      <w:highlight w:val="none"/>
                      <w:lang w:val="en-US" w:eastAsia="zh-CN"/>
                    </w:rPr>
                  </w:pPr>
                  <w:r>
                    <w:rPr>
                      <w:rFonts w:hint="eastAsia"/>
                      <w:color w:val="auto"/>
                      <w:highlight w:val="none"/>
                      <w:lang w:eastAsia="zh-CN"/>
                    </w:rPr>
                    <w:t>昼夜</w:t>
                  </w:r>
                </w:p>
              </w:tc>
              <w:tc>
                <w:tcPr>
                  <w:tcW w:w="166" w:type="pct"/>
                  <w:shd w:val="clear" w:color="auto" w:fill="auto"/>
                  <w:tcMar>
                    <w:top w:w="0" w:type="dxa"/>
                    <w:left w:w="0" w:type="dxa"/>
                    <w:bottom w:w="0" w:type="dxa"/>
                    <w:right w:w="0" w:type="dxa"/>
                  </w:tcMar>
                  <w:vAlign w:val="center"/>
                </w:tcPr>
                <w:p w14:paraId="664B91CF">
                  <w:pPr>
                    <w:pStyle w:val="20"/>
                    <w:bidi w:val="0"/>
                    <w:jc w:val="center"/>
                    <w:rPr>
                      <w:rFonts w:hint="default"/>
                      <w:color w:val="auto"/>
                      <w:highlight w:val="none"/>
                      <w:lang w:val="en-US" w:eastAsia="zh-CN"/>
                    </w:rPr>
                  </w:pPr>
                  <w:r>
                    <w:rPr>
                      <w:color w:val="auto"/>
                      <w:highlight w:val="none"/>
                    </w:rPr>
                    <w:t>16.0</w:t>
                  </w:r>
                </w:p>
              </w:tc>
              <w:tc>
                <w:tcPr>
                  <w:tcW w:w="166" w:type="pct"/>
                  <w:shd w:val="clear" w:color="auto" w:fill="auto"/>
                  <w:tcMar>
                    <w:top w:w="0" w:type="dxa"/>
                    <w:left w:w="0" w:type="dxa"/>
                    <w:bottom w:w="0" w:type="dxa"/>
                    <w:right w:w="0" w:type="dxa"/>
                  </w:tcMar>
                  <w:vAlign w:val="center"/>
                </w:tcPr>
                <w:p w14:paraId="3722B7C3">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tcMar>
                    <w:top w:w="0" w:type="dxa"/>
                    <w:left w:w="0" w:type="dxa"/>
                    <w:bottom w:w="0" w:type="dxa"/>
                    <w:right w:w="0" w:type="dxa"/>
                  </w:tcMar>
                  <w:vAlign w:val="center"/>
                </w:tcPr>
                <w:p w14:paraId="136A8DFE">
                  <w:pPr>
                    <w:pStyle w:val="20"/>
                    <w:bidi w:val="0"/>
                    <w:jc w:val="center"/>
                    <w:rPr>
                      <w:rFonts w:hint="default"/>
                      <w:color w:val="auto"/>
                      <w:highlight w:val="none"/>
                      <w:lang w:val="en-US" w:eastAsia="zh-CN"/>
                    </w:rPr>
                  </w:pPr>
                  <w:r>
                    <w:rPr>
                      <w:color w:val="auto"/>
                      <w:highlight w:val="none"/>
                    </w:rPr>
                    <w:t>26.0</w:t>
                  </w:r>
                </w:p>
              </w:tc>
              <w:tc>
                <w:tcPr>
                  <w:tcW w:w="182" w:type="pct"/>
                  <w:shd w:val="clear" w:color="auto" w:fill="auto"/>
                  <w:tcMar>
                    <w:top w:w="0" w:type="dxa"/>
                    <w:left w:w="0" w:type="dxa"/>
                    <w:bottom w:w="0" w:type="dxa"/>
                    <w:right w:w="0" w:type="dxa"/>
                  </w:tcMar>
                  <w:vAlign w:val="center"/>
                </w:tcPr>
                <w:p w14:paraId="65F90A03">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tcMar>
                    <w:top w:w="0" w:type="dxa"/>
                    <w:left w:w="0" w:type="dxa"/>
                    <w:bottom w:w="0" w:type="dxa"/>
                    <w:right w:w="0" w:type="dxa"/>
                  </w:tcMar>
                  <w:vAlign w:val="center"/>
                </w:tcPr>
                <w:p w14:paraId="0B95DDD8">
                  <w:pPr>
                    <w:pStyle w:val="20"/>
                    <w:bidi w:val="0"/>
                    <w:jc w:val="center"/>
                    <w:rPr>
                      <w:rFonts w:hint="default"/>
                      <w:color w:val="auto"/>
                      <w:highlight w:val="none"/>
                      <w:lang w:val="en-US" w:eastAsia="zh-CN"/>
                    </w:rPr>
                  </w:pPr>
                  <w:r>
                    <w:rPr>
                      <w:color w:val="auto"/>
                      <w:highlight w:val="none"/>
                    </w:rPr>
                    <w:t>36.8</w:t>
                  </w:r>
                </w:p>
              </w:tc>
              <w:tc>
                <w:tcPr>
                  <w:tcW w:w="166" w:type="pct"/>
                  <w:shd w:val="clear" w:color="auto" w:fill="auto"/>
                  <w:tcMar>
                    <w:top w:w="0" w:type="dxa"/>
                    <w:left w:w="0" w:type="dxa"/>
                    <w:bottom w:w="0" w:type="dxa"/>
                    <w:right w:w="0" w:type="dxa"/>
                  </w:tcMar>
                  <w:vAlign w:val="center"/>
                </w:tcPr>
                <w:p w14:paraId="73017AD7">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tcMar>
                    <w:top w:w="0" w:type="dxa"/>
                    <w:left w:w="0" w:type="dxa"/>
                    <w:bottom w:w="0" w:type="dxa"/>
                    <w:right w:w="0" w:type="dxa"/>
                  </w:tcMar>
                  <w:vAlign w:val="center"/>
                </w:tcPr>
                <w:p w14:paraId="1C76F244">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tcMar>
                    <w:top w:w="0" w:type="dxa"/>
                    <w:left w:w="0" w:type="dxa"/>
                    <w:bottom w:w="0" w:type="dxa"/>
                    <w:right w:w="0" w:type="dxa"/>
                  </w:tcMar>
                  <w:vAlign w:val="center"/>
                </w:tcPr>
                <w:p w14:paraId="450D62FC">
                  <w:pPr>
                    <w:pStyle w:val="20"/>
                    <w:bidi w:val="0"/>
                    <w:jc w:val="center"/>
                    <w:rPr>
                      <w:rFonts w:hint="default"/>
                      <w:color w:val="auto"/>
                      <w:highlight w:val="none"/>
                      <w:lang w:val="en-US" w:eastAsia="zh-CN"/>
                    </w:rPr>
                  </w:pPr>
                  <w:r>
                    <w:rPr>
                      <w:color w:val="auto"/>
                      <w:highlight w:val="none"/>
                    </w:rPr>
                    <w:t>26.3</w:t>
                  </w:r>
                </w:p>
              </w:tc>
              <w:tc>
                <w:tcPr>
                  <w:tcW w:w="235" w:type="pct"/>
                  <w:shd w:val="clear" w:color="auto" w:fill="auto"/>
                  <w:tcMar>
                    <w:top w:w="0" w:type="dxa"/>
                    <w:left w:w="0" w:type="dxa"/>
                    <w:bottom w:w="0" w:type="dxa"/>
                    <w:right w:w="0" w:type="dxa"/>
                  </w:tcMar>
                  <w:vAlign w:val="center"/>
                </w:tcPr>
                <w:p w14:paraId="44C0809E">
                  <w:pPr>
                    <w:pStyle w:val="20"/>
                    <w:bidi w:val="0"/>
                    <w:jc w:val="center"/>
                    <w:rPr>
                      <w:rFonts w:hint="default"/>
                      <w:color w:val="auto"/>
                      <w:highlight w:val="none"/>
                      <w:lang w:val="en-US" w:eastAsia="zh-CN"/>
                    </w:rPr>
                  </w:pPr>
                  <w:r>
                    <w:rPr>
                      <w:color w:val="auto"/>
                      <w:highlight w:val="none"/>
                    </w:rPr>
                    <w:t>1</w:t>
                  </w:r>
                </w:p>
              </w:tc>
            </w:tr>
            <w:bookmarkEnd w:id="46"/>
            <w:tr w14:paraId="08024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340" w:hRule="atLeast"/>
                <w:jc w:val="center"/>
              </w:trPr>
              <w:tc>
                <w:tcPr>
                  <w:tcW w:w="124" w:type="pct"/>
                  <w:shd w:val="clear" w:color="auto" w:fill="auto"/>
                  <w:vAlign w:val="center"/>
                </w:tcPr>
                <w:p w14:paraId="18A5FC76">
                  <w:pPr>
                    <w:pStyle w:val="20"/>
                    <w:bidi w:val="0"/>
                    <w:jc w:val="center"/>
                    <w:rPr>
                      <w:rFonts w:hint="default"/>
                      <w:color w:val="auto"/>
                      <w:highlight w:val="none"/>
                      <w:lang w:val="en-US" w:eastAsia="zh-CN"/>
                    </w:rPr>
                  </w:pPr>
                  <w:r>
                    <w:rPr>
                      <w:color w:val="auto"/>
                      <w:highlight w:val="none"/>
                    </w:rPr>
                    <w:t>5</w:t>
                  </w:r>
                </w:p>
              </w:tc>
              <w:tc>
                <w:tcPr>
                  <w:tcW w:w="209" w:type="pct"/>
                  <w:vMerge w:val="continue"/>
                  <w:shd w:val="clear" w:color="auto" w:fill="auto"/>
                  <w:vAlign w:val="center"/>
                </w:tcPr>
                <w:p w14:paraId="299987E3">
                  <w:pPr>
                    <w:pStyle w:val="20"/>
                    <w:bidi w:val="0"/>
                    <w:jc w:val="center"/>
                    <w:rPr>
                      <w:rFonts w:hint="eastAsia"/>
                      <w:color w:val="auto"/>
                      <w:highlight w:val="none"/>
                      <w:lang w:eastAsia="zh-CN"/>
                    </w:rPr>
                  </w:pPr>
                </w:p>
              </w:tc>
              <w:tc>
                <w:tcPr>
                  <w:tcW w:w="345" w:type="pct"/>
                  <w:shd w:val="clear" w:color="auto" w:fill="auto"/>
                  <w:vAlign w:val="center"/>
                </w:tcPr>
                <w:p w14:paraId="203EC496">
                  <w:pPr>
                    <w:pStyle w:val="20"/>
                    <w:bidi w:val="0"/>
                    <w:jc w:val="center"/>
                    <w:rPr>
                      <w:rFonts w:hint="default"/>
                      <w:color w:val="auto"/>
                      <w:highlight w:val="none"/>
                      <w:lang w:val="en-US" w:eastAsia="zh-CN"/>
                    </w:rPr>
                  </w:pPr>
                  <w:r>
                    <w:rPr>
                      <w:color w:val="auto"/>
                      <w:highlight w:val="none"/>
                    </w:rPr>
                    <w:t>注塑机2</w:t>
                  </w:r>
                </w:p>
              </w:tc>
              <w:tc>
                <w:tcPr>
                  <w:tcW w:w="248" w:type="pct"/>
                  <w:shd w:val="clear" w:color="auto" w:fill="auto"/>
                  <w:vAlign w:val="center"/>
                </w:tcPr>
                <w:p w14:paraId="2C801ADD">
                  <w:pPr>
                    <w:pStyle w:val="20"/>
                    <w:bidi w:val="0"/>
                    <w:jc w:val="center"/>
                    <w:rPr>
                      <w:rFonts w:hint="default"/>
                      <w:color w:val="auto"/>
                      <w:highlight w:val="none"/>
                      <w:lang w:val="en-US" w:eastAsia="zh-CN"/>
                    </w:rPr>
                  </w:pPr>
                  <w:r>
                    <w:rPr>
                      <w:color w:val="auto"/>
                      <w:highlight w:val="none"/>
                    </w:rPr>
                    <w:t>70</w:t>
                  </w:r>
                </w:p>
              </w:tc>
              <w:tc>
                <w:tcPr>
                  <w:tcW w:w="195" w:type="pct"/>
                  <w:vMerge w:val="continue"/>
                  <w:shd w:val="clear" w:color="auto" w:fill="auto"/>
                  <w:vAlign w:val="center"/>
                </w:tcPr>
                <w:p w14:paraId="7906A82E">
                  <w:pPr>
                    <w:pStyle w:val="20"/>
                    <w:bidi w:val="0"/>
                    <w:jc w:val="center"/>
                    <w:rPr>
                      <w:rFonts w:hint="default"/>
                      <w:color w:val="auto"/>
                      <w:highlight w:val="none"/>
                    </w:rPr>
                  </w:pPr>
                </w:p>
              </w:tc>
              <w:tc>
                <w:tcPr>
                  <w:tcW w:w="220" w:type="pct"/>
                  <w:shd w:val="clear" w:color="auto" w:fill="auto"/>
                  <w:vAlign w:val="center"/>
                </w:tcPr>
                <w:p w14:paraId="280F0038">
                  <w:pPr>
                    <w:pStyle w:val="20"/>
                    <w:bidi w:val="0"/>
                    <w:jc w:val="center"/>
                    <w:rPr>
                      <w:rFonts w:hint="default"/>
                      <w:color w:val="auto"/>
                      <w:highlight w:val="none"/>
                      <w:lang w:val="en-US" w:eastAsia="zh-CN"/>
                    </w:rPr>
                  </w:pPr>
                  <w:r>
                    <w:rPr>
                      <w:color w:val="auto"/>
                      <w:highlight w:val="none"/>
                    </w:rPr>
                    <w:t>-4.1</w:t>
                  </w:r>
                </w:p>
              </w:tc>
              <w:tc>
                <w:tcPr>
                  <w:tcW w:w="238" w:type="pct"/>
                  <w:shd w:val="clear" w:color="auto" w:fill="auto"/>
                  <w:vAlign w:val="center"/>
                </w:tcPr>
                <w:p w14:paraId="0810C354">
                  <w:pPr>
                    <w:pStyle w:val="20"/>
                    <w:bidi w:val="0"/>
                    <w:jc w:val="center"/>
                    <w:rPr>
                      <w:rFonts w:hint="default"/>
                      <w:color w:val="auto"/>
                      <w:highlight w:val="none"/>
                      <w:lang w:val="en-US" w:eastAsia="zh-CN"/>
                    </w:rPr>
                  </w:pPr>
                  <w:r>
                    <w:rPr>
                      <w:color w:val="auto"/>
                      <w:highlight w:val="none"/>
                    </w:rPr>
                    <w:t>-24</w:t>
                  </w:r>
                </w:p>
              </w:tc>
              <w:tc>
                <w:tcPr>
                  <w:tcW w:w="190" w:type="pct"/>
                  <w:shd w:val="clear" w:color="auto" w:fill="auto"/>
                  <w:vAlign w:val="center"/>
                </w:tcPr>
                <w:p w14:paraId="7318F171">
                  <w:pPr>
                    <w:pStyle w:val="20"/>
                    <w:bidi w:val="0"/>
                    <w:jc w:val="center"/>
                    <w:rPr>
                      <w:rFonts w:hint="default"/>
                      <w:color w:val="auto"/>
                      <w:highlight w:val="none"/>
                      <w:lang w:val="en-US" w:eastAsia="zh-CN"/>
                    </w:rPr>
                  </w:pPr>
                  <w:r>
                    <w:rPr>
                      <w:color w:val="auto"/>
                      <w:highlight w:val="none"/>
                    </w:rPr>
                    <w:t>1.2</w:t>
                  </w:r>
                </w:p>
              </w:tc>
              <w:tc>
                <w:tcPr>
                  <w:tcW w:w="197" w:type="pct"/>
                  <w:shd w:val="clear" w:color="auto" w:fill="auto"/>
                  <w:vAlign w:val="center"/>
                </w:tcPr>
                <w:p w14:paraId="72B8D6FD">
                  <w:pPr>
                    <w:pStyle w:val="20"/>
                    <w:bidi w:val="0"/>
                    <w:jc w:val="center"/>
                    <w:rPr>
                      <w:rFonts w:hint="default"/>
                      <w:color w:val="auto"/>
                      <w:highlight w:val="none"/>
                      <w:lang w:val="en-US" w:eastAsia="zh-CN"/>
                    </w:rPr>
                  </w:pPr>
                  <w:r>
                    <w:rPr>
                      <w:color w:val="auto"/>
                      <w:highlight w:val="none"/>
                    </w:rPr>
                    <w:t>12.5</w:t>
                  </w:r>
                </w:p>
              </w:tc>
              <w:tc>
                <w:tcPr>
                  <w:tcW w:w="194" w:type="pct"/>
                  <w:shd w:val="clear" w:color="auto" w:fill="auto"/>
                  <w:vAlign w:val="center"/>
                </w:tcPr>
                <w:p w14:paraId="7F059073">
                  <w:pPr>
                    <w:pStyle w:val="20"/>
                    <w:bidi w:val="0"/>
                    <w:jc w:val="center"/>
                    <w:rPr>
                      <w:rFonts w:hint="default"/>
                      <w:color w:val="auto"/>
                      <w:highlight w:val="none"/>
                      <w:lang w:val="en-US" w:eastAsia="zh-CN"/>
                    </w:rPr>
                  </w:pPr>
                  <w:r>
                    <w:rPr>
                      <w:color w:val="auto"/>
                      <w:highlight w:val="none"/>
                    </w:rPr>
                    <w:t>56.2</w:t>
                  </w:r>
                </w:p>
              </w:tc>
              <w:tc>
                <w:tcPr>
                  <w:tcW w:w="166" w:type="pct"/>
                  <w:shd w:val="clear" w:color="auto" w:fill="auto"/>
                  <w:vAlign w:val="center"/>
                </w:tcPr>
                <w:p w14:paraId="12DC77D3">
                  <w:pPr>
                    <w:pStyle w:val="20"/>
                    <w:bidi w:val="0"/>
                    <w:jc w:val="center"/>
                    <w:rPr>
                      <w:rFonts w:hint="default"/>
                      <w:color w:val="auto"/>
                      <w:highlight w:val="none"/>
                      <w:lang w:val="en-US" w:eastAsia="zh-CN"/>
                    </w:rPr>
                  </w:pPr>
                  <w:r>
                    <w:rPr>
                      <w:color w:val="auto"/>
                      <w:highlight w:val="none"/>
                    </w:rPr>
                    <w:t>17.0</w:t>
                  </w:r>
                </w:p>
              </w:tc>
              <w:tc>
                <w:tcPr>
                  <w:tcW w:w="216" w:type="pct"/>
                  <w:shd w:val="clear" w:color="auto" w:fill="auto"/>
                  <w:vAlign w:val="center"/>
                </w:tcPr>
                <w:p w14:paraId="165DED54">
                  <w:pPr>
                    <w:pStyle w:val="20"/>
                    <w:bidi w:val="0"/>
                    <w:jc w:val="center"/>
                    <w:rPr>
                      <w:rFonts w:hint="default"/>
                      <w:color w:val="auto"/>
                      <w:highlight w:val="none"/>
                      <w:lang w:val="en-US" w:eastAsia="zh-CN"/>
                    </w:rPr>
                  </w:pPr>
                  <w:r>
                    <w:rPr>
                      <w:color w:val="auto"/>
                      <w:highlight w:val="none"/>
                    </w:rPr>
                    <w:t>69.8</w:t>
                  </w:r>
                </w:p>
              </w:tc>
              <w:tc>
                <w:tcPr>
                  <w:tcW w:w="166" w:type="pct"/>
                  <w:shd w:val="clear" w:color="auto" w:fill="auto"/>
                  <w:vAlign w:val="center"/>
                </w:tcPr>
                <w:p w14:paraId="2073D65D">
                  <w:pPr>
                    <w:pStyle w:val="20"/>
                    <w:bidi w:val="0"/>
                    <w:jc w:val="center"/>
                    <w:rPr>
                      <w:rFonts w:hint="default"/>
                      <w:color w:val="auto"/>
                      <w:highlight w:val="none"/>
                      <w:lang w:val="en-US" w:eastAsia="zh-CN"/>
                    </w:rPr>
                  </w:pPr>
                  <w:r>
                    <w:rPr>
                      <w:color w:val="auto"/>
                      <w:highlight w:val="none"/>
                    </w:rPr>
                    <w:t>52.4</w:t>
                  </w:r>
                </w:p>
              </w:tc>
              <w:tc>
                <w:tcPr>
                  <w:tcW w:w="166" w:type="pct"/>
                  <w:shd w:val="clear" w:color="auto" w:fill="auto"/>
                  <w:vAlign w:val="center"/>
                </w:tcPr>
                <w:p w14:paraId="169AD0FA">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3856BF58">
                  <w:pPr>
                    <w:pStyle w:val="20"/>
                    <w:bidi w:val="0"/>
                    <w:jc w:val="center"/>
                    <w:rPr>
                      <w:rFonts w:hint="default"/>
                      <w:color w:val="auto"/>
                      <w:highlight w:val="none"/>
                      <w:lang w:val="en-US" w:eastAsia="zh-CN"/>
                    </w:rPr>
                  </w:pPr>
                  <w:r>
                    <w:rPr>
                      <w:color w:val="auto"/>
                      <w:highlight w:val="none"/>
                    </w:rPr>
                    <w:t>52.3</w:t>
                  </w:r>
                </w:p>
              </w:tc>
              <w:tc>
                <w:tcPr>
                  <w:tcW w:w="182" w:type="pct"/>
                  <w:shd w:val="clear" w:color="auto" w:fill="auto"/>
                  <w:vAlign w:val="center"/>
                </w:tcPr>
                <w:p w14:paraId="58163A7B">
                  <w:pPr>
                    <w:pStyle w:val="20"/>
                    <w:bidi w:val="0"/>
                    <w:jc w:val="center"/>
                    <w:rPr>
                      <w:rFonts w:hint="default"/>
                      <w:color w:val="auto"/>
                      <w:highlight w:val="none"/>
                      <w:lang w:val="en-US" w:eastAsia="zh-CN"/>
                    </w:rPr>
                  </w:pPr>
                  <w:r>
                    <w:rPr>
                      <w:color w:val="auto"/>
                      <w:highlight w:val="none"/>
                    </w:rPr>
                    <w:t>52.3</w:t>
                  </w:r>
                </w:p>
              </w:tc>
              <w:tc>
                <w:tcPr>
                  <w:tcW w:w="185" w:type="pct"/>
                  <w:shd w:val="clear" w:color="auto" w:fill="auto"/>
                  <w:vAlign w:val="center"/>
                </w:tcPr>
                <w:p w14:paraId="35EBD89B">
                  <w:pPr>
                    <w:pStyle w:val="20"/>
                    <w:bidi w:val="0"/>
                    <w:jc w:val="center"/>
                    <w:rPr>
                      <w:rFonts w:hint="eastAsia"/>
                      <w:color w:val="auto"/>
                      <w:highlight w:val="none"/>
                      <w:lang w:val="en-US" w:eastAsia="zh-CN"/>
                    </w:rPr>
                  </w:pPr>
                  <w:r>
                    <w:rPr>
                      <w:rFonts w:hint="eastAsia"/>
                      <w:color w:val="auto"/>
                      <w:highlight w:val="none"/>
                      <w:lang w:eastAsia="zh-CN"/>
                    </w:rPr>
                    <w:t>昼夜</w:t>
                  </w:r>
                </w:p>
              </w:tc>
              <w:tc>
                <w:tcPr>
                  <w:tcW w:w="166" w:type="pct"/>
                  <w:shd w:val="clear" w:color="auto" w:fill="auto"/>
                  <w:vAlign w:val="center"/>
                </w:tcPr>
                <w:p w14:paraId="70CF9BEF">
                  <w:pPr>
                    <w:pStyle w:val="20"/>
                    <w:bidi w:val="0"/>
                    <w:jc w:val="center"/>
                    <w:rPr>
                      <w:rFonts w:hint="default"/>
                      <w:color w:val="auto"/>
                      <w:highlight w:val="none"/>
                      <w:lang w:val="en-US" w:eastAsia="zh-CN"/>
                    </w:rPr>
                  </w:pPr>
                  <w:r>
                    <w:rPr>
                      <w:color w:val="auto"/>
                      <w:highlight w:val="none"/>
                    </w:rPr>
                    <w:t>16.0</w:t>
                  </w:r>
                </w:p>
              </w:tc>
              <w:tc>
                <w:tcPr>
                  <w:tcW w:w="166" w:type="pct"/>
                  <w:shd w:val="clear" w:color="auto" w:fill="auto"/>
                  <w:vAlign w:val="center"/>
                </w:tcPr>
                <w:p w14:paraId="1D88125D">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57A58D41">
                  <w:pPr>
                    <w:pStyle w:val="20"/>
                    <w:bidi w:val="0"/>
                    <w:jc w:val="center"/>
                    <w:rPr>
                      <w:rFonts w:hint="default"/>
                      <w:color w:val="auto"/>
                      <w:highlight w:val="none"/>
                      <w:lang w:val="en-US" w:eastAsia="zh-CN"/>
                    </w:rPr>
                  </w:pPr>
                  <w:r>
                    <w:rPr>
                      <w:color w:val="auto"/>
                      <w:highlight w:val="none"/>
                    </w:rPr>
                    <w:t>26.0</w:t>
                  </w:r>
                </w:p>
              </w:tc>
              <w:tc>
                <w:tcPr>
                  <w:tcW w:w="182" w:type="pct"/>
                  <w:shd w:val="clear" w:color="auto" w:fill="auto"/>
                  <w:vAlign w:val="center"/>
                </w:tcPr>
                <w:p w14:paraId="7C5BDBBE">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4F79E87F">
                  <w:pPr>
                    <w:pStyle w:val="20"/>
                    <w:bidi w:val="0"/>
                    <w:jc w:val="center"/>
                    <w:rPr>
                      <w:rFonts w:hint="default"/>
                      <w:color w:val="auto"/>
                      <w:highlight w:val="none"/>
                      <w:lang w:val="en-US" w:eastAsia="zh-CN"/>
                    </w:rPr>
                  </w:pPr>
                  <w:r>
                    <w:rPr>
                      <w:color w:val="auto"/>
                      <w:highlight w:val="none"/>
                    </w:rPr>
                    <w:t>36.4</w:t>
                  </w:r>
                </w:p>
              </w:tc>
              <w:tc>
                <w:tcPr>
                  <w:tcW w:w="166" w:type="pct"/>
                  <w:shd w:val="clear" w:color="auto" w:fill="auto"/>
                  <w:vAlign w:val="center"/>
                </w:tcPr>
                <w:p w14:paraId="5259556D">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vAlign w:val="center"/>
                </w:tcPr>
                <w:p w14:paraId="41A26552">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vAlign w:val="center"/>
                </w:tcPr>
                <w:p w14:paraId="426A3CE4">
                  <w:pPr>
                    <w:pStyle w:val="20"/>
                    <w:bidi w:val="0"/>
                    <w:jc w:val="center"/>
                    <w:rPr>
                      <w:rFonts w:hint="default"/>
                      <w:color w:val="auto"/>
                      <w:highlight w:val="none"/>
                      <w:lang w:val="en-US" w:eastAsia="zh-CN"/>
                    </w:rPr>
                  </w:pPr>
                  <w:r>
                    <w:rPr>
                      <w:color w:val="auto"/>
                      <w:highlight w:val="none"/>
                    </w:rPr>
                    <w:t>26.3</w:t>
                  </w:r>
                </w:p>
              </w:tc>
              <w:tc>
                <w:tcPr>
                  <w:tcW w:w="235" w:type="pct"/>
                  <w:shd w:val="clear" w:color="auto" w:fill="auto"/>
                  <w:vAlign w:val="center"/>
                </w:tcPr>
                <w:p w14:paraId="701F7D29">
                  <w:pPr>
                    <w:pStyle w:val="20"/>
                    <w:bidi w:val="0"/>
                    <w:jc w:val="center"/>
                    <w:rPr>
                      <w:rFonts w:hint="default"/>
                      <w:color w:val="auto"/>
                      <w:highlight w:val="none"/>
                      <w:lang w:val="en-US" w:eastAsia="zh-CN"/>
                    </w:rPr>
                  </w:pPr>
                  <w:r>
                    <w:rPr>
                      <w:color w:val="auto"/>
                      <w:highlight w:val="none"/>
                    </w:rPr>
                    <w:t>1</w:t>
                  </w:r>
                </w:p>
              </w:tc>
            </w:tr>
            <w:tr w14:paraId="4E952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340" w:hRule="atLeast"/>
                <w:jc w:val="center"/>
              </w:trPr>
              <w:tc>
                <w:tcPr>
                  <w:tcW w:w="124" w:type="pct"/>
                  <w:shd w:val="clear" w:color="auto" w:fill="auto"/>
                  <w:vAlign w:val="center"/>
                </w:tcPr>
                <w:p w14:paraId="4428A126">
                  <w:pPr>
                    <w:pStyle w:val="20"/>
                    <w:bidi w:val="0"/>
                    <w:jc w:val="center"/>
                    <w:rPr>
                      <w:rFonts w:hint="default"/>
                      <w:color w:val="auto"/>
                      <w:highlight w:val="none"/>
                      <w:lang w:val="en-US" w:eastAsia="zh-CN"/>
                    </w:rPr>
                  </w:pPr>
                  <w:r>
                    <w:rPr>
                      <w:color w:val="auto"/>
                      <w:highlight w:val="none"/>
                    </w:rPr>
                    <w:t>6</w:t>
                  </w:r>
                </w:p>
              </w:tc>
              <w:tc>
                <w:tcPr>
                  <w:tcW w:w="209" w:type="pct"/>
                  <w:vMerge w:val="continue"/>
                  <w:shd w:val="clear" w:color="auto" w:fill="auto"/>
                  <w:vAlign w:val="center"/>
                </w:tcPr>
                <w:p w14:paraId="2FA65CD9">
                  <w:pPr>
                    <w:pStyle w:val="20"/>
                    <w:bidi w:val="0"/>
                    <w:jc w:val="center"/>
                    <w:rPr>
                      <w:rFonts w:hint="eastAsia"/>
                      <w:color w:val="auto"/>
                      <w:highlight w:val="none"/>
                      <w:lang w:eastAsia="zh-CN"/>
                    </w:rPr>
                  </w:pPr>
                </w:p>
              </w:tc>
              <w:tc>
                <w:tcPr>
                  <w:tcW w:w="345" w:type="pct"/>
                  <w:shd w:val="clear" w:color="auto" w:fill="auto"/>
                  <w:vAlign w:val="center"/>
                </w:tcPr>
                <w:p w14:paraId="777B0F76">
                  <w:pPr>
                    <w:pStyle w:val="20"/>
                    <w:bidi w:val="0"/>
                    <w:jc w:val="center"/>
                    <w:rPr>
                      <w:rFonts w:hint="default"/>
                      <w:color w:val="auto"/>
                      <w:highlight w:val="none"/>
                      <w:lang w:val="en-US" w:eastAsia="zh-CN"/>
                    </w:rPr>
                  </w:pPr>
                  <w:r>
                    <w:rPr>
                      <w:color w:val="auto"/>
                      <w:highlight w:val="none"/>
                    </w:rPr>
                    <w:t>注塑机3</w:t>
                  </w:r>
                </w:p>
              </w:tc>
              <w:tc>
                <w:tcPr>
                  <w:tcW w:w="248" w:type="pct"/>
                  <w:shd w:val="clear" w:color="auto" w:fill="auto"/>
                  <w:vAlign w:val="center"/>
                </w:tcPr>
                <w:p w14:paraId="722FD410">
                  <w:pPr>
                    <w:pStyle w:val="20"/>
                    <w:bidi w:val="0"/>
                    <w:jc w:val="center"/>
                    <w:rPr>
                      <w:rFonts w:hint="default"/>
                      <w:color w:val="auto"/>
                      <w:highlight w:val="none"/>
                      <w:lang w:val="en-US" w:eastAsia="zh-CN"/>
                    </w:rPr>
                  </w:pPr>
                  <w:r>
                    <w:rPr>
                      <w:color w:val="auto"/>
                      <w:highlight w:val="none"/>
                    </w:rPr>
                    <w:t>70</w:t>
                  </w:r>
                </w:p>
              </w:tc>
              <w:tc>
                <w:tcPr>
                  <w:tcW w:w="195" w:type="pct"/>
                  <w:vMerge w:val="continue"/>
                  <w:shd w:val="clear" w:color="auto" w:fill="auto"/>
                  <w:vAlign w:val="center"/>
                </w:tcPr>
                <w:p w14:paraId="657FFF97">
                  <w:pPr>
                    <w:pStyle w:val="20"/>
                    <w:bidi w:val="0"/>
                    <w:jc w:val="center"/>
                    <w:rPr>
                      <w:rFonts w:hint="default"/>
                      <w:color w:val="auto"/>
                      <w:highlight w:val="none"/>
                    </w:rPr>
                  </w:pPr>
                </w:p>
              </w:tc>
              <w:tc>
                <w:tcPr>
                  <w:tcW w:w="220" w:type="pct"/>
                  <w:shd w:val="clear" w:color="auto" w:fill="auto"/>
                  <w:vAlign w:val="center"/>
                </w:tcPr>
                <w:p w14:paraId="61AE0B3E">
                  <w:pPr>
                    <w:pStyle w:val="20"/>
                    <w:bidi w:val="0"/>
                    <w:jc w:val="center"/>
                    <w:rPr>
                      <w:rFonts w:hint="default"/>
                      <w:color w:val="auto"/>
                      <w:highlight w:val="none"/>
                      <w:lang w:val="en-US" w:eastAsia="zh-CN"/>
                    </w:rPr>
                  </w:pPr>
                  <w:r>
                    <w:rPr>
                      <w:color w:val="auto"/>
                      <w:highlight w:val="none"/>
                    </w:rPr>
                    <w:t>2.1</w:t>
                  </w:r>
                </w:p>
              </w:tc>
              <w:tc>
                <w:tcPr>
                  <w:tcW w:w="238" w:type="pct"/>
                  <w:shd w:val="clear" w:color="auto" w:fill="auto"/>
                  <w:vAlign w:val="center"/>
                </w:tcPr>
                <w:p w14:paraId="722ECE27">
                  <w:pPr>
                    <w:pStyle w:val="20"/>
                    <w:bidi w:val="0"/>
                    <w:jc w:val="center"/>
                    <w:rPr>
                      <w:rFonts w:hint="default"/>
                      <w:color w:val="auto"/>
                      <w:highlight w:val="none"/>
                      <w:lang w:val="en-US" w:eastAsia="zh-CN"/>
                    </w:rPr>
                  </w:pPr>
                  <w:r>
                    <w:rPr>
                      <w:color w:val="auto"/>
                      <w:highlight w:val="none"/>
                    </w:rPr>
                    <w:t>-27.9</w:t>
                  </w:r>
                </w:p>
              </w:tc>
              <w:tc>
                <w:tcPr>
                  <w:tcW w:w="190" w:type="pct"/>
                  <w:shd w:val="clear" w:color="auto" w:fill="auto"/>
                  <w:vAlign w:val="center"/>
                </w:tcPr>
                <w:p w14:paraId="2D9309CF">
                  <w:pPr>
                    <w:pStyle w:val="20"/>
                    <w:bidi w:val="0"/>
                    <w:jc w:val="center"/>
                    <w:rPr>
                      <w:rFonts w:hint="default"/>
                      <w:color w:val="auto"/>
                      <w:highlight w:val="none"/>
                      <w:lang w:val="en-US" w:eastAsia="zh-CN"/>
                    </w:rPr>
                  </w:pPr>
                  <w:r>
                    <w:rPr>
                      <w:color w:val="auto"/>
                      <w:highlight w:val="none"/>
                    </w:rPr>
                    <w:t>1.2</w:t>
                  </w:r>
                </w:p>
              </w:tc>
              <w:tc>
                <w:tcPr>
                  <w:tcW w:w="197" w:type="pct"/>
                  <w:shd w:val="clear" w:color="auto" w:fill="auto"/>
                  <w:vAlign w:val="center"/>
                </w:tcPr>
                <w:p w14:paraId="6645C354">
                  <w:pPr>
                    <w:pStyle w:val="20"/>
                    <w:bidi w:val="0"/>
                    <w:jc w:val="center"/>
                    <w:rPr>
                      <w:rFonts w:hint="default"/>
                      <w:color w:val="auto"/>
                      <w:highlight w:val="none"/>
                      <w:lang w:val="en-US" w:eastAsia="zh-CN"/>
                    </w:rPr>
                  </w:pPr>
                  <w:r>
                    <w:rPr>
                      <w:color w:val="auto"/>
                      <w:highlight w:val="none"/>
                    </w:rPr>
                    <w:t>9.7</w:t>
                  </w:r>
                </w:p>
              </w:tc>
              <w:tc>
                <w:tcPr>
                  <w:tcW w:w="194" w:type="pct"/>
                  <w:shd w:val="clear" w:color="auto" w:fill="auto"/>
                  <w:vAlign w:val="center"/>
                </w:tcPr>
                <w:p w14:paraId="3A611CDE">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3E7B7203">
                  <w:pPr>
                    <w:pStyle w:val="20"/>
                    <w:bidi w:val="0"/>
                    <w:jc w:val="center"/>
                    <w:rPr>
                      <w:rFonts w:hint="default"/>
                      <w:color w:val="auto"/>
                      <w:highlight w:val="none"/>
                      <w:lang w:val="en-US" w:eastAsia="zh-CN"/>
                    </w:rPr>
                  </w:pPr>
                  <w:r>
                    <w:rPr>
                      <w:color w:val="auto"/>
                      <w:highlight w:val="none"/>
                    </w:rPr>
                    <w:t>23.2</w:t>
                  </w:r>
                </w:p>
              </w:tc>
              <w:tc>
                <w:tcPr>
                  <w:tcW w:w="216" w:type="pct"/>
                  <w:shd w:val="clear" w:color="auto" w:fill="auto"/>
                  <w:vAlign w:val="center"/>
                </w:tcPr>
                <w:p w14:paraId="52D31EC2">
                  <w:pPr>
                    <w:pStyle w:val="20"/>
                    <w:bidi w:val="0"/>
                    <w:jc w:val="center"/>
                    <w:rPr>
                      <w:rFonts w:hint="default"/>
                      <w:color w:val="auto"/>
                      <w:highlight w:val="none"/>
                      <w:lang w:val="en-US" w:eastAsia="zh-CN"/>
                    </w:rPr>
                  </w:pPr>
                  <w:r>
                    <w:rPr>
                      <w:color w:val="auto"/>
                      <w:highlight w:val="none"/>
                    </w:rPr>
                    <w:t>73.7</w:t>
                  </w:r>
                </w:p>
              </w:tc>
              <w:tc>
                <w:tcPr>
                  <w:tcW w:w="166" w:type="pct"/>
                  <w:shd w:val="clear" w:color="auto" w:fill="auto"/>
                  <w:vAlign w:val="center"/>
                </w:tcPr>
                <w:p w14:paraId="4FD08578">
                  <w:pPr>
                    <w:pStyle w:val="20"/>
                    <w:bidi w:val="0"/>
                    <w:jc w:val="center"/>
                    <w:rPr>
                      <w:rFonts w:hint="default"/>
                      <w:color w:val="auto"/>
                      <w:highlight w:val="none"/>
                      <w:lang w:val="en-US" w:eastAsia="zh-CN"/>
                    </w:rPr>
                  </w:pPr>
                  <w:r>
                    <w:rPr>
                      <w:color w:val="auto"/>
                      <w:highlight w:val="none"/>
                    </w:rPr>
                    <w:t>52.5</w:t>
                  </w:r>
                </w:p>
              </w:tc>
              <w:tc>
                <w:tcPr>
                  <w:tcW w:w="166" w:type="pct"/>
                  <w:shd w:val="clear" w:color="auto" w:fill="auto"/>
                  <w:vAlign w:val="center"/>
                </w:tcPr>
                <w:p w14:paraId="4040B00B">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01C84EF8">
                  <w:pPr>
                    <w:pStyle w:val="20"/>
                    <w:bidi w:val="0"/>
                    <w:jc w:val="center"/>
                    <w:rPr>
                      <w:rFonts w:hint="default"/>
                      <w:color w:val="auto"/>
                      <w:highlight w:val="none"/>
                      <w:lang w:val="en-US" w:eastAsia="zh-CN"/>
                    </w:rPr>
                  </w:pPr>
                  <w:r>
                    <w:rPr>
                      <w:color w:val="auto"/>
                      <w:highlight w:val="none"/>
                    </w:rPr>
                    <w:t>52.3</w:t>
                  </w:r>
                </w:p>
              </w:tc>
              <w:tc>
                <w:tcPr>
                  <w:tcW w:w="182" w:type="pct"/>
                  <w:shd w:val="clear" w:color="auto" w:fill="auto"/>
                  <w:vAlign w:val="center"/>
                </w:tcPr>
                <w:p w14:paraId="4CC2CC01">
                  <w:pPr>
                    <w:pStyle w:val="20"/>
                    <w:bidi w:val="0"/>
                    <w:jc w:val="center"/>
                    <w:rPr>
                      <w:rFonts w:hint="default"/>
                      <w:color w:val="auto"/>
                      <w:highlight w:val="none"/>
                      <w:lang w:val="en-US" w:eastAsia="zh-CN"/>
                    </w:rPr>
                  </w:pPr>
                  <w:r>
                    <w:rPr>
                      <w:color w:val="auto"/>
                      <w:highlight w:val="none"/>
                    </w:rPr>
                    <w:t>52.3</w:t>
                  </w:r>
                </w:p>
              </w:tc>
              <w:tc>
                <w:tcPr>
                  <w:tcW w:w="185" w:type="pct"/>
                  <w:shd w:val="clear" w:color="auto" w:fill="auto"/>
                  <w:vAlign w:val="center"/>
                </w:tcPr>
                <w:p w14:paraId="5061E0A4">
                  <w:pPr>
                    <w:pStyle w:val="20"/>
                    <w:bidi w:val="0"/>
                    <w:jc w:val="center"/>
                    <w:rPr>
                      <w:rFonts w:hint="eastAsia"/>
                      <w:color w:val="auto"/>
                      <w:highlight w:val="none"/>
                      <w:lang w:val="en-US" w:eastAsia="zh-CN"/>
                    </w:rPr>
                  </w:pPr>
                  <w:r>
                    <w:rPr>
                      <w:rFonts w:hint="eastAsia"/>
                      <w:color w:val="auto"/>
                      <w:highlight w:val="none"/>
                      <w:lang w:eastAsia="zh-CN"/>
                    </w:rPr>
                    <w:t>昼夜</w:t>
                  </w:r>
                </w:p>
              </w:tc>
              <w:tc>
                <w:tcPr>
                  <w:tcW w:w="166" w:type="pct"/>
                  <w:shd w:val="clear" w:color="auto" w:fill="auto"/>
                  <w:vAlign w:val="center"/>
                </w:tcPr>
                <w:p w14:paraId="30D9918F">
                  <w:pPr>
                    <w:pStyle w:val="20"/>
                    <w:bidi w:val="0"/>
                    <w:jc w:val="center"/>
                    <w:rPr>
                      <w:rFonts w:hint="default"/>
                      <w:color w:val="auto"/>
                      <w:highlight w:val="none"/>
                      <w:lang w:val="en-US" w:eastAsia="zh-CN"/>
                    </w:rPr>
                  </w:pPr>
                  <w:r>
                    <w:rPr>
                      <w:color w:val="auto"/>
                      <w:highlight w:val="none"/>
                    </w:rPr>
                    <w:t>16.0</w:t>
                  </w:r>
                </w:p>
              </w:tc>
              <w:tc>
                <w:tcPr>
                  <w:tcW w:w="166" w:type="pct"/>
                  <w:shd w:val="clear" w:color="auto" w:fill="auto"/>
                  <w:vAlign w:val="center"/>
                </w:tcPr>
                <w:p w14:paraId="600D226B">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3B8C4AB1">
                  <w:pPr>
                    <w:pStyle w:val="20"/>
                    <w:bidi w:val="0"/>
                    <w:jc w:val="center"/>
                    <w:rPr>
                      <w:rFonts w:hint="default"/>
                      <w:color w:val="auto"/>
                      <w:highlight w:val="none"/>
                      <w:lang w:val="en-US" w:eastAsia="zh-CN"/>
                    </w:rPr>
                  </w:pPr>
                  <w:r>
                    <w:rPr>
                      <w:color w:val="auto"/>
                      <w:highlight w:val="none"/>
                    </w:rPr>
                    <w:t>26.0</w:t>
                  </w:r>
                </w:p>
              </w:tc>
              <w:tc>
                <w:tcPr>
                  <w:tcW w:w="182" w:type="pct"/>
                  <w:shd w:val="clear" w:color="auto" w:fill="auto"/>
                  <w:vAlign w:val="center"/>
                </w:tcPr>
                <w:p w14:paraId="5B600D35">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1B1CAD15">
                  <w:pPr>
                    <w:pStyle w:val="20"/>
                    <w:bidi w:val="0"/>
                    <w:jc w:val="center"/>
                    <w:rPr>
                      <w:rFonts w:hint="default"/>
                      <w:color w:val="auto"/>
                      <w:highlight w:val="none"/>
                      <w:lang w:val="en-US" w:eastAsia="zh-CN"/>
                    </w:rPr>
                  </w:pPr>
                  <w:r>
                    <w:rPr>
                      <w:color w:val="auto"/>
                      <w:highlight w:val="none"/>
                    </w:rPr>
                    <w:t>36.5</w:t>
                  </w:r>
                </w:p>
              </w:tc>
              <w:tc>
                <w:tcPr>
                  <w:tcW w:w="166" w:type="pct"/>
                  <w:shd w:val="clear" w:color="auto" w:fill="auto"/>
                  <w:vAlign w:val="center"/>
                </w:tcPr>
                <w:p w14:paraId="0887A9EC">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vAlign w:val="center"/>
                </w:tcPr>
                <w:p w14:paraId="1B719E1C">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vAlign w:val="center"/>
                </w:tcPr>
                <w:p w14:paraId="2D792E5D">
                  <w:pPr>
                    <w:pStyle w:val="20"/>
                    <w:bidi w:val="0"/>
                    <w:jc w:val="center"/>
                    <w:rPr>
                      <w:rFonts w:hint="default"/>
                      <w:color w:val="auto"/>
                      <w:highlight w:val="none"/>
                      <w:lang w:val="en-US" w:eastAsia="zh-CN"/>
                    </w:rPr>
                  </w:pPr>
                  <w:r>
                    <w:rPr>
                      <w:color w:val="auto"/>
                      <w:highlight w:val="none"/>
                    </w:rPr>
                    <w:t>26.3</w:t>
                  </w:r>
                </w:p>
              </w:tc>
              <w:tc>
                <w:tcPr>
                  <w:tcW w:w="235" w:type="pct"/>
                  <w:shd w:val="clear" w:color="auto" w:fill="auto"/>
                  <w:vAlign w:val="center"/>
                </w:tcPr>
                <w:p w14:paraId="6FF0AA3E">
                  <w:pPr>
                    <w:pStyle w:val="20"/>
                    <w:bidi w:val="0"/>
                    <w:jc w:val="center"/>
                    <w:rPr>
                      <w:rFonts w:hint="default"/>
                      <w:color w:val="auto"/>
                      <w:highlight w:val="none"/>
                      <w:lang w:val="en-US" w:eastAsia="zh-CN"/>
                    </w:rPr>
                  </w:pPr>
                  <w:r>
                    <w:rPr>
                      <w:color w:val="auto"/>
                      <w:highlight w:val="none"/>
                    </w:rPr>
                    <w:t>1</w:t>
                  </w:r>
                </w:p>
              </w:tc>
            </w:tr>
            <w:tr w14:paraId="20E29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340" w:hRule="atLeast"/>
                <w:jc w:val="center"/>
              </w:trPr>
              <w:tc>
                <w:tcPr>
                  <w:tcW w:w="124" w:type="pct"/>
                  <w:shd w:val="clear" w:color="auto" w:fill="auto"/>
                  <w:vAlign w:val="center"/>
                </w:tcPr>
                <w:p w14:paraId="0C73C0D2">
                  <w:pPr>
                    <w:pStyle w:val="20"/>
                    <w:bidi w:val="0"/>
                    <w:jc w:val="center"/>
                    <w:rPr>
                      <w:rFonts w:hint="default"/>
                      <w:color w:val="auto"/>
                      <w:highlight w:val="none"/>
                      <w:lang w:val="en-US" w:eastAsia="zh-CN"/>
                    </w:rPr>
                  </w:pPr>
                  <w:r>
                    <w:rPr>
                      <w:color w:val="auto"/>
                      <w:highlight w:val="none"/>
                    </w:rPr>
                    <w:t>7</w:t>
                  </w:r>
                </w:p>
              </w:tc>
              <w:tc>
                <w:tcPr>
                  <w:tcW w:w="209" w:type="pct"/>
                  <w:vMerge w:val="continue"/>
                  <w:shd w:val="clear" w:color="auto" w:fill="auto"/>
                  <w:vAlign w:val="center"/>
                </w:tcPr>
                <w:p w14:paraId="0AC5FEDB">
                  <w:pPr>
                    <w:pStyle w:val="20"/>
                    <w:bidi w:val="0"/>
                    <w:jc w:val="center"/>
                    <w:rPr>
                      <w:rFonts w:hint="eastAsia"/>
                      <w:color w:val="auto"/>
                      <w:highlight w:val="none"/>
                      <w:lang w:eastAsia="zh-CN"/>
                    </w:rPr>
                  </w:pPr>
                </w:p>
              </w:tc>
              <w:tc>
                <w:tcPr>
                  <w:tcW w:w="345" w:type="pct"/>
                  <w:shd w:val="clear" w:color="auto" w:fill="auto"/>
                  <w:vAlign w:val="center"/>
                </w:tcPr>
                <w:p w14:paraId="34B7B94D">
                  <w:pPr>
                    <w:pStyle w:val="20"/>
                    <w:bidi w:val="0"/>
                    <w:jc w:val="center"/>
                    <w:rPr>
                      <w:rFonts w:hint="default"/>
                      <w:color w:val="auto"/>
                      <w:highlight w:val="none"/>
                      <w:lang w:val="en-US" w:eastAsia="zh-CN"/>
                    </w:rPr>
                  </w:pPr>
                  <w:r>
                    <w:rPr>
                      <w:color w:val="auto"/>
                      <w:highlight w:val="none"/>
                    </w:rPr>
                    <w:t>注塑机4</w:t>
                  </w:r>
                </w:p>
              </w:tc>
              <w:tc>
                <w:tcPr>
                  <w:tcW w:w="248" w:type="pct"/>
                  <w:shd w:val="clear" w:color="auto" w:fill="auto"/>
                  <w:vAlign w:val="center"/>
                </w:tcPr>
                <w:p w14:paraId="01F7C820">
                  <w:pPr>
                    <w:pStyle w:val="20"/>
                    <w:bidi w:val="0"/>
                    <w:jc w:val="center"/>
                    <w:rPr>
                      <w:rFonts w:hint="default"/>
                      <w:color w:val="auto"/>
                      <w:highlight w:val="none"/>
                      <w:lang w:val="en-US" w:eastAsia="zh-CN"/>
                    </w:rPr>
                  </w:pPr>
                  <w:r>
                    <w:rPr>
                      <w:color w:val="auto"/>
                      <w:highlight w:val="none"/>
                    </w:rPr>
                    <w:t>70</w:t>
                  </w:r>
                </w:p>
              </w:tc>
              <w:tc>
                <w:tcPr>
                  <w:tcW w:w="195" w:type="pct"/>
                  <w:vMerge w:val="continue"/>
                  <w:shd w:val="clear" w:color="auto" w:fill="auto"/>
                  <w:vAlign w:val="center"/>
                </w:tcPr>
                <w:p w14:paraId="734B8C11">
                  <w:pPr>
                    <w:pStyle w:val="20"/>
                    <w:bidi w:val="0"/>
                    <w:jc w:val="center"/>
                    <w:rPr>
                      <w:rFonts w:hint="default"/>
                      <w:color w:val="auto"/>
                      <w:highlight w:val="none"/>
                    </w:rPr>
                  </w:pPr>
                </w:p>
              </w:tc>
              <w:tc>
                <w:tcPr>
                  <w:tcW w:w="220" w:type="pct"/>
                  <w:shd w:val="clear" w:color="auto" w:fill="auto"/>
                  <w:vAlign w:val="center"/>
                </w:tcPr>
                <w:p w14:paraId="14000C50">
                  <w:pPr>
                    <w:pStyle w:val="20"/>
                    <w:bidi w:val="0"/>
                    <w:jc w:val="center"/>
                    <w:rPr>
                      <w:rFonts w:hint="default"/>
                      <w:color w:val="auto"/>
                      <w:highlight w:val="none"/>
                      <w:lang w:val="en-US" w:eastAsia="zh-CN"/>
                    </w:rPr>
                  </w:pPr>
                  <w:r>
                    <w:rPr>
                      <w:color w:val="auto"/>
                      <w:highlight w:val="none"/>
                    </w:rPr>
                    <w:t>-3.6</w:t>
                  </w:r>
                </w:p>
              </w:tc>
              <w:tc>
                <w:tcPr>
                  <w:tcW w:w="238" w:type="pct"/>
                  <w:shd w:val="clear" w:color="auto" w:fill="auto"/>
                  <w:vAlign w:val="center"/>
                </w:tcPr>
                <w:p w14:paraId="21AB1586">
                  <w:pPr>
                    <w:pStyle w:val="20"/>
                    <w:bidi w:val="0"/>
                    <w:jc w:val="center"/>
                    <w:rPr>
                      <w:rFonts w:hint="default"/>
                      <w:color w:val="auto"/>
                      <w:highlight w:val="none"/>
                      <w:lang w:val="en-US" w:eastAsia="zh-CN"/>
                    </w:rPr>
                  </w:pPr>
                  <w:r>
                    <w:rPr>
                      <w:color w:val="auto"/>
                      <w:highlight w:val="none"/>
                    </w:rPr>
                    <w:t>-32.6</w:t>
                  </w:r>
                </w:p>
              </w:tc>
              <w:tc>
                <w:tcPr>
                  <w:tcW w:w="190" w:type="pct"/>
                  <w:shd w:val="clear" w:color="auto" w:fill="auto"/>
                  <w:vAlign w:val="center"/>
                </w:tcPr>
                <w:p w14:paraId="5AFD7651">
                  <w:pPr>
                    <w:pStyle w:val="20"/>
                    <w:bidi w:val="0"/>
                    <w:jc w:val="center"/>
                    <w:rPr>
                      <w:rFonts w:hint="default"/>
                      <w:color w:val="auto"/>
                      <w:highlight w:val="none"/>
                      <w:lang w:val="en-US" w:eastAsia="zh-CN"/>
                    </w:rPr>
                  </w:pPr>
                  <w:r>
                    <w:rPr>
                      <w:color w:val="auto"/>
                      <w:highlight w:val="none"/>
                    </w:rPr>
                    <w:t>1.2</w:t>
                  </w:r>
                </w:p>
              </w:tc>
              <w:tc>
                <w:tcPr>
                  <w:tcW w:w="197" w:type="pct"/>
                  <w:shd w:val="clear" w:color="auto" w:fill="auto"/>
                  <w:vAlign w:val="center"/>
                </w:tcPr>
                <w:p w14:paraId="4BE329EB">
                  <w:pPr>
                    <w:pStyle w:val="20"/>
                    <w:bidi w:val="0"/>
                    <w:jc w:val="center"/>
                    <w:rPr>
                      <w:rFonts w:hint="default"/>
                      <w:color w:val="auto"/>
                      <w:highlight w:val="none"/>
                      <w:lang w:val="en-US" w:eastAsia="zh-CN"/>
                    </w:rPr>
                  </w:pPr>
                  <w:r>
                    <w:rPr>
                      <w:color w:val="auto"/>
                      <w:highlight w:val="none"/>
                    </w:rPr>
                    <w:t>16.9</w:t>
                  </w:r>
                </w:p>
              </w:tc>
              <w:tc>
                <w:tcPr>
                  <w:tcW w:w="194" w:type="pct"/>
                  <w:shd w:val="clear" w:color="auto" w:fill="auto"/>
                  <w:vAlign w:val="center"/>
                </w:tcPr>
                <w:p w14:paraId="752EC40B">
                  <w:pPr>
                    <w:pStyle w:val="20"/>
                    <w:bidi w:val="0"/>
                    <w:jc w:val="center"/>
                    <w:rPr>
                      <w:rFonts w:hint="default"/>
                      <w:color w:val="auto"/>
                      <w:highlight w:val="none"/>
                      <w:lang w:val="en-US" w:eastAsia="zh-CN"/>
                    </w:rPr>
                  </w:pPr>
                  <w:r>
                    <w:rPr>
                      <w:color w:val="auto"/>
                      <w:highlight w:val="none"/>
                    </w:rPr>
                    <w:t>47.6</w:t>
                  </w:r>
                </w:p>
              </w:tc>
              <w:tc>
                <w:tcPr>
                  <w:tcW w:w="166" w:type="pct"/>
                  <w:shd w:val="clear" w:color="auto" w:fill="auto"/>
                  <w:vAlign w:val="center"/>
                </w:tcPr>
                <w:p w14:paraId="7D5CBAE5">
                  <w:pPr>
                    <w:pStyle w:val="20"/>
                    <w:bidi w:val="0"/>
                    <w:jc w:val="center"/>
                    <w:rPr>
                      <w:rFonts w:hint="default"/>
                      <w:color w:val="auto"/>
                      <w:highlight w:val="none"/>
                      <w:lang w:val="en-US" w:eastAsia="zh-CN"/>
                    </w:rPr>
                  </w:pPr>
                  <w:r>
                    <w:rPr>
                      <w:color w:val="auto"/>
                      <w:highlight w:val="none"/>
                    </w:rPr>
                    <w:t>17.5</w:t>
                  </w:r>
                </w:p>
              </w:tc>
              <w:tc>
                <w:tcPr>
                  <w:tcW w:w="216" w:type="pct"/>
                  <w:shd w:val="clear" w:color="auto" w:fill="auto"/>
                  <w:vAlign w:val="center"/>
                </w:tcPr>
                <w:p w14:paraId="0A98246C">
                  <w:pPr>
                    <w:pStyle w:val="20"/>
                    <w:bidi w:val="0"/>
                    <w:jc w:val="center"/>
                    <w:rPr>
                      <w:rFonts w:hint="default"/>
                      <w:color w:val="auto"/>
                      <w:highlight w:val="none"/>
                      <w:lang w:val="en-US" w:eastAsia="zh-CN"/>
                    </w:rPr>
                  </w:pPr>
                  <w:r>
                    <w:rPr>
                      <w:color w:val="auto"/>
                      <w:highlight w:val="none"/>
                    </w:rPr>
                    <w:t>78.4</w:t>
                  </w:r>
                </w:p>
              </w:tc>
              <w:tc>
                <w:tcPr>
                  <w:tcW w:w="166" w:type="pct"/>
                  <w:shd w:val="clear" w:color="auto" w:fill="auto"/>
                  <w:vAlign w:val="center"/>
                </w:tcPr>
                <w:p w14:paraId="4874DE70">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43FB6DC6">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19060766">
                  <w:pPr>
                    <w:pStyle w:val="20"/>
                    <w:bidi w:val="0"/>
                    <w:jc w:val="center"/>
                    <w:rPr>
                      <w:rFonts w:hint="default"/>
                      <w:color w:val="auto"/>
                      <w:highlight w:val="none"/>
                      <w:lang w:val="en-US" w:eastAsia="zh-CN"/>
                    </w:rPr>
                  </w:pPr>
                  <w:r>
                    <w:rPr>
                      <w:color w:val="auto"/>
                      <w:highlight w:val="none"/>
                    </w:rPr>
                    <w:t>52.3</w:t>
                  </w:r>
                </w:p>
              </w:tc>
              <w:tc>
                <w:tcPr>
                  <w:tcW w:w="182" w:type="pct"/>
                  <w:shd w:val="clear" w:color="auto" w:fill="auto"/>
                  <w:vAlign w:val="center"/>
                </w:tcPr>
                <w:p w14:paraId="1BCDA821">
                  <w:pPr>
                    <w:pStyle w:val="20"/>
                    <w:bidi w:val="0"/>
                    <w:jc w:val="center"/>
                    <w:rPr>
                      <w:rFonts w:hint="default"/>
                      <w:color w:val="auto"/>
                      <w:highlight w:val="none"/>
                      <w:lang w:val="en-US" w:eastAsia="zh-CN"/>
                    </w:rPr>
                  </w:pPr>
                  <w:r>
                    <w:rPr>
                      <w:color w:val="auto"/>
                      <w:highlight w:val="none"/>
                    </w:rPr>
                    <w:t>52.3</w:t>
                  </w:r>
                </w:p>
              </w:tc>
              <w:tc>
                <w:tcPr>
                  <w:tcW w:w="185" w:type="pct"/>
                  <w:shd w:val="clear" w:color="auto" w:fill="auto"/>
                  <w:vAlign w:val="center"/>
                </w:tcPr>
                <w:p w14:paraId="1E4E8796">
                  <w:pPr>
                    <w:pStyle w:val="20"/>
                    <w:bidi w:val="0"/>
                    <w:jc w:val="center"/>
                    <w:rPr>
                      <w:rFonts w:hint="eastAsia"/>
                      <w:color w:val="auto"/>
                      <w:highlight w:val="none"/>
                      <w:lang w:val="en-US" w:eastAsia="zh-CN"/>
                    </w:rPr>
                  </w:pPr>
                  <w:r>
                    <w:rPr>
                      <w:rFonts w:hint="eastAsia"/>
                      <w:color w:val="auto"/>
                      <w:highlight w:val="none"/>
                      <w:lang w:eastAsia="zh-CN"/>
                    </w:rPr>
                    <w:t>昼夜</w:t>
                  </w:r>
                </w:p>
              </w:tc>
              <w:tc>
                <w:tcPr>
                  <w:tcW w:w="166" w:type="pct"/>
                  <w:shd w:val="clear" w:color="auto" w:fill="auto"/>
                  <w:vAlign w:val="center"/>
                </w:tcPr>
                <w:p w14:paraId="0267667B">
                  <w:pPr>
                    <w:pStyle w:val="20"/>
                    <w:bidi w:val="0"/>
                    <w:jc w:val="center"/>
                    <w:rPr>
                      <w:rFonts w:hint="default"/>
                      <w:color w:val="auto"/>
                      <w:highlight w:val="none"/>
                      <w:lang w:val="en-US" w:eastAsia="zh-CN"/>
                    </w:rPr>
                  </w:pPr>
                  <w:r>
                    <w:rPr>
                      <w:color w:val="auto"/>
                      <w:highlight w:val="none"/>
                    </w:rPr>
                    <w:t>16.0</w:t>
                  </w:r>
                </w:p>
              </w:tc>
              <w:tc>
                <w:tcPr>
                  <w:tcW w:w="166" w:type="pct"/>
                  <w:shd w:val="clear" w:color="auto" w:fill="auto"/>
                  <w:vAlign w:val="center"/>
                </w:tcPr>
                <w:p w14:paraId="494E5639">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24AFB8E0">
                  <w:pPr>
                    <w:pStyle w:val="20"/>
                    <w:bidi w:val="0"/>
                    <w:jc w:val="center"/>
                    <w:rPr>
                      <w:rFonts w:hint="default"/>
                      <w:color w:val="auto"/>
                      <w:highlight w:val="none"/>
                      <w:lang w:val="en-US" w:eastAsia="zh-CN"/>
                    </w:rPr>
                  </w:pPr>
                  <w:r>
                    <w:rPr>
                      <w:color w:val="auto"/>
                      <w:highlight w:val="none"/>
                    </w:rPr>
                    <w:t>26.0</w:t>
                  </w:r>
                </w:p>
              </w:tc>
              <w:tc>
                <w:tcPr>
                  <w:tcW w:w="182" w:type="pct"/>
                  <w:shd w:val="clear" w:color="auto" w:fill="auto"/>
                  <w:vAlign w:val="center"/>
                </w:tcPr>
                <w:p w14:paraId="13D3EFA5">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0001E951">
                  <w:pPr>
                    <w:pStyle w:val="20"/>
                    <w:bidi w:val="0"/>
                    <w:jc w:val="center"/>
                    <w:rPr>
                      <w:rFonts w:hint="default"/>
                      <w:color w:val="auto"/>
                      <w:highlight w:val="none"/>
                      <w:lang w:val="en-US" w:eastAsia="zh-CN"/>
                    </w:rPr>
                  </w:pPr>
                  <w:r>
                    <w:rPr>
                      <w:color w:val="auto"/>
                      <w:highlight w:val="none"/>
                    </w:rPr>
                    <w:t>36.3</w:t>
                  </w:r>
                </w:p>
              </w:tc>
              <w:tc>
                <w:tcPr>
                  <w:tcW w:w="166" w:type="pct"/>
                  <w:shd w:val="clear" w:color="auto" w:fill="auto"/>
                  <w:vAlign w:val="center"/>
                </w:tcPr>
                <w:p w14:paraId="7EA053E4">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vAlign w:val="center"/>
                </w:tcPr>
                <w:p w14:paraId="0B2AB4FF">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vAlign w:val="center"/>
                </w:tcPr>
                <w:p w14:paraId="5F478755">
                  <w:pPr>
                    <w:pStyle w:val="20"/>
                    <w:bidi w:val="0"/>
                    <w:jc w:val="center"/>
                    <w:rPr>
                      <w:rFonts w:hint="default"/>
                      <w:color w:val="auto"/>
                      <w:highlight w:val="none"/>
                      <w:lang w:val="en-US" w:eastAsia="zh-CN"/>
                    </w:rPr>
                  </w:pPr>
                  <w:r>
                    <w:rPr>
                      <w:color w:val="auto"/>
                      <w:highlight w:val="none"/>
                    </w:rPr>
                    <w:t>26.3</w:t>
                  </w:r>
                </w:p>
              </w:tc>
              <w:tc>
                <w:tcPr>
                  <w:tcW w:w="235" w:type="pct"/>
                  <w:shd w:val="clear" w:color="auto" w:fill="auto"/>
                  <w:vAlign w:val="center"/>
                </w:tcPr>
                <w:p w14:paraId="6EF3EA80">
                  <w:pPr>
                    <w:pStyle w:val="20"/>
                    <w:bidi w:val="0"/>
                    <w:jc w:val="center"/>
                    <w:rPr>
                      <w:rFonts w:hint="default"/>
                      <w:color w:val="auto"/>
                      <w:highlight w:val="none"/>
                      <w:lang w:val="en-US" w:eastAsia="zh-CN"/>
                    </w:rPr>
                  </w:pPr>
                  <w:r>
                    <w:rPr>
                      <w:color w:val="auto"/>
                      <w:highlight w:val="none"/>
                    </w:rPr>
                    <w:t>1</w:t>
                  </w:r>
                </w:p>
              </w:tc>
            </w:tr>
            <w:tr w14:paraId="653B8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24" w:type="pct"/>
                  <w:shd w:val="clear" w:color="auto" w:fill="auto"/>
                  <w:vAlign w:val="center"/>
                </w:tcPr>
                <w:p w14:paraId="57C0B16A">
                  <w:pPr>
                    <w:pStyle w:val="20"/>
                    <w:bidi w:val="0"/>
                    <w:jc w:val="center"/>
                    <w:rPr>
                      <w:rFonts w:hint="default"/>
                      <w:color w:val="auto"/>
                      <w:highlight w:val="none"/>
                      <w:lang w:val="en-US" w:eastAsia="zh-CN"/>
                    </w:rPr>
                  </w:pPr>
                  <w:r>
                    <w:rPr>
                      <w:color w:val="auto"/>
                      <w:highlight w:val="none"/>
                    </w:rPr>
                    <w:t>8</w:t>
                  </w:r>
                </w:p>
              </w:tc>
              <w:tc>
                <w:tcPr>
                  <w:tcW w:w="209" w:type="pct"/>
                  <w:vMerge w:val="continue"/>
                  <w:shd w:val="clear" w:color="auto" w:fill="auto"/>
                  <w:vAlign w:val="center"/>
                </w:tcPr>
                <w:p w14:paraId="47A6C811">
                  <w:pPr>
                    <w:pStyle w:val="20"/>
                    <w:bidi w:val="0"/>
                    <w:jc w:val="center"/>
                    <w:rPr>
                      <w:rFonts w:hint="eastAsia"/>
                      <w:color w:val="auto"/>
                      <w:highlight w:val="none"/>
                      <w:lang w:eastAsia="zh-CN"/>
                    </w:rPr>
                  </w:pPr>
                </w:p>
              </w:tc>
              <w:tc>
                <w:tcPr>
                  <w:tcW w:w="345" w:type="pct"/>
                  <w:shd w:val="clear" w:color="auto" w:fill="auto"/>
                  <w:vAlign w:val="center"/>
                </w:tcPr>
                <w:p w14:paraId="25FE8F7A">
                  <w:pPr>
                    <w:pStyle w:val="20"/>
                    <w:bidi w:val="0"/>
                    <w:jc w:val="center"/>
                    <w:rPr>
                      <w:rFonts w:hint="default"/>
                      <w:color w:val="auto"/>
                      <w:highlight w:val="none"/>
                      <w:lang w:val="en-US" w:eastAsia="zh-CN"/>
                    </w:rPr>
                  </w:pPr>
                  <w:r>
                    <w:rPr>
                      <w:color w:val="auto"/>
                      <w:highlight w:val="none"/>
                    </w:rPr>
                    <w:t>注塑机5</w:t>
                  </w:r>
                </w:p>
              </w:tc>
              <w:tc>
                <w:tcPr>
                  <w:tcW w:w="248" w:type="pct"/>
                  <w:shd w:val="clear" w:color="auto" w:fill="auto"/>
                  <w:vAlign w:val="center"/>
                </w:tcPr>
                <w:p w14:paraId="0BB1A6B2">
                  <w:pPr>
                    <w:pStyle w:val="20"/>
                    <w:bidi w:val="0"/>
                    <w:jc w:val="center"/>
                    <w:rPr>
                      <w:rFonts w:hint="default"/>
                      <w:color w:val="auto"/>
                      <w:highlight w:val="none"/>
                      <w:lang w:val="en-US" w:eastAsia="zh-CN"/>
                    </w:rPr>
                  </w:pPr>
                  <w:r>
                    <w:rPr>
                      <w:color w:val="auto"/>
                      <w:highlight w:val="none"/>
                    </w:rPr>
                    <w:t>70</w:t>
                  </w:r>
                </w:p>
              </w:tc>
              <w:tc>
                <w:tcPr>
                  <w:tcW w:w="195" w:type="pct"/>
                  <w:vMerge w:val="continue"/>
                  <w:shd w:val="clear" w:color="auto" w:fill="auto"/>
                  <w:vAlign w:val="center"/>
                </w:tcPr>
                <w:p w14:paraId="5B220071">
                  <w:pPr>
                    <w:pStyle w:val="20"/>
                    <w:bidi w:val="0"/>
                    <w:jc w:val="center"/>
                    <w:rPr>
                      <w:rFonts w:hint="default"/>
                      <w:color w:val="auto"/>
                      <w:highlight w:val="none"/>
                    </w:rPr>
                  </w:pPr>
                </w:p>
              </w:tc>
              <w:tc>
                <w:tcPr>
                  <w:tcW w:w="220" w:type="pct"/>
                  <w:shd w:val="clear" w:color="auto" w:fill="auto"/>
                  <w:vAlign w:val="center"/>
                </w:tcPr>
                <w:p w14:paraId="1393CCF0">
                  <w:pPr>
                    <w:pStyle w:val="20"/>
                    <w:bidi w:val="0"/>
                    <w:jc w:val="center"/>
                    <w:rPr>
                      <w:rFonts w:hint="default"/>
                      <w:color w:val="auto"/>
                      <w:highlight w:val="none"/>
                      <w:lang w:val="en-US" w:eastAsia="zh-CN"/>
                    </w:rPr>
                  </w:pPr>
                  <w:r>
                    <w:rPr>
                      <w:color w:val="auto"/>
                      <w:highlight w:val="none"/>
                    </w:rPr>
                    <w:t>2.1</w:t>
                  </w:r>
                </w:p>
              </w:tc>
              <w:tc>
                <w:tcPr>
                  <w:tcW w:w="238" w:type="pct"/>
                  <w:shd w:val="clear" w:color="auto" w:fill="auto"/>
                  <w:vAlign w:val="center"/>
                </w:tcPr>
                <w:p w14:paraId="20347262">
                  <w:pPr>
                    <w:pStyle w:val="20"/>
                    <w:bidi w:val="0"/>
                    <w:jc w:val="center"/>
                    <w:rPr>
                      <w:rFonts w:hint="default"/>
                      <w:color w:val="auto"/>
                      <w:highlight w:val="none"/>
                      <w:lang w:val="en-US" w:eastAsia="zh-CN"/>
                    </w:rPr>
                  </w:pPr>
                  <w:r>
                    <w:rPr>
                      <w:color w:val="auto"/>
                      <w:highlight w:val="none"/>
                    </w:rPr>
                    <w:t>-36.2</w:t>
                  </w:r>
                </w:p>
              </w:tc>
              <w:tc>
                <w:tcPr>
                  <w:tcW w:w="190" w:type="pct"/>
                  <w:shd w:val="clear" w:color="auto" w:fill="auto"/>
                  <w:vAlign w:val="center"/>
                </w:tcPr>
                <w:p w14:paraId="126D542B">
                  <w:pPr>
                    <w:pStyle w:val="20"/>
                    <w:bidi w:val="0"/>
                    <w:jc w:val="center"/>
                    <w:rPr>
                      <w:rFonts w:hint="default"/>
                      <w:color w:val="auto"/>
                      <w:highlight w:val="none"/>
                      <w:lang w:val="en-US" w:eastAsia="zh-CN"/>
                    </w:rPr>
                  </w:pPr>
                  <w:r>
                    <w:rPr>
                      <w:color w:val="auto"/>
                      <w:highlight w:val="none"/>
                    </w:rPr>
                    <w:t>1.2</w:t>
                  </w:r>
                </w:p>
              </w:tc>
              <w:tc>
                <w:tcPr>
                  <w:tcW w:w="197" w:type="pct"/>
                  <w:shd w:val="clear" w:color="auto" w:fill="auto"/>
                  <w:vAlign w:val="center"/>
                </w:tcPr>
                <w:p w14:paraId="2704E0A4">
                  <w:pPr>
                    <w:pStyle w:val="20"/>
                    <w:bidi w:val="0"/>
                    <w:jc w:val="center"/>
                    <w:rPr>
                      <w:rFonts w:hint="default"/>
                      <w:color w:val="auto"/>
                      <w:highlight w:val="none"/>
                      <w:lang w:val="en-US" w:eastAsia="zh-CN"/>
                    </w:rPr>
                  </w:pPr>
                  <w:r>
                    <w:rPr>
                      <w:color w:val="auto"/>
                      <w:highlight w:val="none"/>
                    </w:rPr>
                    <w:t>17.1</w:t>
                  </w:r>
                </w:p>
              </w:tc>
              <w:tc>
                <w:tcPr>
                  <w:tcW w:w="194" w:type="pct"/>
                  <w:shd w:val="clear" w:color="auto" w:fill="auto"/>
                  <w:vAlign w:val="center"/>
                </w:tcPr>
                <w:p w14:paraId="5FA162FD">
                  <w:pPr>
                    <w:pStyle w:val="20"/>
                    <w:bidi w:val="0"/>
                    <w:jc w:val="center"/>
                    <w:rPr>
                      <w:rFonts w:hint="default"/>
                      <w:color w:val="auto"/>
                      <w:highlight w:val="none"/>
                      <w:lang w:val="en-US" w:eastAsia="zh-CN"/>
                    </w:rPr>
                  </w:pPr>
                  <w:r>
                    <w:rPr>
                      <w:color w:val="auto"/>
                      <w:highlight w:val="none"/>
                    </w:rPr>
                    <w:t>44.0</w:t>
                  </w:r>
                </w:p>
              </w:tc>
              <w:tc>
                <w:tcPr>
                  <w:tcW w:w="166" w:type="pct"/>
                  <w:shd w:val="clear" w:color="auto" w:fill="auto"/>
                  <w:vAlign w:val="center"/>
                </w:tcPr>
                <w:p w14:paraId="424590DF">
                  <w:pPr>
                    <w:pStyle w:val="20"/>
                    <w:bidi w:val="0"/>
                    <w:jc w:val="center"/>
                    <w:rPr>
                      <w:rFonts w:hint="default"/>
                      <w:color w:val="auto"/>
                      <w:highlight w:val="none"/>
                      <w:lang w:val="en-US" w:eastAsia="zh-CN"/>
                    </w:rPr>
                  </w:pPr>
                  <w:r>
                    <w:rPr>
                      <w:color w:val="auto"/>
                      <w:highlight w:val="none"/>
                    </w:rPr>
                    <w:t>23.2</w:t>
                  </w:r>
                </w:p>
              </w:tc>
              <w:tc>
                <w:tcPr>
                  <w:tcW w:w="216" w:type="pct"/>
                  <w:shd w:val="clear" w:color="auto" w:fill="auto"/>
                  <w:vAlign w:val="center"/>
                </w:tcPr>
                <w:p w14:paraId="58948243">
                  <w:pPr>
                    <w:pStyle w:val="20"/>
                    <w:bidi w:val="0"/>
                    <w:jc w:val="center"/>
                    <w:rPr>
                      <w:rFonts w:hint="default"/>
                      <w:color w:val="auto"/>
                      <w:highlight w:val="none"/>
                      <w:lang w:val="en-US" w:eastAsia="zh-CN"/>
                    </w:rPr>
                  </w:pPr>
                  <w:r>
                    <w:rPr>
                      <w:color w:val="auto"/>
                      <w:highlight w:val="none"/>
                    </w:rPr>
                    <w:t>82.0</w:t>
                  </w:r>
                </w:p>
              </w:tc>
              <w:tc>
                <w:tcPr>
                  <w:tcW w:w="166" w:type="pct"/>
                  <w:shd w:val="clear" w:color="auto" w:fill="auto"/>
                  <w:vAlign w:val="center"/>
                </w:tcPr>
                <w:p w14:paraId="0D5BA04B">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277930EA">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20F881C2">
                  <w:pPr>
                    <w:pStyle w:val="20"/>
                    <w:bidi w:val="0"/>
                    <w:jc w:val="center"/>
                    <w:rPr>
                      <w:rFonts w:hint="default"/>
                      <w:color w:val="auto"/>
                      <w:highlight w:val="none"/>
                      <w:lang w:val="en-US" w:eastAsia="zh-CN"/>
                    </w:rPr>
                  </w:pPr>
                  <w:r>
                    <w:rPr>
                      <w:color w:val="auto"/>
                      <w:highlight w:val="none"/>
                    </w:rPr>
                    <w:t>52.3</w:t>
                  </w:r>
                </w:p>
              </w:tc>
              <w:tc>
                <w:tcPr>
                  <w:tcW w:w="182" w:type="pct"/>
                  <w:shd w:val="clear" w:color="auto" w:fill="auto"/>
                  <w:vAlign w:val="center"/>
                </w:tcPr>
                <w:p w14:paraId="301A210B">
                  <w:pPr>
                    <w:pStyle w:val="20"/>
                    <w:bidi w:val="0"/>
                    <w:jc w:val="center"/>
                    <w:rPr>
                      <w:rFonts w:hint="default"/>
                      <w:color w:val="auto"/>
                      <w:highlight w:val="none"/>
                      <w:lang w:val="en-US" w:eastAsia="zh-CN"/>
                    </w:rPr>
                  </w:pPr>
                  <w:r>
                    <w:rPr>
                      <w:color w:val="auto"/>
                      <w:highlight w:val="none"/>
                    </w:rPr>
                    <w:t>52.3</w:t>
                  </w:r>
                </w:p>
              </w:tc>
              <w:tc>
                <w:tcPr>
                  <w:tcW w:w="185" w:type="pct"/>
                  <w:shd w:val="clear" w:color="auto" w:fill="auto"/>
                  <w:vAlign w:val="center"/>
                </w:tcPr>
                <w:p w14:paraId="48CC60EF">
                  <w:pPr>
                    <w:pStyle w:val="20"/>
                    <w:bidi w:val="0"/>
                    <w:jc w:val="center"/>
                    <w:rPr>
                      <w:rFonts w:hint="eastAsia"/>
                      <w:color w:val="auto"/>
                      <w:highlight w:val="none"/>
                      <w:lang w:val="en-US" w:eastAsia="zh-CN"/>
                    </w:rPr>
                  </w:pPr>
                  <w:r>
                    <w:rPr>
                      <w:rFonts w:hint="eastAsia"/>
                      <w:color w:val="auto"/>
                      <w:highlight w:val="none"/>
                      <w:lang w:eastAsia="zh-CN"/>
                    </w:rPr>
                    <w:t>昼夜</w:t>
                  </w:r>
                </w:p>
              </w:tc>
              <w:tc>
                <w:tcPr>
                  <w:tcW w:w="166" w:type="pct"/>
                  <w:shd w:val="clear" w:color="auto" w:fill="auto"/>
                  <w:vAlign w:val="center"/>
                </w:tcPr>
                <w:p w14:paraId="231C5277">
                  <w:pPr>
                    <w:pStyle w:val="20"/>
                    <w:bidi w:val="0"/>
                    <w:jc w:val="center"/>
                    <w:rPr>
                      <w:rFonts w:hint="default"/>
                      <w:color w:val="auto"/>
                      <w:highlight w:val="none"/>
                      <w:lang w:val="en-US" w:eastAsia="zh-CN"/>
                    </w:rPr>
                  </w:pPr>
                  <w:r>
                    <w:rPr>
                      <w:color w:val="auto"/>
                      <w:highlight w:val="none"/>
                    </w:rPr>
                    <w:t>16.0</w:t>
                  </w:r>
                </w:p>
              </w:tc>
              <w:tc>
                <w:tcPr>
                  <w:tcW w:w="166" w:type="pct"/>
                  <w:shd w:val="clear" w:color="auto" w:fill="auto"/>
                  <w:vAlign w:val="center"/>
                </w:tcPr>
                <w:p w14:paraId="54F9B07E">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5C6D3A49">
                  <w:pPr>
                    <w:pStyle w:val="20"/>
                    <w:bidi w:val="0"/>
                    <w:jc w:val="center"/>
                    <w:rPr>
                      <w:rFonts w:hint="default"/>
                      <w:color w:val="auto"/>
                      <w:highlight w:val="none"/>
                      <w:lang w:val="en-US" w:eastAsia="zh-CN"/>
                    </w:rPr>
                  </w:pPr>
                  <w:r>
                    <w:rPr>
                      <w:color w:val="auto"/>
                      <w:highlight w:val="none"/>
                    </w:rPr>
                    <w:t>26.0</w:t>
                  </w:r>
                </w:p>
              </w:tc>
              <w:tc>
                <w:tcPr>
                  <w:tcW w:w="182" w:type="pct"/>
                  <w:shd w:val="clear" w:color="auto" w:fill="auto"/>
                  <w:vAlign w:val="center"/>
                </w:tcPr>
                <w:p w14:paraId="610CD5B9">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7E2DDF38">
                  <w:pPr>
                    <w:pStyle w:val="20"/>
                    <w:bidi w:val="0"/>
                    <w:jc w:val="center"/>
                    <w:rPr>
                      <w:rFonts w:hint="default"/>
                      <w:color w:val="auto"/>
                      <w:highlight w:val="none"/>
                      <w:lang w:val="en-US" w:eastAsia="zh-CN"/>
                    </w:rPr>
                  </w:pPr>
                  <w:r>
                    <w:rPr>
                      <w:color w:val="auto"/>
                      <w:highlight w:val="none"/>
                    </w:rPr>
                    <w:t>36.3</w:t>
                  </w:r>
                </w:p>
              </w:tc>
              <w:tc>
                <w:tcPr>
                  <w:tcW w:w="166" w:type="pct"/>
                  <w:shd w:val="clear" w:color="auto" w:fill="auto"/>
                  <w:vAlign w:val="center"/>
                </w:tcPr>
                <w:p w14:paraId="2475F300">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vAlign w:val="center"/>
                </w:tcPr>
                <w:p w14:paraId="1FFCE820">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vAlign w:val="center"/>
                </w:tcPr>
                <w:p w14:paraId="52547877">
                  <w:pPr>
                    <w:pStyle w:val="20"/>
                    <w:bidi w:val="0"/>
                    <w:jc w:val="center"/>
                    <w:rPr>
                      <w:rFonts w:hint="default"/>
                      <w:color w:val="auto"/>
                      <w:highlight w:val="none"/>
                      <w:lang w:val="en-US" w:eastAsia="zh-CN"/>
                    </w:rPr>
                  </w:pPr>
                  <w:r>
                    <w:rPr>
                      <w:color w:val="auto"/>
                      <w:highlight w:val="none"/>
                    </w:rPr>
                    <w:t>26.3</w:t>
                  </w:r>
                </w:p>
              </w:tc>
              <w:tc>
                <w:tcPr>
                  <w:tcW w:w="235" w:type="pct"/>
                  <w:shd w:val="clear" w:color="auto" w:fill="auto"/>
                  <w:vAlign w:val="center"/>
                </w:tcPr>
                <w:p w14:paraId="2C918B3B">
                  <w:pPr>
                    <w:pStyle w:val="20"/>
                    <w:bidi w:val="0"/>
                    <w:jc w:val="center"/>
                    <w:rPr>
                      <w:rFonts w:hint="default"/>
                      <w:color w:val="auto"/>
                      <w:highlight w:val="none"/>
                      <w:lang w:val="en-US" w:eastAsia="zh-CN"/>
                    </w:rPr>
                  </w:pPr>
                  <w:r>
                    <w:rPr>
                      <w:color w:val="auto"/>
                      <w:highlight w:val="none"/>
                    </w:rPr>
                    <w:t>1</w:t>
                  </w:r>
                </w:p>
              </w:tc>
            </w:tr>
            <w:tr w14:paraId="3192A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340" w:hRule="atLeast"/>
                <w:jc w:val="center"/>
              </w:trPr>
              <w:tc>
                <w:tcPr>
                  <w:tcW w:w="124" w:type="pct"/>
                  <w:shd w:val="clear" w:color="auto" w:fill="auto"/>
                  <w:vAlign w:val="center"/>
                </w:tcPr>
                <w:p w14:paraId="2F178F52">
                  <w:pPr>
                    <w:pStyle w:val="20"/>
                    <w:bidi w:val="0"/>
                    <w:jc w:val="center"/>
                    <w:rPr>
                      <w:rFonts w:hint="default"/>
                      <w:color w:val="auto"/>
                      <w:highlight w:val="none"/>
                      <w:lang w:val="en-US" w:eastAsia="zh-CN"/>
                    </w:rPr>
                  </w:pPr>
                  <w:r>
                    <w:rPr>
                      <w:color w:val="auto"/>
                      <w:highlight w:val="none"/>
                    </w:rPr>
                    <w:t>9</w:t>
                  </w:r>
                </w:p>
              </w:tc>
              <w:tc>
                <w:tcPr>
                  <w:tcW w:w="209" w:type="pct"/>
                  <w:vMerge w:val="continue"/>
                  <w:shd w:val="clear" w:color="auto" w:fill="auto"/>
                  <w:vAlign w:val="center"/>
                </w:tcPr>
                <w:p w14:paraId="58F67B10">
                  <w:pPr>
                    <w:pStyle w:val="20"/>
                    <w:bidi w:val="0"/>
                    <w:jc w:val="center"/>
                    <w:rPr>
                      <w:rFonts w:hint="eastAsia"/>
                      <w:color w:val="auto"/>
                      <w:highlight w:val="none"/>
                      <w:lang w:eastAsia="zh-CN"/>
                    </w:rPr>
                  </w:pPr>
                </w:p>
              </w:tc>
              <w:tc>
                <w:tcPr>
                  <w:tcW w:w="345" w:type="pct"/>
                  <w:shd w:val="clear" w:color="auto" w:fill="auto"/>
                  <w:vAlign w:val="center"/>
                </w:tcPr>
                <w:p w14:paraId="6DDF8506">
                  <w:pPr>
                    <w:pStyle w:val="20"/>
                    <w:bidi w:val="0"/>
                    <w:jc w:val="center"/>
                    <w:rPr>
                      <w:rFonts w:hint="default"/>
                      <w:color w:val="auto"/>
                      <w:highlight w:val="none"/>
                      <w:lang w:val="en-US" w:eastAsia="zh-CN"/>
                    </w:rPr>
                  </w:pPr>
                  <w:r>
                    <w:rPr>
                      <w:color w:val="auto"/>
                      <w:highlight w:val="none"/>
                    </w:rPr>
                    <w:t>注塑机6</w:t>
                  </w:r>
                </w:p>
              </w:tc>
              <w:tc>
                <w:tcPr>
                  <w:tcW w:w="248" w:type="pct"/>
                  <w:shd w:val="clear" w:color="auto" w:fill="auto"/>
                  <w:vAlign w:val="center"/>
                </w:tcPr>
                <w:p w14:paraId="54E1817D">
                  <w:pPr>
                    <w:pStyle w:val="20"/>
                    <w:bidi w:val="0"/>
                    <w:jc w:val="center"/>
                    <w:rPr>
                      <w:rFonts w:hint="default"/>
                      <w:color w:val="auto"/>
                      <w:highlight w:val="none"/>
                      <w:lang w:val="en-US" w:eastAsia="zh-CN"/>
                    </w:rPr>
                  </w:pPr>
                  <w:r>
                    <w:rPr>
                      <w:color w:val="auto"/>
                      <w:highlight w:val="none"/>
                    </w:rPr>
                    <w:t>70</w:t>
                  </w:r>
                </w:p>
              </w:tc>
              <w:tc>
                <w:tcPr>
                  <w:tcW w:w="195" w:type="pct"/>
                  <w:vMerge w:val="continue"/>
                  <w:shd w:val="clear" w:color="auto" w:fill="auto"/>
                  <w:vAlign w:val="center"/>
                </w:tcPr>
                <w:p w14:paraId="55C3352A">
                  <w:pPr>
                    <w:pStyle w:val="20"/>
                    <w:bidi w:val="0"/>
                    <w:jc w:val="center"/>
                    <w:rPr>
                      <w:rFonts w:hint="default"/>
                      <w:color w:val="auto"/>
                      <w:highlight w:val="none"/>
                    </w:rPr>
                  </w:pPr>
                </w:p>
              </w:tc>
              <w:tc>
                <w:tcPr>
                  <w:tcW w:w="220" w:type="pct"/>
                  <w:shd w:val="clear" w:color="auto" w:fill="auto"/>
                  <w:vAlign w:val="center"/>
                </w:tcPr>
                <w:p w14:paraId="577198F4">
                  <w:pPr>
                    <w:pStyle w:val="20"/>
                    <w:bidi w:val="0"/>
                    <w:jc w:val="center"/>
                    <w:rPr>
                      <w:rFonts w:hint="default"/>
                      <w:color w:val="auto"/>
                      <w:highlight w:val="none"/>
                      <w:lang w:val="en-US" w:eastAsia="zh-CN"/>
                    </w:rPr>
                  </w:pPr>
                  <w:r>
                    <w:rPr>
                      <w:color w:val="auto"/>
                      <w:highlight w:val="none"/>
                    </w:rPr>
                    <w:t>4.5</w:t>
                  </w:r>
                </w:p>
              </w:tc>
              <w:tc>
                <w:tcPr>
                  <w:tcW w:w="238" w:type="pct"/>
                  <w:shd w:val="clear" w:color="auto" w:fill="auto"/>
                  <w:vAlign w:val="center"/>
                </w:tcPr>
                <w:p w14:paraId="3F43FAB0">
                  <w:pPr>
                    <w:pStyle w:val="20"/>
                    <w:bidi w:val="0"/>
                    <w:jc w:val="center"/>
                    <w:rPr>
                      <w:rFonts w:hint="default"/>
                      <w:color w:val="auto"/>
                      <w:highlight w:val="none"/>
                      <w:lang w:val="en-US" w:eastAsia="zh-CN"/>
                    </w:rPr>
                  </w:pPr>
                  <w:r>
                    <w:rPr>
                      <w:color w:val="auto"/>
                      <w:highlight w:val="none"/>
                    </w:rPr>
                    <w:t>-45.1</w:t>
                  </w:r>
                </w:p>
              </w:tc>
              <w:tc>
                <w:tcPr>
                  <w:tcW w:w="190" w:type="pct"/>
                  <w:shd w:val="clear" w:color="auto" w:fill="auto"/>
                  <w:vAlign w:val="center"/>
                </w:tcPr>
                <w:p w14:paraId="728549E7">
                  <w:pPr>
                    <w:pStyle w:val="20"/>
                    <w:bidi w:val="0"/>
                    <w:jc w:val="center"/>
                    <w:rPr>
                      <w:rFonts w:hint="default"/>
                      <w:color w:val="auto"/>
                      <w:highlight w:val="none"/>
                      <w:lang w:val="en-US" w:eastAsia="zh-CN"/>
                    </w:rPr>
                  </w:pPr>
                  <w:r>
                    <w:rPr>
                      <w:color w:val="auto"/>
                      <w:highlight w:val="none"/>
                    </w:rPr>
                    <w:t>1.2</w:t>
                  </w:r>
                </w:p>
              </w:tc>
              <w:tc>
                <w:tcPr>
                  <w:tcW w:w="197" w:type="pct"/>
                  <w:shd w:val="clear" w:color="auto" w:fill="auto"/>
                  <w:vAlign w:val="center"/>
                </w:tcPr>
                <w:p w14:paraId="632026D8">
                  <w:pPr>
                    <w:pStyle w:val="20"/>
                    <w:bidi w:val="0"/>
                    <w:jc w:val="center"/>
                    <w:rPr>
                      <w:rFonts w:hint="default"/>
                      <w:color w:val="auto"/>
                      <w:highlight w:val="none"/>
                      <w:lang w:val="en-US" w:eastAsia="zh-CN"/>
                    </w:rPr>
                  </w:pPr>
                  <w:r>
                    <w:rPr>
                      <w:color w:val="auto"/>
                      <w:highlight w:val="none"/>
                    </w:rPr>
                    <w:t>25.3</w:t>
                  </w:r>
                </w:p>
              </w:tc>
              <w:tc>
                <w:tcPr>
                  <w:tcW w:w="194" w:type="pct"/>
                  <w:shd w:val="clear" w:color="auto" w:fill="auto"/>
                  <w:vAlign w:val="center"/>
                </w:tcPr>
                <w:p w14:paraId="6D42529B">
                  <w:pPr>
                    <w:pStyle w:val="20"/>
                    <w:bidi w:val="0"/>
                    <w:jc w:val="center"/>
                    <w:rPr>
                      <w:rFonts w:hint="default"/>
                      <w:color w:val="auto"/>
                      <w:highlight w:val="none"/>
                      <w:lang w:val="en-US" w:eastAsia="zh-CN"/>
                    </w:rPr>
                  </w:pPr>
                  <w:r>
                    <w:rPr>
                      <w:color w:val="auto"/>
                      <w:highlight w:val="none"/>
                    </w:rPr>
                    <w:t>35.1</w:t>
                  </w:r>
                </w:p>
              </w:tc>
              <w:tc>
                <w:tcPr>
                  <w:tcW w:w="166" w:type="pct"/>
                  <w:shd w:val="clear" w:color="auto" w:fill="auto"/>
                  <w:vAlign w:val="center"/>
                </w:tcPr>
                <w:p w14:paraId="69EAF4C2">
                  <w:pPr>
                    <w:pStyle w:val="20"/>
                    <w:bidi w:val="0"/>
                    <w:jc w:val="center"/>
                    <w:rPr>
                      <w:rFonts w:hint="default"/>
                      <w:color w:val="auto"/>
                      <w:highlight w:val="none"/>
                      <w:lang w:val="en-US" w:eastAsia="zh-CN"/>
                    </w:rPr>
                  </w:pPr>
                  <w:r>
                    <w:rPr>
                      <w:color w:val="auto"/>
                      <w:highlight w:val="none"/>
                    </w:rPr>
                    <w:t>25.6</w:t>
                  </w:r>
                </w:p>
              </w:tc>
              <w:tc>
                <w:tcPr>
                  <w:tcW w:w="216" w:type="pct"/>
                  <w:shd w:val="clear" w:color="auto" w:fill="auto"/>
                  <w:vAlign w:val="center"/>
                </w:tcPr>
                <w:p w14:paraId="2BC981AE">
                  <w:pPr>
                    <w:pStyle w:val="20"/>
                    <w:bidi w:val="0"/>
                    <w:jc w:val="center"/>
                    <w:rPr>
                      <w:rFonts w:hint="default"/>
                      <w:color w:val="auto"/>
                      <w:highlight w:val="none"/>
                      <w:lang w:val="en-US" w:eastAsia="zh-CN"/>
                    </w:rPr>
                  </w:pPr>
                  <w:r>
                    <w:rPr>
                      <w:color w:val="auto"/>
                      <w:highlight w:val="none"/>
                    </w:rPr>
                    <w:t>90.9</w:t>
                  </w:r>
                </w:p>
              </w:tc>
              <w:tc>
                <w:tcPr>
                  <w:tcW w:w="166" w:type="pct"/>
                  <w:shd w:val="clear" w:color="auto" w:fill="auto"/>
                  <w:vAlign w:val="center"/>
                </w:tcPr>
                <w:p w14:paraId="7775FA25">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11EABF6C">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4F7AE5C4">
                  <w:pPr>
                    <w:pStyle w:val="20"/>
                    <w:bidi w:val="0"/>
                    <w:jc w:val="center"/>
                    <w:rPr>
                      <w:rFonts w:hint="default"/>
                      <w:color w:val="auto"/>
                      <w:highlight w:val="none"/>
                      <w:lang w:val="en-US" w:eastAsia="zh-CN"/>
                    </w:rPr>
                  </w:pPr>
                  <w:r>
                    <w:rPr>
                      <w:color w:val="auto"/>
                      <w:highlight w:val="none"/>
                    </w:rPr>
                    <w:t>52.3</w:t>
                  </w:r>
                </w:p>
              </w:tc>
              <w:tc>
                <w:tcPr>
                  <w:tcW w:w="182" w:type="pct"/>
                  <w:shd w:val="clear" w:color="auto" w:fill="auto"/>
                  <w:vAlign w:val="center"/>
                </w:tcPr>
                <w:p w14:paraId="01F3E6E7">
                  <w:pPr>
                    <w:pStyle w:val="20"/>
                    <w:bidi w:val="0"/>
                    <w:jc w:val="center"/>
                    <w:rPr>
                      <w:rFonts w:hint="default"/>
                      <w:color w:val="auto"/>
                      <w:highlight w:val="none"/>
                      <w:lang w:val="en-US" w:eastAsia="zh-CN"/>
                    </w:rPr>
                  </w:pPr>
                  <w:r>
                    <w:rPr>
                      <w:color w:val="auto"/>
                      <w:highlight w:val="none"/>
                    </w:rPr>
                    <w:t>52.3</w:t>
                  </w:r>
                </w:p>
              </w:tc>
              <w:tc>
                <w:tcPr>
                  <w:tcW w:w="185" w:type="pct"/>
                  <w:shd w:val="clear" w:color="auto" w:fill="auto"/>
                  <w:vAlign w:val="center"/>
                </w:tcPr>
                <w:p w14:paraId="6DED108E">
                  <w:pPr>
                    <w:pStyle w:val="20"/>
                    <w:bidi w:val="0"/>
                    <w:jc w:val="center"/>
                    <w:rPr>
                      <w:rFonts w:hint="eastAsia"/>
                      <w:color w:val="auto"/>
                      <w:highlight w:val="none"/>
                      <w:lang w:val="en-US" w:eastAsia="zh-CN"/>
                    </w:rPr>
                  </w:pPr>
                  <w:r>
                    <w:rPr>
                      <w:rFonts w:hint="eastAsia"/>
                      <w:color w:val="auto"/>
                      <w:highlight w:val="none"/>
                      <w:lang w:eastAsia="zh-CN"/>
                    </w:rPr>
                    <w:t>昼夜</w:t>
                  </w:r>
                </w:p>
              </w:tc>
              <w:tc>
                <w:tcPr>
                  <w:tcW w:w="166" w:type="pct"/>
                  <w:shd w:val="clear" w:color="auto" w:fill="auto"/>
                  <w:vAlign w:val="center"/>
                </w:tcPr>
                <w:p w14:paraId="218FDD0B">
                  <w:pPr>
                    <w:pStyle w:val="20"/>
                    <w:bidi w:val="0"/>
                    <w:jc w:val="center"/>
                    <w:rPr>
                      <w:rFonts w:hint="default"/>
                      <w:color w:val="auto"/>
                      <w:highlight w:val="none"/>
                      <w:lang w:val="en-US" w:eastAsia="zh-CN"/>
                    </w:rPr>
                  </w:pPr>
                  <w:r>
                    <w:rPr>
                      <w:color w:val="auto"/>
                      <w:highlight w:val="none"/>
                    </w:rPr>
                    <w:t>16.0</w:t>
                  </w:r>
                </w:p>
              </w:tc>
              <w:tc>
                <w:tcPr>
                  <w:tcW w:w="166" w:type="pct"/>
                  <w:shd w:val="clear" w:color="auto" w:fill="auto"/>
                  <w:vAlign w:val="center"/>
                </w:tcPr>
                <w:p w14:paraId="4D7C0393">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0D758896">
                  <w:pPr>
                    <w:pStyle w:val="20"/>
                    <w:bidi w:val="0"/>
                    <w:jc w:val="center"/>
                    <w:rPr>
                      <w:rFonts w:hint="default"/>
                      <w:color w:val="auto"/>
                      <w:highlight w:val="none"/>
                      <w:lang w:val="en-US" w:eastAsia="zh-CN"/>
                    </w:rPr>
                  </w:pPr>
                  <w:r>
                    <w:rPr>
                      <w:color w:val="auto"/>
                      <w:highlight w:val="none"/>
                    </w:rPr>
                    <w:t>26.0</w:t>
                  </w:r>
                </w:p>
              </w:tc>
              <w:tc>
                <w:tcPr>
                  <w:tcW w:w="182" w:type="pct"/>
                  <w:shd w:val="clear" w:color="auto" w:fill="auto"/>
                  <w:vAlign w:val="center"/>
                </w:tcPr>
                <w:p w14:paraId="46B25EC5">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118885B8">
                  <w:pPr>
                    <w:pStyle w:val="20"/>
                    <w:bidi w:val="0"/>
                    <w:jc w:val="center"/>
                    <w:rPr>
                      <w:rFonts w:hint="default"/>
                      <w:color w:val="auto"/>
                      <w:highlight w:val="none"/>
                      <w:lang w:val="en-US" w:eastAsia="zh-CN"/>
                    </w:rPr>
                  </w:pPr>
                  <w:r>
                    <w:rPr>
                      <w:color w:val="auto"/>
                      <w:highlight w:val="none"/>
                    </w:rPr>
                    <w:t>36.3</w:t>
                  </w:r>
                </w:p>
              </w:tc>
              <w:tc>
                <w:tcPr>
                  <w:tcW w:w="166" w:type="pct"/>
                  <w:shd w:val="clear" w:color="auto" w:fill="auto"/>
                  <w:vAlign w:val="center"/>
                </w:tcPr>
                <w:p w14:paraId="5DE53FF9">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vAlign w:val="center"/>
                </w:tcPr>
                <w:p w14:paraId="6BD56D69">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vAlign w:val="center"/>
                </w:tcPr>
                <w:p w14:paraId="0618AA91">
                  <w:pPr>
                    <w:pStyle w:val="20"/>
                    <w:bidi w:val="0"/>
                    <w:jc w:val="center"/>
                    <w:rPr>
                      <w:rFonts w:hint="default"/>
                      <w:color w:val="auto"/>
                      <w:highlight w:val="none"/>
                      <w:lang w:val="en-US" w:eastAsia="zh-CN"/>
                    </w:rPr>
                  </w:pPr>
                  <w:r>
                    <w:rPr>
                      <w:color w:val="auto"/>
                      <w:highlight w:val="none"/>
                    </w:rPr>
                    <w:t>26.3</w:t>
                  </w:r>
                </w:p>
              </w:tc>
              <w:tc>
                <w:tcPr>
                  <w:tcW w:w="235" w:type="pct"/>
                  <w:shd w:val="clear" w:color="auto" w:fill="auto"/>
                  <w:vAlign w:val="center"/>
                </w:tcPr>
                <w:p w14:paraId="42449012">
                  <w:pPr>
                    <w:pStyle w:val="20"/>
                    <w:bidi w:val="0"/>
                    <w:jc w:val="center"/>
                    <w:rPr>
                      <w:rFonts w:hint="default"/>
                      <w:color w:val="auto"/>
                      <w:highlight w:val="none"/>
                      <w:lang w:val="en-US" w:eastAsia="zh-CN"/>
                    </w:rPr>
                  </w:pPr>
                  <w:r>
                    <w:rPr>
                      <w:color w:val="auto"/>
                      <w:highlight w:val="none"/>
                    </w:rPr>
                    <w:t>1</w:t>
                  </w:r>
                </w:p>
              </w:tc>
            </w:tr>
            <w:tr w14:paraId="0EBFD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340" w:hRule="atLeast"/>
                <w:jc w:val="center"/>
              </w:trPr>
              <w:tc>
                <w:tcPr>
                  <w:tcW w:w="124" w:type="pct"/>
                  <w:shd w:val="clear" w:color="auto" w:fill="auto"/>
                  <w:vAlign w:val="center"/>
                </w:tcPr>
                <w:p w14:paraId="656964ED">
                  <w:pPr>
                    <w:pStyle w:val="20"/>
                    <w:bidi w:val="0"/>
                    <w:jc w:val="center"/>
                    <w:rPr>
                      <w:rFonts w:hint="default"/>
                      <w:color w:val="auto"/>
                      <w:highlight w:val="none"/>
                      <w:lang w:val="en-US" w:eastAsia="zh-CN"/>
                    </w:rPr>
                  </w:pPr>
                  <w:r>
                    <w:rPr>
                      <w:color w:val="auto"/>
                      <w:highlight w:val="none"/>
                    </w:rPr>
                    <w:t>10</w:t>
                  </w:r>
                </w:p>
              </w:tc>
              <w:tc>
                <w:tcPr>
                  <w:tcW w:w="209" w:type="pct"/>
                  <w:vMerge w:val="continue"/>
                  <w:shd w:val="clear" w:color="auto" w:fill="auto"/>
                  <w:vAlign w:val="center"/>
                </w:tcPr>
                <w:p w14:paraId="5B0EAFE5">
                  <w:pPr>
                    <w:pStyle w:val="20"/>
                    <w:bidi w:val="0"/>
                    <w:jc w:val="center"/>
                    <w:rPr>
                      <w:rFonts w:hint="eastAsia"/>
                      <w:color w:val="auto"/>
                      <w:highlight w:val="none"/>
                      <w:lang w:eastAsia="zh-CN"/>
                    </w:rPr>
                  </w:pPr>
                </w:p>
              </w:tc>
              <w:tc>
                <w:tcPr>
                  <w:tcW w:w="345" w:type="pct"/>
                  <w:shd w:val="clear" w:color="auto" w:fill="auto"/>
                  <w:vAlign w:val="center"/>
                </w:tcPr>
                <w:p w14:paraId="6C432881">
                  <w:pPr>
                    <w:pStyle w:val="20"/>
                    <w:bidi w:val="0"/>
                    <w:jc w:val="center"/>
                    <w:rPr>
                      <w:rFonts w:hint="default"/>
                      <w:color w:val="auto"/>
                      <w:highlight w:val="none"/>
                      <w:lang w:val="en-US" w:eastAsia="zh-CN"/>
                    </w:rPr>
                  </w:pPr>
                  <w:r>
                    <w:rPr>
                      <w:color w:val="auto"/>
                      <w:highlight w:val="none"/>
                    </w:rPr>
                    <w:t>注塑机7</w:t>
                  </w:r>
                </w:p>
              </w:tc>
              <w:tc>
                <w:tcPr>
                  <w:tcW w:w="248" w:type="pct"/>
                  <w:shd w:val="clear" w:color="auto" w:fill="auto"/>
                  <w:vAlign w:val="center"/>
                </w:tcPr>
                <w:p w14:paraId="35B31D04">
                  <w:pPr>
                    <w:pStyle w:val="20"/>
                    <w:bidi w:val="0"/>
                    <w:jc w:val="center"/>
                    <w:rPr>
                      <w:rFonts w:hint="default"/>
                      <w:color w:val="auto"/>
                      <w:highlight w:val="none"/>
                      <w:lang w:val="en-US" w:eastAsia="zh-CN"/>
                    </w:rPr>
                  </w:pPr>
                  <w:r>
                    <w:rPr>
                      <w:color w:val="auto"/>
                      <w:highlight w:val="none"/>
                    </w:rPr>
                    <w:t>70</w:t>
                  </w:r>
                </w:p>
              </w:tc>
              <w:tc>
                <w:tcPr>
                  <w:tcW w:w="195" w:type="pct"/>
                  <w:vMerge w:val="continue"/>
                  <w:shd w:val="clear" w:color="auto" w:fill="auto"/>
                  <w:vAlign w:val="center"/>
                </w:tcPr>
                <w:p w14:paraId="46329509">
                  <w:pPr>
                    <w:pStyle w:val="20"/>
                    <w:bidi w:val="0"/>
                    <w:jc w:val="center"/>
                    <w:rPr>
                      <w:rFonts w:hint="default"/>
                      <w:color w:val="auto"/>
                      <w:highlight w:val="none"/>
                    </w:rPr>
                  </w:pPr>
                </w:p>
              </w:tc>
              <w:tc>
                <w:tcPr>
                  <w:tcW w:w="220" w:type="pct"/>
                  <w:shd w:val="clear" w:color="auto" w:fill="auto"/>
                  <w:vAlign w:val="center"/>
                </w:tcPr>
                <w:p w14:paraId="0AE43245">
                  <w:pPr>
                    <w:pStyle w:val="20"/>
                    <w:bidi w:val="0"/>
                    <w:jc w:val="center"/>
                    <w:rPr>
                      <w:rFonts w:hint="default"/>
                      <w:color w:val="auto"/>
                      <w:highlight w:val="none"/>
                      <w:lang w:val="en-US" w:eastAsia="zh-CN"/>
                    </w:rPr>
                  </w:pPr>
                  <w:r>
                    <w:rPr>
                      <w:color w:val="auto"/>
                      <w:highlight w:val="none"/>
                    </w:rPr>
                    <w:t>0.3</w:t>
                  </w:r>
                </w:p>
              </w:tc>
              <w:tc>
                <w:tcPr>
                  <w:tcW w:w="238" w:type="pct"/>
                  <w:shd w:val="clear" w:color="auto" w:fill="auto"/>
                  <w:vAlign w:val="center"/>
                </w:tcPr>
                <w:p w14:paraId="7E60EA3A">
                  <w:pPr>
                    <w:pStyle w:val="20"/>
                    <w:bidi w:val="0"/>
                    <w:jc w:val="center"/>
                    <w:rPr>
                      <w:rFonts w:hint="default"/>
                      <w:color w:val="auto"/>
                      <w:highlight w:val="none"/>
                      <w:lang w:val="en-US" w:eastAsia="zh-CN"/>
                    </w:rPr>
                  </w:pPr>
                  <w:r>
                    <w:rPr>
                      <w:color w:val="auto"/>
                      <w:highlight w:val="none"/>
                    </w:rPr>
                    <w:t>-45.4</w:t>
                  </w:r>
                </w:p>
              </w:tc>
              <w:tc>
                <w:tcPr>
                  <w:tcW w:w="190" w:type="pct"/>
                  <w:shd w:val="clear" w:color="auto" w:fill="auto"/>
                  <w:vAlign w:val="center"/>
                </w:tcPr>
                <w:p w14:paraId="51AA5D72">
                  <w:pPr>
                    <w:pStyle w:val="20"/>
                    <w:bidi w:val="0"/>
                    <w:jc w:val="center"/>
                    <w:rPr>
                      <w:rFonts w:hint="default"/>
                      <w:color w:val="auto"/>
                      <w:highlight w:val="none"/>
                      <w:lang w:val="en-US" w:eastAsia="zh-CN"/>
                    </w:rPr>
                  </w:pPr>
                  <w:r>
                    <w:rPr>
                      <w:color w:val="auto"/>
                      <w:highlight w:val="none"/>
                    </w:rPr>
                    <w:t>1.2</w:t>
                  </w:r>
                </w:p>
              </w:tc>
              <w:tc>
                <w:tcPr>
                  <w:tcW w:w="197" w:type="pct"/>
                  <w:shd w:val="clear" w:color="auto" w:fill="auto"/>
                  <w:vAlign w:val="center"/>
                </w:tcPr>
                <w:p w14:paraId="49C0E3BA">
                  <w:pPr>
                    <w:pStyle w:val="20"/>
                    <w:bidi w:val="0"/>
                    <w:jc w:val="center"/>
                    <w:rPr>
                      <w:rFonts w:hint="default"/>
                      <w:color w:val="auto"/>
                      <w:highlight w:val="none"/>
                      <w:lang w:val="en-US" w:eastAsia="zh-CN"/>
                    </w:rPr>
                  </w:pPr>
                  <w:r>
                    <w:rPr>
                      <w:color w:val="auto"/>
                      <w:highlight w:val="none"/>
                    </w:rPr>
                    <w:t>26.5</w:t>
                  </w:r>
                </w:p>
              </w:tc>
              <w:tc>
                <w:tcPr>
                  <w:tcW w:w="194" w:type="pct"/>
                  <w:shd w:val="clear" w:color="auto" w:fill="auto"/>
                  <w:vAlign w:val="center"/>
                </w:tcPr>
                <w:p w14:paraId="5F2F4D13">
                  <w:pPr>
                    <w:pStyle w:val="20"/>
                    <w:bidi w:val="0"/>
                    <w:jc w:val="center"/>
                    <w:rPr>
                      <w:rFonts w:hint="default"/>
                      <w:color w:val="auto"/>
                      <w:highlight w:val="none"/>
                      <w:lang w:val="en-US" w:eastAsia="zh-CN"/>
                    </w:rPr>
                  </w:pPr>
                  <w:r>
                    <w:rPr>
                      <w:color w:val="auto"/>
                      <w:highlight w:val="none"/>
                    </w:rPr>
                    <w:t>34.8</w:t>
                  </w:r>
                </w:p>
              </w:tc>
              <w:tc>
                <w:tcPr>
                  <w:tcW w:w="166" w:type="pct"/>
                  <w:shd w:val="clear" w:color="auto" w:fill="auto"/>
                  <w:vAlign w:val="center"/>
                </w:tcPr>
                <w:p w14:paraId="62870851">
                  <w:pPr>
                    <w:pStyle w:val="20"/>
                    <w:bidi w:val="0"/>
                    <w:jc w:val="center"/>
                    <w:rPr>
                      <w:rFonts w:hint="default"/>
                      <w:color w:val="auto"/>
                      <w:highlight w:val="none"/>
                      <w:lang w:val="en-US" w:eastAsia="zh-CN"/>
                    </w:rPr>
                  </w:pPr>
                  <w:r>
                    <w:rPr>
                      <w:color w:val="auto"/>
                      <w:highlight w:val="none"/>
                    </w:rPr>
                    <w:t>21.4</w:t>
                  </w:r>
                </w:p>
              </w:tc>
              <w:tc>
                <w:tcPr>
                  <w:tcW w:w="216" w:type="pct"/>
                  <w:shd w:val="clear" w:color="auto" w:fill="auto"/>
                  <w:vAlign w:val="center"/>
                </w:tcPr>
                <w:p w14:paraId="4AFE93C1">
                  <w:pPr>
                    <w:pStyle w:val="20"/>
                    <w:bidi w:val="0"/>
                    <w:jc w:val="center"/>
                    <w:rPr>
                      <w:rFonts w:hint="default"/>
                      <w:color w:val="auto"/>
                      <w:highlight w:val="none"/>
                      <w:lang w:val="en-US" w:eastAsia="zh-CN"/>
                    </w:rPr>
                  </w:pPr>
                  <w:r>
                    <w:rPr>
                      <w:color w:val="auto"/>
                      <w:highlight w:val="none"/>
                    </w:rPr>
                    <w:t>91.2</w:t>
                  </w:r>
                </w:p>
              </w:tc>
              <w:tc>
                <w:tcPr>
                  <w:tcW w:w="166" w:type="pct"/>
                  <w:shd w:val="clear" w:color="auto" w:fill="auto"/>
                  <w:vAlign w:val="center"/>
                </w:tcPr>
                <w:p w14:paraId="69640414">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1925976E">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2C7092FC">
                  <w:pPr>
                    <w:pStyle w:val="20"/>
                    <w:bidi w:val="0"/>
                    <w:jc w:val="center"/>
                    <w:rPr>
                      <w:rFonts w:hint="default"/>
                      <w:color w:val="auto"/>
                      <w:highlight w:val="none"/>
                      <w:lang w:val="en-US" w:eastAsia="zh-CN"/>
                    </w:rPr>
                  </w:pPr>
                  <w:r>
                    <w:rPr>
                      <w:color w:val="auto"/>
                      <w:highlight w:val="none"/>
                    </w:rPr>
                    <w:t>52.3</w:t>
                  </w:r>
                </w:p>
              </w:tc>
              <w:tc>
                <w:tcPr>
                  <w:tcW w:w="182" w:type="pct"/>
                  <w:shd w:val="clear" w:color="auto" w:fill="auto"/>
                  <w:vAlign w:val="center"/>
                </w:tcPr>
                <w:p w14:paraId="6A6A0A07">
                  <w:pPr>
                    <w:pStyle w:val="20"/>
                    <w:bidi w:val="0"/>
                    <w:jc w:val="center"/>
                    <w:rPr>
                      <w:rFonts w:hint="default"/>
                      <w:color w:val="auto"/>
                      <w:highlight w:val="none"/>
                      <w:lang w:val="en-US" w:eastAsia="zh-CN"/>
                    </w:rPr>
                  </w:pPr>
                  <w:r>
                    <w:rPr>
                      <w:color w:val="auto"/>
                      <w:highlight w:val="none"/>
                    </w:rPr>
                    <w:t>52.3</w:t>
                  </w:r>
                </w:p>
              </w:tc>
              <w:tc>
                <w:tcPr>
                  <w:tcW w:w="185" w:type="pct"/>
                  <w:shd w:val="clear" w:color="auto" w:fill="auto"/>
                  <w:vAlign w:val="center"/>
                </w:tcPr>
                <w:p w14:paraId="5ECE8450">
                  <w:pPr>
                    <w:pStyle w:val="20"/>
                    <w:bidi w:val="0"/>
                    <w:jc w:val="center"/>
                    <w:rPr>
                      <w:rFonts w:hint="eastAsia"/>
                      <w:color w:val="auto"/>
                      <w:highlight w:val="none"/>
                      <w:lang w:val="en-US" w:eastAsia="zh-CN"/>
                    </w:rPr>
                  </w:pPr>
                  <w:r>
                    <w:rPr>
                      <w:rFonts w:hint="eastAsia"/>
                      <w:color w:val="auto"/>
                      <w:highlight w:val="none"/>
                      <w:lang w:eastAsia="zh-CN"/>
                    </w:rPr>
                    <w:t>昼夜</w:t>
                  </w:r>
                </w:p>
              </w:tc>
              <w:tc>
                <w:tcPr>
                  <w:tcW w:w="166" w:type="pct"/>
                  <w:shd w:val="clear" w:color="auto" w:fill="auto"/>
                  <w:vAlign w:val="center"/>
                </w:tcPr>
                <w:p w14:paraId="360B4EA7">
                  <w:pPr>
                    <w:pStyle w:val="20"/>
                    <w:bidi w:val="0"/>
                    <w:jc w:val="center"/>
                    <w:rPr>
                      <w:rFonts w:hint="default"/>
                      <w:color w:val="auto"/>
                      <w:highlight w:val="none"/>
                      <w:lang w:val="en-US" w:eastAsia="zh-CN"/>
                    </w:rPr>
                  </w:pPr>
                  <w:r>
                    <w:rPr>
                      <w:color w:val="auto"/>
                      <w:highlight w:val="none"/>
                    </w:rPr>
                    <w:t>16.0</w:t>
                  </w:r>
                </w:p>
              </w:tc>
              <w:tc>
                <w:tcPr>
                  <w:tcW w:w="166" w:type="pct"/>
                  <w:shd w:val="clear" w:color="auto" w:fill="auto"/>
                  <w:vAlign w:val="center"/>
                </w:tcPr>
                <w:p w14:paraId="2189CA22">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6264798D">
                  <w:pPr>
                    <w:pStyle w:val="20"/>
                    <w:bidi w:val="0"/>
                    <w:jc w:val="center"/>
                    <w:rPr>
                      <w:rFonts w:hint="default"/>
                      <w:color w:val="auto"/>
                      <w:highlight w:val="none"/>
                      <w:lang w:val="en-US" w:eastAsia="zh-CN"/>
                    </w:rPr>
                  </w:pPr>
                  <w:r>
                    <w:rPr>
                      <w:color w:val="auto"/>
                      <w:highlight w:val="none"/>
                    </w:rPr>
                    <w:t>26.0</w:t>
                  </w:r>
                </w:p>
              </w:tc>
              <w:tc>
                <w:tcPr>
                  <w:tcW w:w="182" w:type="pct"/>
                  <w:shd w:val="clear" w:color="auto" w:fill="auto"/>
                  <w:vAlign w:val="center"/>
                </w:tcPr>
                <w:p w14:paraId="2FCF221E">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016DEB88">
                  <w:pPr>
                    <w:pStyle w:val="20"/>
                    <w:bidi w:val="0"/>
                    <w:jc w:val="center"/>
                    <w:rPr>
                      <w:rFonts w:hint="default"/>
                      <w:color w:val="auto"/>
                      <w:highlight w:val="none"/>
                      <w:lang w:val="en-US" w:eastAsia="zh-CN"/>
                    </w:rPr>
                  </w:pPr>
                  <w:r>
                    <w:rPr>
                      <w:color w:val="auto"/>
                      <w:highlight w:val="none"/>
                    </w:rPr>
                    <w:t>36.3</w:t>
                  </w:r>
                </w:p>
              </w:tc>
              <w:tc>
                <w:tcPr>
                  <w:tcW w:w="166" w:type="pct"/>
                  <w:shd w:val="clear" w:color="auto" w:fill="auto"/>
                  <w:vAlign w:val="center"/>
                </w:tcPr>
                <w:p w14:paraId="2BB7EB37">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vAlign w:val="center"/>
                </w:tcPr>
                <w:p w14:paraId="63F4C6AA">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vAlign w:val="center"/>
                </w:tcPr>
                <w:p w14:paraId="00C386CC">
                  <w:pPr>
                    <w:pStyle w:val="20"/>
                    <w:bidi w:val="0"/>
                    <w:jc w:val="center"/>
                    <w:rPr>
                      <w:rFonts w:hint="default"/>
                      <w:color w:val="auto"/>
                      <w:highlight w:val="none"/>
                      <w:lang w:val="en-US" w:eastAsia="zh-CN"/>
                    </w:rPr>
                  </w:pPr>
                  <w:r>
                    <w:rPr>
                      <w:color w:val="auto"/>
                      <w:highlight w:val="none"/>
                    </w:rPr>
                    <w:t>26.3</w:t>
                  </w:r>
                </w:p>
              </w:tc>
              <w:tc>
                <w:tcPr>
                  <w:tcW w:w="235" w:type="pct"/>
                  <w:shd w:val="clear" w:color="auto" w:fill="auto"/>
                  <w:vAlign w:val="center"/>
                </w:tcPr>
                <w:p w14:paraId="0CB29C7E">
                  <w:pPr>
                    <w:pStyle w:val="20"/>
                    <w:bidi w:val="0"/>
                    <w:jc w:val="center"/>
                    <w:rPr>
                      <w:rFonts w:hint="default"/>
                      <w:color w:val="auto"/>
                      <w:highlight w:val="none"/>
                      <w:lang w:val="en-US" w:eastAsia="zh-CN"/>
                    </w:rPr>
                  </w:pPr>
                  <w:r>
                    <w:rPr>
                      <w:color w:val="auto"/>
                      <w:highlight w:val="none"/>
                    </w:rPr>
                    <w:t>1</w:t>
                  </w:r>
                </w:p>
              </w:tc>
            </w:tr>
            <w:tr w14:paraId="11DD7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340" w:hRule="atLeast"/>
                <w:jc w:val="center"/>
              </w:trPr>
              <w:tc>
                <w:tcPr>
                  <w:tcW w:w="124" w:type="pct"/>
                  <w:shd w:val="clear" w:color="auto" w:fill="auto"/>
                  <w:vAlign w:val="center"/>
                </w:tcPr>
                <w:p w14:paraId="02B460FC">
                  <w:pPr>
                    <w:pStyle w:val="20"/>
                    <w:bidi w:val="0"/>
                    <w:jc w:val="center"/>
                    <w:rPr>
                      <w:rFonts w:hint="default"/>
                      <w:color w:val="auto"/>
                      <w:highlight w:val="none"/>
                      <w:lang w:val="en-US" w:eastAsia="zh-CN"/>
                    </w:rPr>
                  </w:pPr>
                  <w:r>
                    <w:rPr>
                      <w:color w:val="auto"/>
                      <w:highlight w:val="none"/>
                    </w:rPr>
                    <w:t>11</w:t>
                  </w:r>
                </w:p>
              </w:tc>
              <w:tc>
                <w:tcPr>
                  <w:tcW w:w="209" w:type="pct"/>
                  <w:vMerge w:val="continue"/>
                  <w:shd w:val="clear" w:color="auto" w:fill="auto"/>
                  <w:vAlign w:val="center"/>
                </w:tcPr>
                <w:p w14:paraId="7BCD660B">
                  <w:pPr>
                    <w:pStyle w:val="20"/>
                    <w:bidi w:val="0"/>
                    <w:jc w:val="center"/>
                    <w:rPr>
                      <w:rFonts w:hint="eastAsia"/>
                      <w:color w:val="auto"/>
                      <w:highlight w:val="none"/>
                      <w:lang w:eastAsia="zh-CN"/>
                    </w:rPr>
                  </w:pPr>
                </w:p>
              </w:tc>
              <w:tc>
                <w:tcPr>
                  <w:tcW w:w="345" w:type="pct"/>
                  <w:shd w:val="clear" w:color="auto" w:fill="auto"/>
                  <w:vAlign w:val="center"/>
                </w:tcPr>
                <w:p w14:paraId="21CD9E66">
                  <w:pPr>
                    <w:pStyle w:val="20"/>
                    <w:bidi w:val="0"/>
                    <w:jc w:val="center"/>
                    <w:rPr>
                      <w:rFonts w:hint="default"/>
                      <w:color w:val="auto"/>
                      <w:highlight w:val="none"/>
                      <w:lang w:val="en-US" w:eastAsia="zh-CN"/>
                    </w:rPr>
                  </w:pPr>
                  <w:r>
                    <w:rPr>
                      <w:color w:val="auto"/>
                      <w:highlight w:val="none"/>
                    </w:rPr>
                    <w:t>注塑机8</w:t>
                  </w:r>
                </w:p>
              </w:tc>
              <w:tc>
                <w:tcPr>
                  <w:tcW w:w="248" w:type="pct"/>
                  <w:shd w:val="clear" w:color="auto" w:fill="auto"/>
                  <w:vAlign w:val="center"/>
                </w:tcPr>
                <w:p w14:paraId="11F18A31">
                  <w:pPr>
                    <w:pStyle w:val="20"/>
                    <w:bidi w:val="0"/>
                    <w:jc w:val="center"/>
                    <w:rPr>
                      <w:rFonts w:hint="default"/>
                      <w:color w:val="auto"/>
                      <w:highlight w:val="none"/>
                      <w:lang w:val="en-US" w:eastAsia="zh-CN"/>
                    </w:rPr>
                  </w:pPr>
                  <w:r>
                    <w:rPr>
                      <w:color w:val="auto"/>
                      <w:highlight w:val="none"/>
                    </w:rPr>
                    <w:t>70</w:t>
                  </w:r>
                </w:p>
              </w:tc>
              <w:tc>
                <w:tcPr>
                  <w:tcW w:w="195" w:type="pct"/>
                  <w:vMerge w:val="continue"/>
                  <w:shd w:val="clear" w:color="auto" w:fill="auto"/>
                  <w:vAlign w:val="center"/>
                </w:tcPr>
                <w:p w14:paraId="5C75E7F4">
                  <w:pPr>
                    <w:pStyle w:val="20"/>
                    <w:bidi w:val="0"/>
                    <w:jc w:val="center"/>
                    <w:rPr>
                      <w:rFonts w:hint="default"/>
                      <w:color w:val="auto"/>
                      <w:highlight w:val="none"/>
                    </w:rPr>
                  </w:pPr>
                </w:p>
              </w:tc>
              <w:tc>
                <w:tcPr>
                  <w:tcW w:w="220" w:type="pct"/>
                  <w:shd w:val="clear" w:color="auto" w:fill="auto"/>
                  <w:vAlign w:val="center"/>
                </w:tcPr>
                <w:p w14:paraId="6882D8FE">
                  <w:pPr>
                    <w:pStyle w:val="20"/>
                    <w:bidi w:val="0"/>
                    <w:jc w:val="center"/>
                    <w:rPr>
                      <w:rFonts w:hint="default"/>
                      <w:color w:val="auto"/>
                      <w:highlight w:val="none"/>
                      <w:lang w:val="en-US" w:eastAsia="zh-CN"/>
                    </w:rPr>
                  </w:pPr>
                  <w:r>
                    <w:rPr>
                      <w:color w:val="auto"/>
                      <w:highlight w:val="none"/>
                    </w:rPr>
                    <w:t>-4.6</w:t>
                  </w:r>
                </w:p>
              </w:tc>
              <w:tc>
                <w:tcPr>
                  <w:tcW w:w="238" w:type="pct"/>
                  <w:shd w:val="clear" w:color="auto" w:fill="auto"/>
                  <w:vAlign w:val="center"/>
                </w:tcPr>
                <w:p w14:paraId="700D6626">
                  <w:pPr>
                    <w:pStyle w:val="20"/>
                    <w:bidi w:val="0"/>
                    <w:jc w:val="center"/>
                    <w:rPr>
                      <w:rFonts w:hint="default"/>
                      <w:color w:val="auto"/>
                      <w:highlight w:val="none"/>
                      <w:lang w:val="en-US" w:eastAsia="zh-CN"/>
                    </w:rPr>
                  </w:pPr>
                  <w:r>
                    <w:rPr>
                      <w:color w:val="auto"/>
                      <w:highlight w:val="none"/>
                    </w:rPr>
                    <w:t>-45.4</w:t>
                  </w:r>
                </w:p>
              </w:tc>
              <w:tc>
                <w:tcPr>
                  <w:tcW w:w="190" w:type="pct"/>
                  <w:shd w:val="clear" w:color="auto" w:fill="auto"/>
                  <w:vAlign w:val="center"/>
                </w:tcPr>
                <w:p w14:paraId="5C4AC44C">
                  <w:pPr>
                    <w:pStyle w:val="20"/>
                    <w:bidi w:val="0"/>
                    <w:jc w:val="center"/>
                    <w:rPr>
                      <w:rFonts w:hint="default"/>
                      <w:color w:val="auto"/>
                      <w:highlight w:val="none"/>
                      <w:lang w:val="en-US" w:eastAsia="zh-CN"/>
                    </w:rPr>
                  </w:pPr>
                  <w:r>
                    <w:rPr>
                      <w:color w:val="auto"/>
                      <w:highlight w:val="none"/>
                    </w:rPr>
                    <w:t>1.2</w:t>
                  </w:r>
                </w:p>
              </w:tc>
              <w:tc>
                <w:tcPr>
                  <w:tcW w:w="197" w:type="pct"/>
                  <w:shd w:val="clear" w:color="auto" w:fill="auto"/>
                  <w:vAlign w:val="center"/>
                </w:tcPr>
                <w:p w14:paraId="5D54A5FB">
                  <w:pPr>
                    <w:pStyle w:val="20"/>
                    <w:bidi w:val="0"/>
                    <w:jc w:val="center"/>
                    <w:rPr>
                      <w:rFonts w:hint="default"/>
                      <w:color w:val="auto"/>
                      <w:highlight w:val="none"/>
                      <w:lang w:val="en-US" w:eastAsia="zh-CN"/>
                    </w:rPr>
                  </w:pPr>
                  <w:r>
                    <w:rPr>
                      <w:color w:val="auto"/>
                      <w:highlight w:val="none"/>
                    </w:rPr>
                    <w:t>28.2</w:t>
                  </w:r>
                </w:p>
              </w:tc>
              <w:tc>
                <w:tcPr>
                  <w:tcW w:w="194" w:type="pct"/>
                  <w:shd w:val="clear" w:color="auto" w:fill="auto"/>
                  <w:vAlign w:val="center"/>
                </w:tcPr>
                <w:p w14:paraId="41374F26">
                  <w:pPr>
                    <w:pStyle w:val="20"/>
                    <w:bidi w:val="0"/>
                    <w:jc w:val="center"/>
                    <w:rPr>
                      <w:rFonts w:hint="default"/>
                      <w:color w:val="auto"/>
                      <w:highlight w:val="none"/>
                      <w:lang w:val="en-US" w:eastAsia="zh-CN"/>
                    </w:rPr>
                  </w:pPr>
                  <w:r>
                    <w:rPr>
                      <w:color w:val="auto"/>
                      <w:highlight w:val="none"/>
                    </w:rPr>
                    <w:t>34.8</w:t>
                  </w:r>
                </w:p>
              </w:tc>
              <w:tc>
                <w:tcPr>
                  <w:tcW w:w="166" w:type="pct"/>
                  <w:shd w:val="clear" w:color="auto" w:fill="auto"/>
                  <w:vAlign w:val="center"/>
                </w:tcPr>
                <w:p w14:paraId="515DF81A">
                  <w:pPr>
                    <w:pStyle w:val="20"/>
                    <w:bidi w:val="0"/>
                    <w:jc w:val="center"/>
                    <w:rPr>
                      <w:rFonts w:hint="default"/>
                      <w:color w:val="auto"/>
                      <w:highlight w:val="none"/>
                      <w:lang w:val="en-US" w:eastAsia="zh-CN"/>
                    </w:rPr>
                  </w:pPr>
                  <w:r>
                    <w:rPr>
                      <w:color w:val="auto"/>
                      <w:highlight w:val="none"/>
                    </w:rPr>
                    <w:t>16.5</w:t>
                  </w:r>
                </w:p>
              </w:tc>
              <w:tc>
                <w:tcPr>
                  <w:tcW w:w="216" w:type="pct"/>
                  <w:shd w:val="clear" w:color="auto" w:fill="auto"/>
                  <w:vAlign w:val="center"/>
                </w:tcPr>
                <w:p w14:paraId="5AB53925">
                  <w:pPr>
                    <w:pStyle w:val="20"/>
                    <w:bidi w:val="0"/>
                    <w:jc w:val="center"/>
                    <w:rPr>
                      <w:rFonts w:hint="default"/>
                      <w:color w:val="auto"/>
                      <w:highlight w:val="none"/>
                      <w:lang w:val="en-US" w:eastAsia="zh-CN"/>
                    </w:rPr>
                  </w:pPr>
                  <w:r>
                    <w:rPr>
                      <w:color w:val="auto"/>
                      <w:highlight w:val="none"/>
                    </w:rPr>
                    <w:t>91.2</w:t>
                  </w:r>
                </w:p>
              </w:tc>
              <w:tc>
                <w:tcPr>
                  <w:tcW w:w="166" w:type="pct"/>
                  <w:shd w:val="clear" w:color="auto" w:fill="auto"/>
                  <w:vAlign w:val="center"/>
                </w:tcPr>
                <w:p w14:paraId="4675108F">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25E16FC7">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44E7E775">
                  <w:pPr>
                    <w:pStyle w:val="20"/>
                    <w:bidi w:val="0"/>
                    <w:jc w:val="center"/>
                    <w:rPr>
                      <w:rFonts w:hint="default"/>
                      <w:color w:val="auto"/>
                      <w:highlight w:val="none"/>
                      <w:lang w:val="en-US" w:eastAsia="zh-CN"/>
                    </w:rPr>
                  </w:pPr>
                  <w:r>
                    <w:rPr>
                      <w:color w:val="auto"/>
                      <w:highlight w:val="none"/>
                    </w:rPr>
                    <w:t>52.3</w:t>
                  </w:r>
                </w:p>
              </w:tc>
              <w:tc>
                <w:tcPr>
                  <w:tcW w:w="182" w:type="pct"/>
                  <w:shd w:val="clear" w:color="auto" w:fill="auto"/>
                  <w:vAlign w:val="center"/>
                </w:tcPr>
                <w:p w14:paraId="0C17E332">
                  <w:pPr>
                    <w:pStyle w:val="20"/>
                    <w:bidi w:val="0"/>
                    <w:jc w:val="center"/>
                    <w:rPr>
                      <w:rFonts w:hint="default"/>
                      <w:color w:val="auto"/>
                      <w:highlight w:val="none"/>
                      <w:lang w:val="en-US" w:eastAsia="zh-CN"/>
                    </w:rPr>
                  </w:pPr>
                  <w:r>
                    <w:rPr>
                      <w:color w:val="auto"/>
                      <w:highlight w:val="none"/>
                    </w:rPr>
                    <w:t>52.3</w:t>
                  </w:r>
                </w:p>
              </w:tc>
              <w:tc>
                <w:tcPr>
                  <w:tcW w:w="185" w:type="pct"/>
                  <w:shd w:val="clear" w:color="auto" w:fill="auto"/>
                  <w:vAlign w:val="center"/>
                </w:tcPr>
                <w:p w14:paraId="6B95156E">
                  <w:pPr>
                    <w:pStyle w:val="20"/>
                    <w:bidi w:val="0"/>
                    <w:jc w:val="center"/>
                    <w:rPr>
                      <w:rFonts w:hint="eastAsia"/>
                      <w:color w:val="auto"/>
                      <w:highlight w:val="none"/>
                      <w:lang w:val="en-US" w:eastAsia="zh-CN"/>
                    </w:rPr>
                  </w:pPr>
                  <w:r>
                    <w:rPr>
                      <w:rFonts w:hint="eastAsia"/>
                      <w:color w:val="auto"/>
                      <w:highlight w:val="none"/>
                      <w:lang w:eastAsia="zh-CN"/>
                    </w:rPr>
                    <w:t>昼夜</w:t>
                  </w:r>
                </w:p>
              </w:tc>
              <w:tc>
                <w:tcPr>
                  <w:tcW w:w="166" w:type="pct"/>
                  <w:shd w:val="clear" w:color="auto" w:fill="auto"/>
                  <w:vAlign w:val="center"/>
                </w:tcPr>
                <w:p w14:paraId="23B14CA2">
                  <w:pPr>
                    <w:pStyle w:val="20"/>
                    <w:bidi w:val="0"/>
                    <w:jc w:val="center"/>
                    <w:rPr>
                      <w:rFonts w:hint="default"/>
                      <w:color w:val="auto"/>
                      <w:highlight w:val="none"/>
                      <w:lang w:val="en-US" w:eastAsia="zh-CN"/>
                    </w:rPr>
                  </w:pPr>
                  <w:r>
                    <w:rPr>
                      <w:color w:val="auto"/>
                      <w:highlight w:val="none"/>
                    </w:rPr>
                    <w:t>16.0</w:t>
                  </w:r>
                </w:p>
              </w:tc>
              <w:tc>
                <w:tcPr>
                  <w:tcW w:w="166" w:type="pct"/>
                  <w:shd w:val="clear" w:color="auto" w:fill="auto"/>
                  <w:vAlign w:val="center"/>
                </w:tcPr>
                <w:p w14:paraId="36BB54AC">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1B51B5EF">
                  <w:pPr>
                    <w:pStyle w:val="20"/>
                    <w:bidi w:val="0"/>
                    <w:jc w:val="center"/>
                    <w:rPr>
                      <w:rFonts w:hint="default"/>
                      <w:color w:val="auto"/>
                      <w:highlight w:val="none"/>
                      <w:lang w:val="en-US" w:eastAsia="zh-CN"/>
                    </w:rPr>
                  </w:pPr>
                  <w:r>
                    <w:rPr>
                      <w:color w:val="auto"/>
                      <w:highlight w:val="none"/>
                    </w:rPr>
                    <w:t>26.0</w:t>
                  </w:r>
                </w:p>
              </w:tc>
              <w:tc>
                <w:tcPr>
                  <w:tcW w:w="182" w:type="pct"/>
                  <w:shd w:val="clear" w:color="auto" w:fill="auto"/>
                  <w:vAlign w:val="center"/>
                </w:tcPr>
                <w:p w14:paraId="78CCB156">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18D6DE4E">
                  <w:pPr>
                    <w:pStyle w:val="20"/>
                    <w:bidi w:val="0"/>
                    <w:jc w:val="center"/>
                    <w:rPr>
                      <w:rFonts w:hint="default"/>
                      <w:color w:val="auto"/>
                      <w:highlight w:val="none"/>
                      <w:lang w:val="en-US" w:eastAsia="zh-CN"/>
                    </w:rPr>
                  </w:pPr>
                  <w:r>
                    <w:rPr>
                      <w:color w:val="auto"/>
                      <w:highlight w:val="none"/>
                    </w:rPr>
                    <w:t>36.3</w:t>
                  </w:r>
                </w:p>
              </w:tc>
              <w:tc>
                <w:tcPr>
                  <w:tcW w:w="166" w:type="pct"/>
                  <w:shd w:val="clear" w:color="auto" w:fill="auto"/>
                  <w:vAlign w:val="center"/>
                </w:tcPr>
                <w:p w14:paraId="775320C6">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vAlign w:val="center"/>
                </w:tcPr>
                <w:p w14:paraId="4233B482">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vAlign w:val="center"/>
                </w:tcPr>
                <w:p w14:paraId="48C415D9">
                  <w:pPr>
                    <w:pStyle w:val="20"/>
                    <w:bidi w:val="0"/>
                    <w:jc w:val="center"/>
                    <w:rPr>
                      <w:rFonts w:hint="default"/>
                      <w:color w:val="auto"/>
                      <w:highlight w:val="none"/>
                      <w:lang w:val="en-US" w:eastAsia="zh-CN"/>
                    </w:rPr>
                  </w:pPr>
                  <w:r>
                    <w:rPr>
                      <w:color w:val="auto"/>
                      <w:highlight w:val="none"/>
                    </w:rPr>
                    <w:t>26.3</w:t>
                  </w:r>
                </w:p>
              </w:tc>
              <w:tc>
                <w:tcPr>
                  <w:tcW w:w="235" w:type="pct"/>
                  <w:shd w:val="clear" w:color="auto" w:fill="auto"/>
                  <w:vAlign w:val="center"/>
                </w:tcPr>
                <w:p w14:paraId="48A09DA0">
                  <w:pPr>
                    <w:pStyle w:val="20"/>
                    <w:bidi w:val="0"/>
                    <w:jc w:val="center"/>
                    <w:rPr>
                      <w:rFonts w:hint="default"/>
                      <w:color w:val="auto"/>
                      <w:highlight w:val="none"/>
                      <w:lang w:val="en-US" w:eastAsia="zh-CN"/>
                    </w:rPr>
                  </w:pPr>
                  <w:r>
                    <w:rPr>
                      <w:color w:val="auto"/>
                      <w:highlight w:val="none"/>
                    </w:rPr>
                    <w:t>1</w:t>
                  </w:r>
                </w:p>
              </w:tc>
            </w:tr>
            <w:tr w14:paraId="51CA0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24" w:type="pct"/>
                  <w:shd w:val="clear" w:color="auto" w:fill="auto"/>
                  <w:vAlign w:val="center"/>
                </w:tcPr>
                <w:p w14:paraId="07B9E876">
                  <w:pPr>
                    <w:pStyle w:val="20"/>
                    <w:bidi w:val="0"/>
                    <w:jc w:val="center"/>
                    <w:rPr>
                      <w:rFonts w:hint="default"/>
                      <w:color w:val="auto"/>
                      <w:highlight w:val="none"/>
                      <w:lang w:val="en-US" w:eastAsia="zh-CN"/>
                    </w:rPr>
                  </w:pPr>
                  <w:r>
                    <w:rPr>
                      <w:color w:val="auto"/>
                      <w:highlight w:val="none"/>
                    </w:rPr>
                    <w:t>12</w:t>
                  </w:r>
                </w:p>
              </w:tc>
              <w:tc>
                <w:tcPr>
                  <w:tcW w:w="209" w:type="pct"/>
                  <w:vMerge w:val="continue"/>
                  <w:shd w:val="clear" w:color="auto" w:fill="auto"/>
                  <w:vAlign w:val="center"/>
                </w:tcPr>
                <w:p w14:paraId="68952D5C">
                  <w:pPr>
                    <w:pStyle w:val="20"/>
                    <w:bidi w:val="0"/>
                    <w:jc w:val="center"/>
                    <w:rPr>
                      <w:rFonts w:hint="eastAsia"/>
                      <w:color w:val="auto"/>
                      <w:highlight w:val="none"/>
                      <w:lang w:eastAsia="zh-CN"/>
                    </w:rPr>
                  </w:pPr>
                </w:p>
              </w:tc>
              <w:tc>
                <w:tcPr>
                  <w:tcW w:w="345" w:type="pct"/>
                  <w:shd w:val="clear" w:color="auto" w:fill="auto"/>
                  <w:vAlign w:val="center"/>
                </w:tcPr>
                <w:p w14:paraId="6CC7BA05">
                  <w:pPr>
                    <w:pStyle w:val="20"/>
                    <w:bidi w:val="0"/>
                    <w:jc w:val="center"/>
                    <w:rPr>
                      <w:rFonts w:hint="default"/>
                      <w:color w:val="auto"/>
                      <w:highlight w:val="none"/>
                      <w:lang w:val="en-US" w:eastAsia="zh-CN"/>
                    </w:rPr>
                  </w:pPr>
                  <w:r>
                    <w:rPr>
                      <w:color w:val="auto"/>
                      <w:highlight w:val="none"/>
                    </w:rPr>
                    <w:t>注塑机9</w:t>
                  </w:r>
                </w:p>
              </w:tc>
              <w:tc>
                <w:tcPr>
                  <w:tcW w:w="248" w:type="pct"/>
                  <w:shd w:val="clear" w:color="auto" w:fill="auto"/>
                  <w:vAlign w:val="center"/>
                </w:tcPr>
                <w:p w14:paraId="26F51704">
                  <w:pPr>
                    <w:pStyle w:val="20"/>
                    <w:bidi w:val="0"/>
                    <w:jc w:val="center"/>
                    <w:rPr>
                      <w:rFonts w:hint="default"/>
                      <w:color w:val="auto"/>
                      <w:highlight w:val="none"/>
                      <w:lang w:val="en-US" w:eastAsia="zh-CN"/>
                    </w:rPr>
                  </w:pPr>
                  <w:r>
                    <w:rPr>
                      <w:color w:val="auto"/>
                      <w:highlight w:val="none"/>
                    </w:rPr>
                    <w:t>70</w:t>
                  </w:r>
                </w:p>
              </w:tc>
              <w:tc>
                <w:tcPr>
                  <w:tcW w:w="195" w:type="pct"/>
                  <w:vMerge w:val="continue"/>
                  <w:shd w:val="clear" w:color="auto" w:fill="auto"/>
                  <w:vAlign w:val="center"/>
                </w:tcPr>
                <w:p w14:paraId="61265EEF">
                  <w:pPr>
                    <w:pStyle w:val="20"/>
                    <w:bidi w:val="0"/>
                    <w:jc w:val="center"/>
                    <w:rPr>
                      <w:rFonts w:hint="default"/>
                      <w:color w:val="auto"/>
                      <w:highlight w:val="none"/>
                    </w:rPr>
                  </w:pPr>
                </w:p>
              </w:tc>
              <w:tc>
                <w:tcPr>
                  <w:tcW w:w="220" w:type="pct"/>
                  <w:shd w:val="clear" w:color="auto" w:fill="auto"/>
                  <w:vAlign w:val="center"/>
                </w:tcPr>
                <w:p w14:paraId="201C2FA5">
                  <w:pPr>
                    <w:pStyle w:val="20"/>
                    <w:bidi w:val="0"/>
                    <w:jc w:val="center"/>
                    <w:rPr>
                      <w:rFonts w:hint="default"/>
                      <w:color w:val="auto"/>
                      <w:highlight w:val="none"/>
                      <w:lang w:val="en-US" w:eastAsia="zh-CN"/>
                    </w:rPr>
                  </w:pPr>
                  <w:r>
                    <w:rPr>
                      <w:color w:val="auto"/>
                      <w:highlight w:val="none"/>
                    </w:rPr>
                    <w:t>-8.8</w:t>
                  </w:r>
                </w:p>
              </w:tc>
              <w:tc>
                <w:tcPr>
                  <w:tcW w:w="238" w:type="pct"/>
                  <w:shd w:val="clear" w:color="auto" w:fill="auto"/>
                  <w:vAlign w:val="center"/>
                </w:tcPr>
                <w:p w14:paraId="31F75CFF">
                  <w:pPr>
                    <w:pStyle w:val="20"/>
                    <w:bidi w:val="0"/>
                    <w:jc w:val="center"/>
                    <w:rPr>
                      <w:rFonts w:hint="default"/>
                      <w:color w:val="auto"/>
                      <w:highlight w:val="none"/>
                      <w:lang w:val="en-US" w:eastAsia="zh-CN"/>
                    </w:rPr>
                  </w:pPr>
                  <w:r>
                    <w:rPr>
                      <w:color w:val="auto"/>
                      <w:highlight w:val="none"/>
                    </w:rPr>
                    <w:t>-45.4</w:t>
                  </w:r>
                </w:p>
              </w:tc>
              <w:tc>
                <w:tcPr>
                  <w:tcW w:w="190" w:type="pct"/>
                  <w:shd w:val="clear" w:color="auto" w:fill="auto"/>
                  <w:vAlign w:val="center"/>
                </w:tcPr>
                <w:p w14:paraId="44A203FE">
                  <w:pPr>
                    <w:pStyle w:val="20"/>
                    <w:bidi w:val="0"/>
                    <w:jc w:val="center"/>
                    <w:rPr>
                      <w:rFonts w:hint="default"/>
                      <w:color w:val="auto"/>
                      <w:highlight w:val="none"/>
                      <w:lang w:val="en-US" w:eastAsia="zh-CN"/>
                    </w:rPr>
                  </w:pPr>
                  <w:r>
                    <w:rPr>
                      <w:color w:val="auto"/>
                      <w:highlight w:val="none"/>
                    </w:rPr>
                    <w:t>1.2</w:t>
                  </w:r>
                </w:p>
              </w:tc>
              <w:tc>
                <w:tcPr>
                  <w:tcW w:w="197" w:type="pct"/>
                  <w:shd w:val="clear" w:color="auto" w:fill="auto"/>
                  <w:vAlign w:val="center"/>
                </w:tcPr>
                <w:p w14:paraId="4E2159E7">
                  <w:pPr>
                    <w:pStyle w:val="20"/>
                    <w:bidi w:val="0"/>
                    <w:jc w:val="center"/>
                    <w:rPr>
                      <w:rFonts w:hint="default"/>
                      <w:color w:val="auto"/>
                      <w:highlight w:val="none"/>
                      <w:lang w:val="en-US" w:eastAsia="zh-CN"/>
                    </w:rPr>
                  </w:pPr>
                  <w:r>
                    <w:rPr>
                      <w:color w:val="auto"/>
                      <w:highlight w:val="none"/>
                    </w:rPr>
                    <w:t>30.3</w:t>
                  </w:r>
                </w:p>
              </w:tc>
              <w:tc>
                <w:tcPr>
                  <w:tcW w:w="194" w:type="pct"/>
                  <w:shd w:val="clear" w:color="auto" w:fill="auto"/>
                  <w:vAlign w:val="center"/>
                </w:tcPr>
                <w:p w14:paraId="5B344232">
                  <w:pPr>
                    <w:pStyle w:val="20"/>
                    <w:bidi w:val="0"/>
                    <w:jc w:val="center"/>
                    <w:rPr>
                      <w:rFonts w:hint="default"/>
                      <w:color w:val="auto"/>
                      <w:highlight w:val="none"/>
                      <w:lang w:val="en-US" w:eastAsia="zh-CN"/>
                    </w:rPr>
                  </w:pPr>
                  <w:r>
                    <w:rPr>
                      <w:color w:val="auto"/>
                      <w:highlight w:val="none"/>
                    </w:rPr>
                    <w:t>34.8</w:t>
                  </w:r>
                </w:p>
              </w:tc>
              <w:tc>
                <w:tcPr>
                  <w:tcW w:w="166" w:type="pct"/>
                  <w:shd w:val="clear" w:color="auto" w:fill="auto"/>
                  <w:vAlign w:val="center"/>
                </w:tcPr>
                <w:p w14:paraId="2D159E42">
                  <w:pPr>
                    <w:pStyle w:val="20"/>
                    <w:bidi w:val="0"/>
                    <w:jc w:val="center"/>
                    <w:rPr>
                      <w:rFonts w:hint="default"/>
                      <w:color w:val="auto"/>
                      <w:highlight w:val="none"/>
                      <w:lang w:val="en-US" w:eastAsia="zh-CN"/>
                    </w:rPr>
                  </w:pPr>
                  <w:r>
                    <w:rPr>
                      <w:color w:val="auto"/>
                      <w:highlight w:val="none"/>
                    </w:rPr>
                    <w:t>12.3</w:t>
                  </w:r>
                </w:p>
              </w:tc>
              <w:tc>
                <w:tcPr>
                  <w:tcW w:w="216" w:type="pct"/>
                  <w:shd w:val="clear" w:color="auto" w:fill="auto"/>
                  <w:vAlign w:val="center"/>
                </w:tcPr>
                <w:p w14:paraId="5361D916">
                  <w:pPr>
                    <w:pStyle w:val="20"/>
                    <w:bidi w:val="0"/>
                    <w:jc w:val="center"/>
                    <w:rPr>
                      <w:rFonts w:hint="default"/>
                      <w:color w:val="auto"/>
                      <w:highlight w:val="none"/>
                      <w:lang w:val="en-US" w:eastAsia="zh-CN"/>
                    </w:rPr>
                  </w:pPr>
                  <w:r>
                    <w:rPr>
                      <w:color w:val="auto"/>
                      <w:highlight w:val="none"/>
                    </w:rPr>
                    <w:t>91.2</w:t>
                  </w:r>
                </w:p>
              </w:tc>
              <w:tc>
                <w:tcPr>
                  <w:tcW w:w="166" w:type="pct"/>
                  <w:shd w:val="clear" w:color="auto" w:fill="auto"/>
                  <w:vAlign w:val="center"/>
                </w:tcPr>
                <w:p w14:paraId="531FB8B8">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45DC2CFA">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3340A8EE">
                  <w:pPr>
                    <w:pStyle w:val="20"/>
                    <w:bidi w:val="0"/>
                    <w:jc w:val="center"/>
                    <w:rPr>
                      <w:rFonts w:hint="default"/>
                      <w:color w:val="auto"/>
                      <w:highlight w:val="none"/>
                      <w:lang w:val="en-US" w:eastAsia="zh-CN"/>
                    </w:rPr>
                  </w:pPr>
                  <w:r>
                    <w:rPr>
                      <w:color w:val="auto"/>
                      <w:highlight w:val="none"/>
                    </w:rPr>
                    <w:t>52.4</w:t>
                  </w:r>
                </w:p>
              </w:tc>
              <w:tc>
                <w:tcPr>
                  <w:tcW w:w="182" w:type="pct"/>
                  <w:shd w:val="clear" w:color="auto" w:fill="auto"/>
                  <w:vAlign w:val="center"/>
                </w:tcPr>
                <w:p w14:paraId="6AF5B2A9">
                  <w:pPr>
                    <w:pStyle w:val="20"/>
                    <w:bidi w:val="0"/>
                    <w:jc w:val="center"/>
                    <w:rPr>
                      <w:rFonts w:hint="default"/>
                      <w:color w:val="auto"/>
                      <w:highlight w:val="none"/>
                      <w:lang w:val="en-US" w:eastAsia="zh-CN"/>
                    </w:rPr>
                  </w:pPr>
                  <w:r>
                    <w:rPr>
                      <w:color w:val="auto"/>
                      <w:highlight w:val="none"/>
                    </w:rPr>
                    <w:t>52.3</w:t>
                  </w:r>
                </w:p>
              </w:tc>
              <w:tc>
                <w:tcPr>
                  <w:tcW w:w="185" w:type="pct"/>
                  <w:shd w:val="clear" w:color="auto" w:fill="auto"/>
                  <w:vAlign w:val="center"/>
                </w:tcPr>
                <w:p w14:paraId="242331E7">
                  <w:pPr>
                    <w:pStyle w:val="20"/>
                    <w:bidi w:val="0"/>
                    <w:jc w:val="center"/>
                    <w:rPr>
                      <w:rFonts w:hint="eastAsia"/>
                      <w:color w:val="auto"/>
                      <w:highlight w:val="none"/>
                      <w:lang w:val="en-US" w:eastAsia="zh-CN"/>
                    </w:rPr>
                  </w:pPr>
                  <w:r>
                    <w:rPr>
                      <w:rFonts w:hint="eastAsia"/>
                      <w:color w:val="auto"/>
                      <w:highlight w:val="none"/>
                      <w:lang w:eastAsia="zh-CN"/>
                    </w:rPr>
                    <w:t>昼夜</w:t>
                  </w:r>
                </w:p>
              </w:tc>
              <w:tc>
                <w:tcPr>
                  <w:tcW w:w="166" w:type="pct"/>
                  <w:shd w:val="clear" w:color="auto" w:fill="auto"/>
                  <w:vAlign w:val="center"/>
                </w:tcPr>
                <w:p w14:paraId="4B1BB9D0">
                  <w:pPr>
                    <w:pStyle w:val="20"/>
                    <w:bidi w:val="0"/>
                    <w:jc w:val="center"/>
                    <w:rPr>
                      <w:rFonts w:hint="default"/>
                      <w:color w:val="auto"/>
                      <w:highlight w:val="none"/>
                      <w:lang w:val="en-US" w:eastAsia="zh-CN"/>
                    </w:rPr>
                  </w:pPr>
                  <w:r>
                    <w:rPr>
                      <w:color w:val="auto"/>
                      <w:highlight w:val="none"/>
                    </w:rPr>
                    <w:t>16.0</w:t>
                  </w:r>
                </w:p>
              </w:tc>
              <w:tc>
                <w:tcPr>
                  <w:tcW w:w="166" w:type="pct"/>
                  <w:shd w:val="clear" w:color="auto" w:fill="auto"/>
                  <w:vAlign w:val="center"/>
                </w:tcPr>
                <w:p w14:paraId="163C0A0E">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31C4D18E">
                  <w:pPr>
                    <w:pStyle w:val="20"/>
                    <w:bidi w:val="0"/>
                    <w:jc w:val="center"/>
                    <w:rPr>
                      <w:rFonts w:hint="default"/>
                      <w:color w:val="auto"/>
                      <w:highlight w:val="none"/>
                      <w:lang w:val="en-US" w:eastAsia="zh-CN"/>
                    </w:rPr>
                  </w:pPr>
                  <w:r>
                    <w:rPr>
                      <w:color w:val="auto"/>
                      <w:highlight w:val="none"/>
                    </w:rPr>
                    <w:t>26.0</w:t>
                  </w:r>
                </w:p>
              </w:tc>
              <w:tc>
                <w:tcPr>
                  <w:tcW w:w="182" w:type="pct"/>
                  <w:shd w:val="clear" w:color="auto" w:fill="auto"/>
                  <w:vAlign w:val="center"/>
                </w:tcPr>
                <w:p w14:paraId="7B67CA5E">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7109F647">
                  <w:pPr>
                    <w:pStyle w:val="20"/>
                    <w:bidi w:val="0"/>
                    <w:jc w:val="center"/>
                    <w:rPr>
                      <w:rFonts w:hint="default"/>
                      <w:color w:val="auto"/>
                      <w:highlight w:val="none"/>
                      <w:lang w:val="en-US" w:eastAsia="zh-CN"/>
                    </w:rPr>
                  </w:pPr>
                  <w:r>
                    <w:rPr>
                      <w:color w:val="auto"/>
                      <w:highlight w:val="none"/>
                    </w:rPr>
                    <w:t>36.3</w:t>
                  </w:r>
                </w:p>
              </w:tc>
              <w:tc>
                <w:tcPr>
                  <w:tcW w:w="166" w:type="pct"/>
                  <w:shd w:val="clear" w:color="auto" w:fill="auto"/>
                  <w:vAlign w:val="center"/>
                </w:tcPr>
                <w:p w14:paraId="6B62F8B8">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vAlign w:val="center"/>
                </w:tcPr>
                <w:p w14:paraId="2DB4C3BA">
                  <w:pPr>
                    <w:pStyle w:val="20"/>
                    <w:bidi w:val="0"/>
                    <w:jc w:val="center"/>
                    <w:rPr>
                      <w:rFonts w:hint="default"/>
                      <w:color w:val="auto"/>
                      <w:highlight w:val="none"/>
                      <w:lang w:val="en-US" w:eastAsia="zh-CN"/>
                    </w:rPr>
                  </w:pPr>
                  <w:r>
                    <w:rPr>
                      <w:color w:val="auto"/>
                      <w:highlight w:val="none"/>
                    </w:rPr>
                    <w:t>26.4</w:t>
                  </w:r>
                </w:p>
              </w:tc>
              <w:tc>
                <w:tcPr>
                  <w:tcW w:w="166" w:type="pct"/>
                  <w:shd w:val="clear" w:color="auto" w:fill="auto"/>
                  <w:vAlign w:val="center"/>
                </w:tcPr>
                <w:p w14:paraId="703FBF3A">
                  <w:pPr>
                    <w:pStyle w:val="20"/>
                    <w:bidi w:val="0"/>
                    <w:jc w:val="center"/>
                    <w:rPr>
                      <w:rFonts w:hint="default"/>
                      <w:color w:val="auto"/>
                      <w:highlight w:val="none"/>
                      <w:lang w:val="en-US" w:eastAsia="zh-CN"/>
                    </w:rPr>
                  </w:pPr>
                  <w:r>
                    <w:rPr>
                      <w:color w:val="auto"/>
                      <w:highlight w:val="none"/>
                    </w:rPr>
                    <w:t>26.3</w:t>
                  </w:r>
                </w:p>
              </w:tc>
              <w:tc>
                <w:tcPr>
                  <w:tcW w:w="235" w:type="pct"/>
                  <w:shd w:val="clear" w:color="auto" w:fill="auto"/>
                  <w:vAlign w:val="center"/>
                </w:tcPr>
                <w:p w14:paraId="11D71DD0">
                  <w:pPr>
                    <w:pStyle w:val="20"/>
                    <w:bidi w:val="0"/>
                    <w:jc w:val="center"/>
                    <w:rPr>
                      <w:rFonts w:hint="default"/>
                      <w:color w:val="auto"/>
                      <w:highlight w:val="none"/>
                      <w:lang w:val="en-US" w:eastAsia="zh-CN"/>
                    </w:rPr>
                  </w:pPr>
                  <w:r>
                    <w:rPr>
                      <w:color w:val="auto"/>
                      <w:highlight w:val="none"/>
                    </w:rPr>
                    <w:t>1</w:t>
                  </w:r>
                </w:p>
              </w:tc>
            </w:tr>
            <w:tr w14:paraId="37537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24" w:type="pct"/>
                  <w:shd w:val="clear" w:color="auto" w:fill="auto"/>
                  <w:vAlign w:val="center"/>
                </w:tcPr>
                <w:p w14:paraId="43185A70">
                  <w:pPr>
                    <w:pStyle w:val="20"/>
                    <w:bidi w:val="0"/>
                    <w:jc w:val="center"/>
                    <w:rPr>
                      <w:rFonts w:hint="default"/>
                      <w:color w:val="auto"/>
                      <w:highlight w:val="none"/>
                      <w:lang w:val="en-US" w:eastAsia="zh-CN"/>
                    </w:rPr>
                  </w:pPr>
                  <w:r>
                    <w:rPr>
                      <w:color w:val="auto"/>
                      <w:highlight w:val="none"/>
                    </w:rPr>
                    <w:t>13</w:t>
                  </w:r>
                </w:p>
              </w:tc>
              <w:tc>
                <w:tcPr>
                  <w:tcW w:w="209" w:type="pct"/>
                  <w:vMerge w:val="continue"/>
                  <w:shd w:val="clear" w:color="auto" w:fill="auto"/>
                  <w:vAlign w:val="center"/>
                </w:tcPr>
                <w:p w14:paraId="6E7CEF2F">
                  <w:pPr>
                    <w:pStyle w:val="20"/>
                    <w:bidi w:val="0"/>
                    <w:jc w:val="center"/>
                    <w:rPr>
                      <w:rFonts w:hint="eastAsia"/>
                      <w:color w:val="auto"/>
                      <w:highlight w:val="none"/>
                      <w:lang w:eastAsia="zh-CN"/>
                    </w:rPr>
                  </w:pPr>
                </w:p>
              </w:tc>
              <w:tc>
                <w:tcPr>
                  <w:tcW w:w="345" w:type="pct"/>
                  <w:shd w:val="clear" w:color="auto" w:fill="auto"/>
                  <w:vAlign w:val="center"/>
                </w:tcPr>
                <w:p w14:paraId="3ED2A0FC">
                  <w:pPr>
                    <w:pStyle w:val="20"/>
                    <w:bidi w:val="0"/>
                    <w:jc w:val="center"/>
                    <w:rPr>
                      <w:rFonts w:hint="default"/>
                      <w:color w:val="auto"/>
                      <w:highlight w:val="none"/>
                      <w:lang w:val="en-US" w:eastAsia="zh-CN"/>
                    </w:rPr>
                  </w:pPr>
                  <w:r>
                    <w:rPr>
                      <w:color w:val="auto"/>
                      <w:highlight w:val="none"/>
                    </w:rPr>
                    <w:t>注塑机10</w:t>
                  </w:r>
                </w:p>
              </w:tc>
              <w:tc>
                <w:tcPr>
                  <w:tcW w:w="248" w:type="pct"/>
                  <w:shd w:val="clear" w:color="auto" w:fill="auto"/>
                  <w:vAlign w:val="center"/>
                </w:tcPr>
                <w:p w14:paraId="79F9DD94">
                  <w:pPr>
                    <w:pStyle w:val="20"/>
                    <w:bidi w:val="0"/>
                    <w:jc w:val="center"/>
                    <w:rPr>
                      <w:rFonts w:hint="default"/>
                      <w:color w:val="auto"/>
                      <w:highlight w:val="none"/>
                      <w:lang w:val="en-US" w:eastAsia="zh-CN"/>
                    </w:rPr>
                  </w:pPr>
                  <w:r>
                    <w:rPr>
                      <w:color w:val="auto"/>
                      <w:highlight w:val="none"/>
                    </w:rPr>
                    <w:t>70</w:t>
                  </w:r>
                </w:p>
              </w:tc>
              <w:tc>
                <w:tcPr>
                  <w:tcW w:w="195" w:type="pct"/>
                  <w:vMerge w:val="continue"/>
                  <w:shd w:val="clear" w:color="auto" w:fill="auto"/>
                  <w:vAlign w:val="center"/>
                </w:tcPr>
                <w:p w14:paraId="33F8B443">
                  <w:pPr>
                    <w:pStyle w:val="20"/>
                    <w:bidi w:val="0"/>
                    <w:jc w:val="center"/>
                    <w:rPr>
                      <w:rFonts w:hint="default"/>
                      <w:color w:val="auto"/>
                      <w:highlight w:val="none"/>
                    </w:rPr>
                  </w:pPr>
                </w:p>
              </w:tc>
              <w:tc>
                <w:tcPr>
                  <w:tcW w:w="220" w:type="pct"/>
                  <w:shd w:val="clear" w:color="auto" w:fill="auto"/>
                  <w:vAlign w:val="center"/>
                </w:tcPr>
                <w:p w14:paraId="6C633D09">
                  <w:pPr>
                    <w:pStyle w:val="20"/>
                    <w:bidi w:val="0"/>
                    <w:jc w:val="center"/>
                    <w:rPr>
                      <w:rFonts w:hint="default"/>
                      <w:color w:val="auto"/>
                      <w:highlight w:val="none"/>
                      <w:lang w:val="en-US" w:eastAsia="zh-CN"/>
                    </w:rPr>
                  </w:pPr>
                  <w:r>
                    <w:rPr>
                      <w:color w:val="auto"/>
                      <w:highlight w:val="none"/>
                    </w:rPr>
                    <w:t>-13</w:t>
                  </w:r>
                </w:p>
              </w:tc>
              <w:tc>
                <w:tcPr>
                  <w:tcW w:w="238" w:type="pct"/>
                  <w:shd w:val="clear" w:color="auto" w:fill="auto"/>
                  <w:vAlign w:val="center"/>
                </w:tcPr>
                <w:p w14:paraId="1E2FD787">
                  <w:pPr>
                    <w:pStyle w:val="20"/>
                    <w:bidi w:val="0"/>
                    <w:jc w:val="center"/>
                    <w:rPr>
                      <w:rFonts w:hint="default"/>
                      <w:color w:val="auto"/>
                      <w:highlight w:val="none"/>
                      <w:lang w:val="en-US" w:eastAsia="zh-CN"/>
                    </w:rPr>
                  </w:pPr>
                  <w:r>
                    <w:rPr>
                      <w:color w:val="auto"/>
                      <w:highlight w:val="none"/>
                    </w:rPr>
                    <w:t>-45.4</w:t>
                  </w:r>
                </w:p>
              </w:tc>
              <w:tc>
                <w:tcPr>
                  <w:tcW w:w="190" w:type="pct"/>
                  <w:shd w:val="clear" w:color="auto" w:fill="auto"/>
                  <w:vAlign w:val="center"/>
                </w:tcPr>
                <w:p w14:paraId="1837DD8F">
                  <w:pPr>
                    <w:pStyle w:val="20"/>
                    <w:bidi w:val="0"/>
                    <w:jc w:val="center"/>
                    <w:rPr>
                      <w:rFonts w:hint="default"/>
                      <w:color w:val="auto"/>
                      <w:highlight w:val="none"/>
                      <w:lang w:val="en-US" w:eastAsia="zh-CN"/>
                    </w:rPr>
                  </w:pPr>
                  <w:r>
                    <w:rPr>
                      <w:color w:val="auto"/>
                      <w:highlight w:val="none"/>
                    </w:rPr>
                    <w:t>1.2</w:t>
                  </w:r>
                </w:p>
              </w:tc>
              <w:tc>
                <w:tcPr>
                  <w:tcW w:w="197" w:type="pct"/>
                  <w:shd w:val="clear" w:color="auto" w:fill="auto"/>
                  <w:vAlign w:val="center"/>
                </w:tcPr>
                <w:p w14:paraId="4DEA61D1">
                  <w:pPr>
                    <w:pStyle w:val="20"/>
                    <w:bidi w:val="0"/>
                    <w:jc w:val="center"/>
                    <w:rPr>
                      <w:rFonts w:hint="default"/>
                      <w:color w:val="auto"/>
                      <w:highlight w:val="none"/>
                      <w:lang w:val="en-US" w:eastAsia="zh-CN"/>
                    </w:rPr>
                  </w:pPr>
                  <w:r>
                    <w:rPr>
                      <w:color w:val="auto"/>
                      <w:highlight w:val="none"/>
                    </w:rPr>
                    <w:t>32.8</w:t>
                  </w:r>
                </w:p>
              </w:tc>
              <w:tc>
                <w:tcPr>
                  <w:tcW w:w="194" w:type="pct"/>
                  <w:shd w:val="clear" w:color="auto" w:fill="auto"/>
                  <w:vAlign w:val="center"/>
                </w:tcPr>
                <w:p w14:paraId="336F578A">
                  <w:pPr>
                    <w:pStyle w:val="20"/>
                    <w:bidi w:val="0"/>
                    <w:jc w:val="center"/>
                    <w:rPr>
                      <w:rFonts w:hint="default"/>
                      <w:color w:val="auto"/>
                      <w:highlight w:val="none"/>
                      <w:lang w:val="en-US" w:eastAsia="zh-CN"/>
                    </w:rPr>
                  </w:pPr>
                  <w:r>
                    <w:rPr>
                      <w:color w:val="auto"/>
                      <w:highlight w:val="none"/>
                    </w:rPr>
                    <w:t>34.8</w:t>
                  </w:r>
                </w:p>
              </w:tc>
              <w:tc>
                <w:tcPr>
                  <w:tcW w:w="166" w:type="pct"/>
                  <w:shd w:val="clear" w:color="auto" w:fill="auto"/>
                  <w:vAlign w:val="center"/>
                </w:tcPr>
                <w:p w14:paraId="61F7F683">
                  <w:pPr>
                    <w:pStyle w:val="20"/>
                    <w:bidi w:val="0"/>
                    <w:jc w:val="center"/>
                    <w:rPr>
                      <w:rFonts w:hint="default"/>
                      <w:color w:val="auto"/>
                      <w:highlight w:val="none"/>
                      <w:lang w:val="en-US" w:eastAsia="zh-CN"/>
                    </w:rPr>
                  </w:pPr>
                  <w:r>
                    <w:rPr>
                      <w:color w:val="auto"/>
                      <w:highlight w:val="none"/>
                    </w:rPr>
                    <w:t>8.1</w:t>
                  </w:r>
                </w:p>
              </w:tc>
              <w:tc>
                <w:tcPr>
                  <w:tcW w:w="216" w:type="pct"/>
                  <w:shd w:val="clear" w:color="auto" w:fill="auto"/>
                  <w:vAlign w:val="center"/>
                </w:tcPr>
                <w:p w14:paraId="0237950B">
                  <w:pPr>
                    <w:pStyle w:val="20"/>
                    <w:bidi w:val="0"/>
                    <w:jc w:val="center"/>
                    <w:rPr>
                      <w:rFonts w:hint="default"/>
                      <w:color w:val="auto"/>
                      <w:highlight w:val="none"/>
                      <w:lang w:val="en-US" w:eastAsia="zh-CN"/>
                    </w:rPr>
                  </w:pPr>
                  <w:r>
                    <w:rPr>
                      <w:color w:val="auto"/>
                      <w:highlight w:val="none"/>
                    </w:rPr>
                    <w:t>91.2</w:t>
                  </w:r>
                </w:p>
              </w:tc>
              <w:tc>
                <w:tcPr>
                  <w:tcW w:w="166" w:type="pct"/>
                  <w:shd w:val="clear" w:color="auto" w:fill="auto"/>
                  <w:vAlign w:val="center"/>
                </w:tcPr>
                <w:p w14:paraId="50CC6362">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663C35C0">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2E2C0443">
                  <w:pPr>
                    <w:pStyle w:val="20"/>
                    <w:bidi w:val="0"/>
                    <w:jc w:val="center"/>
                    <w:rPr>
                      <w:rFonts w:hint="default"/>
                      <w:color w:val="auto"/>
                      <w:highlight w:val="none"/>
                      <w:lang w:val="en-US" w:eastAsia="zh-CN"/>
                    </w:rPr>
                  </w:pPr>
                  <w:r>
                    <w:rPr>
                      <w:color w:val="auto"/>
                      <w:highlight w:val="none"/>
                    </w:rPr>
                    <w:t>52.6</w:t>
                  </w:r>
                </w:p>
              </w:tc>
              <w:tc>
                <w:tcPr>
                  <w:tcW w:w="182" w:type="pct"/>
                  <w:shd w:val="clear" w:color="auto" w:fill="auto"/>
                  <w:vAlign w:val="center"/>
                </w:tcPr>
                <w:p w14:paraId="527F4604">
                  <w:pPr>
                    <w:pStyle w:val="20"/>
                    <w:bidi w:val="0"/>
                    <w:jc w:val="center"/>
                    <w:rPr>
                      <w:rFonts w:hint="default"/>
                      <w:color w:val="auto"/>
                      <w:highlight w:val="none"/>
                      <w:lang w:val="en-US" w:eastAsia="zh-CN"/>
                    </w:rPr>
                  </w:pPr>
                  <w:r>
                    <w:rPr>
                      <w:color w:val="auto"/>
                      <w:highlight w:val="none"/>
                    </w:rPr>
                    <w:t>52.3</w:t>
                  </w:r>
                </w:p>
              </w:tc>
              <w:tc>
                <w:tcPr>
                  <w:tcW w:w="185" w:type="pct"/>
                  <w:shd w:val="clear" w:color="auto" w:fill="auto"/>
                  <w:vAlign w:val="center"/>
                </w:tcPr>
                <w:p w14:paraId="2C8E2019">
                  <w:pPr>
                    <w:pStyle w:val="20"/>
                    <w:bidi w:val="0"/>
                    <w:jc w:val="center"/>
                    <w:rPr>
                      <w:rFonts w:hint="eastAsia"/>
                      <w:color w:val="auto"/>
                      <w:highlight w:val="none"/>
                      <w:lang w:val="en-US" w:eastAsia="zh-CN"/>
                    </w:rPr>
                  </w:pPr>
                  <w:r>
                    <w:rPr>
                      <w:rFonts w:hint="eastAsia"/>
                      <w:color w:val="auto"/>
                      <w:highlight w:val="none"/>
                      <w:lang w:eastAsia="zh-CN"/>
                    </w:rPr>
                    <w:t>昼夜</w:t>
                  </w:r>
                </w:p>
              </w:tc>
              <w:tc>
                <w:tcPr>
                  <w:tcW w:w="166" w:type="pct"/>
                  <w:shd w:val="clear" w:color="auto" w:fill="auto"/>
                  <w:vAlign w:val="center"/>
                </w:tcPr>
                <w:p w14:paraId="097C165D">
                  <w:pPr>
                    <w:pStyle w:val="20"/>
                    <w:bidi w:val="0"/>
                    <w:jc w:val="center"/>
                    <w:rPr>
                      <w:rFonts w:hint="default"/>
                      <w:color w:val="auto"/>
                      <w:highlight w:val="none"/>
                      <w:lang w:val="en-US" w:eastAsia="zh-CN"/>
                    </w:rPr>
                  </w:pPr>
                  <w:r>
                    <w:rPr>
                      <w:color w:val="auto"/>
                      <w:highlight w:val="none"/>
                    </w:rPr>
                    <w:t>16.0</w:t>
                  </w:r>
                </w:p>
              </w:tc>
              <w:tc>
                <w:tcPr>
                  <w:tcW w:w="166" w:type="pct"/>
                  <w:shd w:val="clear" w:color="auto" w:fill="auto"/>
                  <w:vAlign w:val="center"/>
                </w:tcPr>
                <w:p w14:paraId="309EEFE6">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297C6C29">
                  <w:pPr>
                    <w:pStyle w:val="20"/>
                    <w:bidi w:val="0"/>
                    <w:jc w:val="center"/>
                    <w:rPr>
                      <w:rFonts w:hint="default"/>
                      <w:color w:val="auto"/>
                      <w:highlight w:val="none"/>
                      <w:lang w:val="en-US" w:eastAsia="zh-CN"/>
                    </w:rPr>
                  </w:pPr>
                  <w:r>
                    <w:rPr>
                      <w:color w:val="auto"/>
                      <w:highlight w:val="none"/>
                    </w:rPr>
                    <w:t>26.0</w:t>
                  </w:r>
                </w:p>
              </w:tc>
              <w:tc>
                <w:tcPr>
                  <w:tcW w:w="182" w:type="pct"/>
                  <w:shd w:val="clear" w:color="auto" w:fill="auto"/>
                  <w:vAlign w:val="center"/>
                </w:tcPr>
                <w:p w14:paraId="42527FD1">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72BEA3D1">
                  <w:pPr>
                    <w:pStyle w:val="20"/>
                    <w:bidi w:val="0"/>
                    <w:jc w:val="center"/>
                    <w:rPr>
                      <w:rFonts w:hint="default"/>
                      <w:color w:val="auto"/>
                      <w:highlight w:val="none"/>
                      <w:lang w:val="en-US" w:eastAsia="zh-CN"/>
                    </w:rPr>
                  </w:pPr>
                  <w:r>
                    <w:rPr>
                      <w:color w:val="auto"/>
                      <w:highlight w:val="none"/>
                    </w:rPr>
                    <w:t>36.3</w:t>
                  </w:r>
                </w:p>
              </w:tc>
              <w:tc>
                <w:tcPr>
                  <w:tcW w:w="166" w:type="pct"/>
                  <w:shd w:val="clear" w:color="auto" w:fill="auto"/>
                  <w:vAlign w:val="center"/>
                </w:tcPr>
                <w:p w14:paraId="7A28279A">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vAlign w:val="center"/>
                </w:tcPr>
                <w:p w14:paraId="7016A581">
                  <w:pPr>
                    <w:pStyle w:val="20"/>
                    <w:bidi w:val="0"/>
                    <w:jc w:val="center"/>
                    <w:rPr>
                      <w:rFonts w:hint="default"/>
                      <w:color w:val="auto"/>
                      <w:highlight w:val="none"/>
                      <w:lang w:val="en-US" w:eastAsia="zh-CN"/>
                    </w:rPr>
                  </w:pPr>
                  <w:r>
                    <w:rPr>
                      <w:color w:val="auto"/>
                      <w:highlight w:val="none"/>
                    </w:rPr>
                    <w:t>26.6</w:t>
                  </w:r>
                </w:p>
              </w:tc>
              <w:tc>
                <w:tcPr>
                  <w:tcW w:w="166" w:type="pct"/>
                  <w:shd w:val="clear" w:color="auto" w:fill="auto"/>
                  <w:vAlign w:val="center"/>
                </w:tcPr>
                <w:p w14:paraId="469D376F">
                  <w:pPr>
                    <w:pStyle w:val="20"/>
                    <w:bidi w:val="0"/>
                    <w:jc w:val="center"/>
                    <w:rPr>
                      <w:rFonts w:hint="default"/>
                      <w:color w:val="auto"/>
                      <w:highlight w:val="none"/>
                      <w:lang w:val="en-US" w:eastAsia="zh-CN"/>
                    </w:rPr>
                  </w:pPr>
                  <w:r>
                    <w:rPr>
                      <w:color w:val="auto"/>
                      <w:highlight w:val="none"/>
                    </w:rPr>
                    <w:t>26.3</w:t>
                  </w:r>
                </w:p>
              </w:tc>
              <w:tc>
                <w:tcPr>
                  <w:tcW w:w="235" w:type="pct"/>
                  <w:shd w:val="clear" w:color="auto" w:fill="auto"/>
                  <w:vAlign w:val="center"/>
                </w:tcPr>
                <w:p w14:paraId="0B2FA374">
                  <w:pPr>
                    <w:pStyle w:val="20"/>
                    <w:bidi w:val="0"/>
                    <w:jc w:val="center"/>
                    <w:rPr>
                      <w:rFonts w:hint="default"/>
                      <w:color w:val="auto"/>
                      <w:highlight w:val="none"/>
                      <w:lang w:val="en-US" w:eastAsia="zh-CN"/>
                    </w:rPr>
                  </w:pPr>
                  <w:r>
                    <w:rPr>
                      <w:color w:val="auto"/>
                      <w:highlight w:val="none"/>
                    </w:rPr>
                    <w:t>1</w:t>
                  </w:r>
                </w:p>
              </w:tc>
            </w:tr>
            <w:tr w14:paraId="54786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24" w:type="pct"/>
                  <w:shd w:val="clear" w:color="auto" w:fill="auto"/>
                  <w:vAlign w:val="center"/>
                </w:tcPr>
                <w:p w14:paraId="10C13FAD">
                  <w:pPr>
                    <w:pStyle w:val="20"/>
                    <w:bidi w:val="0"/>
                    <w:jc w:val="center"/>
                    <w:rPr>
                      <w:rFonts w:hint="default"/>
                      <w:color w:val="auto"/>
                      <w:highlight w:val="none"/>
                      <w:lang w:val="en-US" w:eastAsia="zh-CN"/>
                    </w:rPr>
                  </w:pPr>
                  <w:r>
                    <w:rPr>
                      <w:color w:val="auto"/>
                      <w:highlight w:val="none"/>
                    </w:rPr>
                    <w:t>14</w:t>
                  </w:r>
                </w:p>
              </w:tc>
              <w:tc>
                <w:tcPr>
                  <w:tcW w:w="209" w:type="pct"/>
                  <w:vMerge w:val="continue"/>
                  <w:shd w:val="clear" w:color="auto" w:fill="auto"/>
                  <w:vAlign w:val="center"/>
                </w:tcPr>
                <w:p w14:paraId="64AF5E6E">
                  <w:pPr>
                    <w:pStyle w:val="20"/>
                    <w:bidi w:val="0"/>
                    <w:jc w:val="center"/>
                    <w:rPr>
                      <w:rFonts w:hint="eastAsia"/>
                      <w:color w:val="auto"/>
                      <w:highlight w:val="none"/>
                      <w:lang w:eastAsia="zh-CN"/>
                    </w:rPr>
                  </w:pPr>
                </w:p>
              </w:tc>
              <w:tc>
                <w:tcPr>
                  <w:tcW w:w="345" w:type="pct"/>
                  <w:shd w:val="clear" w:color="auto" w:fill="auto"/>
                  <w:vAlign w:val="center"/>
                </w:tcPr>
                <w:p w14:paraId="0E778AFB">
                  <w:pPr>
                    <w:pStyle w:val="20"/>
                    <w:bidi w:val="0"/>
                    <w:jc w:val="center"/>
                    <w:rPr>
                      <w:rFonts w:hint="default"/>
                      <w:color w:val="auto"/>
                      <w:highlight w:val="none"/>
                      <w:lang w:val="en-US" w:eastAsia="zh-CN"/>
                    </w:rPr>
                  </w:pPr>
                  <w:r>
                    <w:rPr>
                      <w:color w:val="auto"/>
                      <w:highlight w:val="none"/>
                    </w:rPr>
                    <w:t>注塑机11</w:t>
                  </w:r>
                </w:p>
              </w:tc>
              <w:tc>
                <w:tcPr>
                  <w:tcW w:w="248" w:type="pct"/>
                  <w:shd w:val="clear" w:color="auto" w:fill="auto"/>
                  <w:vAlign w:val="center"/>
                </w:tcPr>
                <w:p w14:paraId="559E6670">
                  <w:pPr>
                    <w:pStyle w:val="20"/>
                    <w:bidi w:val="0"/>
                    <w:jc w:val="center"/>
                    <w:rPr>
                      <w:rFonts w:hint="default"/>
                      <w:color w:val="auto"/>
                      <w:highlight w:val="none"/>
                      <w:lang w:val="en-US" w:eastAsia="zh-CN"/>
                    </w:rPr>
                  </w:pPr>
                  <w:r>
                    <w:rPr>
                      <w:color w:val="auto"/>
                      <w:highlight w:val="none"/>
                    </w:rPr>
                    <w:t>70</w:t>
                  </w:r>
                </w:p>
              </w:tc>
              <w:tc>
                <w:tcPr>
                  <w:tcW w:w="195" w:type="pct"/>
                  <w:vMerge w:val="continue"/>
                  <w:shd w:val="clear" w:color="auto" w:fill="auto"/>
                  <w:vAlign w:val="center"/>
                </w:tcPr>
                <w:p w14:paraId="3AAE9398">
                  <w:pPr>
                    <w:pStyle w:val="20"/>
                    <w:bidi w:val="0"/>
                    <w:jc w:val="center"/>
                    <w:rPr>
                      <w:rFonts w:hint="default"/>
                      <w:color w:val="auto"/>
                      <w:highlight w:val="none"/>
                    </w:rPr>
                  </w:pPr>
                </w:p>
              </w:tc>
              <w:tc>
                <w:tcPr>
                  <w:tcW w:w="220" w:type="pct"/>
                  <w:shd w:val="clear" w:color="auto" w:fill="auto"/>
                  <w:vAlign w:val="center"/>
                </w:tcPr>
                <w:p w14:paraId="2933696F">
                  <w:pPr>
                    <w:pStyle w:val="20"/>
                    <w:bidi w:val="0"/>
                    <w:jc w:val="center"/>
                    <w:rPr>
                      <w:rFonts w:hint="default"/>
                      <w:color w:val="auto"/>
                      <w:highlight w:val="none"/>
                      <w:lang w:val="en-US" w:eastAsia="zh-CN"/>
                    </w:rPr>
                  </w:pPr>
                  <w:r>
                    <w:rPr>
                      <w:color w:val="auto"/>
                      <w:highlight w:val="none"/>
                    </w:rPr>
                    <w:t>4.2</w:t>
                  </w:r>
                </w:p>
              </w:tc>
              <w:tc>
                <w:tcPr>
                  <w:tcW w:w="238" w:type="pct"/>
                  <w:shd w:val="clear" w:color="auto" w:fill="auto"/>
                  <w:vAlign w:val="center"/>
                </w:tcPr>
                <w:p w14:paraId="6312CB30">
                  <w:pPr>
                    <w:pStyle w:val="20"/>
                    <w:bidi w:val="0"/>
                    <w:jc w:val="center"/>
                    <w:rPr>
                      <w:rFonts w:hint="default"/>
                      <w:color w:val="auto"/>
                      <w:highlight w:val="none"/>
                      <w:lang w:val="en-US" w:eastAsia="zh-CN"/>
                    </w:rPr>
                  </w:pPr>
                  <w:r>
                    <w:rPr>
                      <w:color w:val="auto"/>
                      <w:highlight w:val="none"/>
                    </w:rPr>
                    <w:t>-56.8</w:t>
                  </w:r>
                </w:p>
              </w:tc>
              <w:tc>
                <w:tcPr>
                  <w:tcW w:w="190" w:type="pct"/>
                  <w:shd w:val="clear" w:color="auto" w:fill="auto"/>
                  <w:vAlign w:val="center"/>
                </w:tcPr>
                <w:p w14:paraId="078CAB9F">
                  <w:pPr>
                    <w:pStyle w:val="20"/>
                    <w:bidi w:val="0"/>
                    <w:jc w:val="center"/>
                    <w:rPr>
                      <w:rFonts w:hint="default"/>
                      <w:color w:val="auto"/>
                      <w:highlight w:val="none"/>
                      <w:lang w:val="en-US" w:eastAsia="zh-CN"/>
                    </w:rPr>
                  </w:pPr>
                  <w:r>
                    <w:rPr>
                      <w:color w:val="auto"/>
                      <w:highlight w:val="none"/>
                    </w:rPr>
                    <w:t>1.2</w:t>
                  </w:r>
                </w:p>
              </w:tc>
              <w:tc>
                <w:tcPr>
                  <w:tcW w:w="197" w:type="pct"/>
                  <w:shd w:val="clear" w:color="auto" w:fill="auto"/>
                  <w:vAlign w:val="center"/>
                </w:tcPr>
                <w:p w14:paraId="7184E255">
                  <w:pPr>
                    <w:pStyle w:val="20"/>
                    <w:bidi w:val="0"/>
                    <w:jc w:val="center"/>
                    <w:rPr>
                      <w:rFonts w:hint="default"/>
                      <w:color w:val="auto"/>
                      <w:highlight w:val="none"/>
                      <w:lang w:val="en-US" w:eastAsia="zh-CN"/>
                    </w:rPr>
                  </w:pPr>
                  <w:r>
                    <w:rPr>
                      <w:color w:val="auto"/>
                      <w:highlight w:val="none"/>
                    </w:rPr>
                    <w:t>37.0</w:t>
                  </w:r>
                </w:p>
              </w:tc>
              <w:tc>
                <w:tcPr>
                  <w:tcW w:w="194" w:type="pct"/>
                  <w:shd w:val="clear" w:color="auto" w:fill="auto"/>
                  <w:vAlign w:val="center"/>
                </w:tcPr>
                <w:p w14:paraId="5825F156">
                  <w:pPr>
                    <w:pStyle w:val="20"/>
                    <w:bidi w:val="0"/>
                    <w:jc w:val="center"/>
                    <w:rPr>
                      <w:rFonts w:hint="default"/>
                      <w:color w:val="auto"/>
                      <w:highlight w:val="none"/>
                      <w:lang w:val="en-US" w:eastAsia="zh-CN"/>
                    </w:rPr>
                  </w:pPr>
                  <w:r>
                    <w:rPr>
                      <w:color w:val="auto"/>
                      <w:highlight w:val="none"/>
                    </w:rPr>
                    <w:t>23.4</w:t>
                  </w:r>
                </w:p>
              </w:tc>
              <w:tc>
                <w:tcPr>
                  <w:tcW w:w="166" w:type="pct"/>
                  <w:shd w:val="clear" w:color="auto" w:fill="auto"/>
                  <w:vAlign w:val="center"/>
                </w:tcPr>
                <w:p w14:paraId="05C4EE85">
                  <w:pPr>
                    <w:pStyle w:val="20"/>
                    <w:bidi w:val="0"/>
                    <w:jc w:val="center"/>
                    <w:rPr>
                      <w:rFonts w:hint="default"/>
                      <w:color w:val="auto"/>
                      <w:highlight w:val="none"/>
                      <w:lang w:val="en-US" w:eastAsia="zh-CN"/>
                    </w:rPr>
                  </w:pPr>
                  <w:r>
                    <w:rPr>
                      <w:color w:val="auto"/>
                      <w:highlight w:val="none"/>
                    </w:rPr>
                    <w:t>25.3</w:t>
                  </w:r>
                </w:p>
              </w:tc>
              <w:tc>
                <w:tcPr>
                  <w:tcW w:w="216" w:type="pct"/>
                  <w:shd w:val="clear" w:color="auto" w:fill="auto"/>
                  <w:vAlign w:val="center"/>
                </w:tcPr>
                <w:p w14:paraId="3626AF9F">
                  <w:pPr>
                    <w:pStyle w:val="20"/>
                    <w:bidi w:val="0"/>
                    <w:jc w:val="center"/>
                    <w:rPr>
                      <w:rFonts w:hint="default"/>
                      <w:color w:val="auto"/>
                      <w:highlight w:val="none"/>
                      <w:lang w:val="en-US" w:eastAsia="zh-CN"/>
                    </w:rPr>
                  </w:pPr>
                  <w:r>
                    <w:rPr>
                      <w:color w:val="auto"/>
                      <w:highlight w:val="none"/>
                    </w:rPr>
                    <w:t>102.6</w:t>
                  </w:r>
                </w:p>
              </w:tc>
              <w:tc>
                <w:tcPr>
                  <w:tcW w:w="166" w:type="pct"/>
                  <w:shd w:val="clear" w:color="auto" w:fill="auto"/>
                  <w:vAlign w:val="center"/>
                </w:tcPr>
                <w:p w14:paraId="2DEC82B1">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6B4CDB08">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5B4F8B45">
                  <w:pPr>
                    <w:pStyle w:val="20"/>
                    <w:bidi w:val="0"/>
                    <w:jc w:val="center"/>
                    <w:rPr>
                      <w:rFonts w:hint="default"/>
                      <w:color w:val="auto"/>
                      <w:highlight w:val="none"/>
                      <w:lang w:val="en-US" w:eastAsia="zh-CN"/>
                    </w:rPr>
                  </w:pPr>
                  <w:r>
                    <w:rPr>
                      <w:color w:val="auto"/>
                      <w:highlight w:val="none"/>
                    </w:rPr>
                    <w:t>52.3</w:t>
                  </w:r>
                </w:p>
              </w:tc>
              <w:tc>
                <w:tcPr>
                  <w:tcW w:w="182" w:type="pct"/>
                  <w:shd w:val="clear" w:color="auto" w:fill="auto"/>
                  <w:vAlign w:val="center"/>
                </w:tcPr>
                <w:p w14:paraId="5C26D1F8">
                  <w:pPr>
                    <w:pStyle w:val="20"/>
                    <w:bidi w:val="0"/>
                    <w:jc w:val="center"/>
                    <w:rPr>
                      <w:rFonts w:hint="default"/>
                      <w:color w:val="auto"/>
                      <w:highlight w:val="none"/>
                      <w:lang w:val="en-US" w:eastAsia="zh-CN"/>
                    </w:rPr>
                  </w:pPr>
                  <w:r>
                    <w:rPr>
                      <w:color w:val="auto"/>
                      <w:highlight w:val="none"/>
                    </w:rPr>
                    <w:t>52.3</w:t>
                  </w:r>
                </w:p>
              </w:tc>
              <w:tc>
                <w:tcPr>
                  <w:tcW w:w="185" w:type="pct"/>
                  <w:shd w:val="clear" w:color="auto" w:fill="auto"/>
                  <w:vAlign w:val="center"/>
                </w:tcPr>
                <w:p w14:paraId="5AF57537">
                  <w:pPr>
                    <w:pStyle w:val="20"/>
                    <w:bidi w:val="0"/>
                    <w:jc w:val="center"/>
                    <w:rPr>
                      <w:rFonts w:hint="eastAsia"/>
                      <w:color w:val="auto"/>
                      <w:highlight w:val="none"/>
                      <w:lang w:val="en-US" w:eastAsia="zh-CN"/>
                    </w:rPr>
                  </w:pPr>
                  <w:r>
                    <w:rPr>
                      <w:rFonts w:hint="eastAsia"/>
                      <w:color w:val="auto"/>
                      <w:highlight w:val="none"/>
                      <w:lang w:eastAsia="zh-CN"/>
                    </w:rPr>
                    <w:t>昼夜</w:t>
                  </w:r>
                </w:p>
              </w:tc>
              <w:tc>
                <w:tcPr>
                  <w:tcW w:w="166" w:type="pct"/>
                  <w:shd w:val="clear" w:color="auto" w:fill="auto"/>
                  <w:vAlign w:val="center"/>
                </w:tcPr>
                <w:p w14:paraId="5EB9BC4A">
                  <w:pPr>
                    <w:pStyle w:val="20"/>
                    <w:bidi w:val="0"/>
                    <w:jc w:val="center"/>
                    <w:rPr>
                      <w:rFonts w:hint="default"/>
                      <w:color w:val="auto"/>
                      <w:highlight w:val="none"/>
                      <w:lang w:val="en-US" w:eastAsia="zh-CN"/>
                    </w:rPr>
                  </w:pPr>
                  <w:r>
                    <w:rPr>
                      <w:color w:val="auto"/>
                      <w:highlight w:val="none"/>
                    </w:rPr>
                    <w:t>16.0</w:t>
                  </w:r>
                </w:p>
              </w:tc>
              <w:tc>
                <w:tcPr>
                  <w:tcW w:w="166" w:type="pct"/>
                  <w:shd w:val="clear" w:color="auto" w:fill="auto"/>
                  <w:vAlign w:val="center"/>
                </w:tcPr>
                <w:p w14:paraId="406D0EE7">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114AE083">
                  <w:pPr>
                    <w:pStyle w:val="20"/>
                    <w:bidi w:val="0"/>
                    <w:jc w:val="center"/>
                    <w:rPr>
                      <w:rFonts w:hint="default"/>
                      <w:color w:val="auto"/>
                      <w:highlight w:val="none"/>
                      <w:lang w:val="en-US" w:eastAsia="zh-CN"/>
                    </w:rPr>
                  </w:pPr>
                  <w:r>
                    <w:rPr>
                      <w:color w:val="auto"/>
                      <w:highlight w:val="none"/>
                    </w:rPr>
                    <w:t>26.0</w:t>
                  </w:r>
                </w:p>
              </w:tc>
              <w:tc>
                <w:tcPr>
                  <w:tcW w:w="182" w:type="pct"/>
                  <w:shd w:val="clear" w:color="auto" w:fill="auto"/>
                  <w:vAlign w:val="center"/>
                </w:tcPr>
                <w:p w14:paraId="49852644">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586420A6">
                  <w:pPr>
                    <w:pStyle w:val="20"/>
                    <w:bidi w:val="0"/>
                    <w:jc w:val="center"/>
                    <w:rPr>
                      <w:rFonts w:hint="default"/>
                      <w:color w:val="auto"/>
                      <w:highlight w:val="none"/>
                      <w:lang w:val="en-US" w:eastAsia="zh-CN"/>
                    </w:rPr>
                  </w:pPr>
                  <w:r>
                    <w:rPr>
                      <w:color w:val="auto"/>
                      <w:highlight w:val="none"/>
                    </w:rPr>
                    <w:t>36.3</w:t>
                  </w:r>
                </w:p>
              </w:tc>
              <w:tc>
                <w:tcPr>
                  <w:tcW w:w="166" w:type="pct"/>
                  <w:shd w:val="clear" w:color="auto" w:fill="auto"/>
                  <w:vAlign w:val="center"/>
                </w:tcPr>
                <w:p w14:paraId="6DB7CCB2">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vAlign w:val="center"/>
                </w:tcPr>
                <w:p w14:paraId="41B283A8">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vAlign w:val="center"/>
                </w:tcPr>
                <w:p w14:paraId="37358483">
                  <w:pPr>
                    <w:pStyle w:val="20"/>
                    <w:bidi w:val="0"/>
                    <w:jc w:val="center"/>
                    <w:rPr>
                      <w:rFonts w:hint="default"/>
                      <w:color w:val="auto"/>
                      <w:highlight w:val="none"/>
                      <w:lang w:val="en-US" w:eastAsia="zh-CN"/>
                    </w:rPr>
                  </w:pPr>
                  <w:r>
                    <w:rPr>
                      <w:color w:val="auto"/>
                      <w:highlight w:val="none"/>
                    </w:rPr>
                    <w:t>26.3</w:t>
                  </w:r>
                </w:p>
              </w:tc>
              <w:tc>
                <w:tcPr>
                  <w:tcW w:w="235" w:type="pct"/>
                  <w:shd w:val="clear" w:color="auto" w:fill="auto"/>
                  <w:vAlign w:val="center"/>
                </w:tcPr>
                <w:p w14:paraId="0B9F4F66">
                  <w:pPr>
                    <w:pStyle w:val="20"/>
                    <w:bidi w:val="0"/>
                    <w:jc w:val="center"/>
                    <w:rPr>
                      <w:rFonts w:hint="default"/>
                      <w:color w:val="auto"/>
                      <w:highlight w:val="none"/>
                      <w:lang w:val="en-US" w:eastAsia="zh-CN"/>
                    </w:rPr>
                  </w:pPr>
                  <w:r>
                    <w:rPr>
                      <w:color w:val="auto"/>
                      <w:highlight w:val="none"/>
                    </w:rPr>
                    <w:t>1</w:t>
                  </w:r>
                </w:p>
              </w:tc>
            </w:tr>
            <w:tr w14:paraId="2CF1E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24" w:type="pct"/>
                  <w:shd w:val="clear" w:color="auto" w:fill="auto"/>
                  <w:vAlign w:val="center"/>
                </w:tcPr>
                <w:p w14:paraId="6DF30552">
                  <w:pPr>
                    <w:pStyle w:val="20"/>
                    <w:bidi w:val="0"/>
                    <w:jc w:val="center"/>
                    <w:rPr>
                      <w:rFonts w:hint="default"/>
                      <w:color w:val="auto"/>
                      <w:highlight w:val="none"/>
                      <w:lang w:val="en-US" w:eastAsia="zh-CN"/>
                    </w:rPr>
                  </w:pPr>
                  <w:r>
                    <w:rPr>
                      <w:color w:val="auto"/>
                      <w:highlight w:val="none"/>
                    </w:rPr>
                    <w:t>15</w:t>
                  </w:r>
                </w:p>
              </w:tc>
              <w:tc>
                <w:tcPr>
                  <w:tcW w:w="209" w:type="pct"/>
                  <w:vMerge w:val="continue"/>
                  <w:shd w:val="clear" w:color="auto" w:fill="auto"/>
                  <w:vAlign w:val="center"/>
                </w:tcPr>
                <w:p w14:paraId="51A5CD70">
                  <w:pPr>
                    <w:pStyle w:val="20"/>
                    <w:bidi w:val="0"/>
                    <w:jc w:val="center"/>
                    <w:rPr>
                      <w:rFonts w:hint="eastAsia"/>
                      <w:color w:val="auto"/>
                      <w:highlight w:val="none"/>
                      <w:lang w:eastAsia="zh-CN"/>
                    </w:rPr>
                  </w:pPr>
                </w:p>
              </w:tc>
              <w:tc>
                <w:tcPr>
                  <w:tcW w:w="345" w:type="pct"/>
                  <w:shd w:val="clear" w:color="auto" w:fill="auto"/>
                  <w:vAlign w:val="center"/>
                </w:tcPr>
                <w:p w14:paraId="2B9095CA">
                  <w:pPr>
                    <w:pStyle w:val="20"/>
                    <w:bidi w:val="0"/>
                    <w:jc w:val="center"/>
                    <w:rPr>
                      <w:rFonts w:hint="default"/>
                      <w:color w:val="auto"/>
                      <w:highlight w:val="none"/>
                      <w:lang w:val="en-US" w:eastAsia="zh-CN"/>
                    </w:rPr>
                  </w:pPr>
                  <w:r>
                    <w:rPr>
                      <w:color w:val="auto"/>
                      <w:highlight w:val="none"/>
                    </w:rPr>
                    <w:t>注塑机12</w:t>
                  </w:r>
                </w:p>
              </w:tc>
              <w:tc>
                <w:tcPr>
                  <w:tcW w:w="248" w:type="pct"/>
                  <w:shd w:val="clear" w:color="auto" w:fill="auto"/>
                  <w:vAlign w:val="center"/>
                </w:tcPr>
                <w:p w14:paraId="71B1DF58">
                  <w:pPr>
                    <w:pStyle w:val="20"/>
                    <w:bidi w:val="0"/>
                    <w:jc w:val="center"/>
                    <w:rPr>
                      <w:rFonts w:hint="default"/>
                      <w:color w:val="auto"/>
                      <w:highlight w:val="none"/>
                      <w:lang w:val="en-US" w:eastAsia="zh-CN"/>
                    </w:rPr>
                  </w:pPr>
                  <w:r>
                    <w:rPr>
                      <w:color w:val="auto"/>
                      <w:highlight w:val="none"/>
                    </w:rPr>
                    <w:t>70</w:t>
                  </w:r>
                </w:p>
              </w:tc>
              <w:tc>
                <w:tcPr>
                  <w:tcW w:w="195" w:type="pct"/>
                  <w:vMerge w:val="continue"/>
                  <w:shd w:val="clear" w:color="auto" w:fill="auto"/>
                  <w:vAlign w:val="center"/>
                </w:tcPr>
                <w:p w14:paraId="235E9FE6">
                  <w:pPr>
                    <w:pStyle w:val="20"/>
                    <w:bidi w:val="0"/>
                    <w:jc w:val="center"/>
                    <w:rPr>
                      <w:rFonts w:hint="default"/>
                      <w:color w:val="auto"/>
                      <w:highlight w:val="none"/>
                    </w:rPr>
                  </w:pPr>
                </w:p>
              </w:tc>
              <w:tc>
                <w:tcPr>
                  <w:tcW w:w="220" w:type="pct"/>
                  <w:shd w:val="clear" w:color="auto" w:fill="auto"/>
                  <w:vAlign w:val="center"/>
                </w:tcPr>
                <w:p w14:paraId="383E7945">
                  <w:pPr>
                    <w:pStyle w:val="20"/>
                    <w:bidi w:val="0"/>
                    <w:jc w:val="center"/>
                    <w:rPr>
                      <w:rFonts w:hint="default"/>
                      <w:color w:val="auto"/>
                      <w:highlight w:val="none"/>
                      <w:lang w:val="en-US" w:eastAsia="zh-CN"/>
                    </w:rPr>
                  </w:pPr>
                  <w:r>
                    <w:rPr>
                      <w:color w:val="auto"/>
                      <w:highlight w:val="none"/>
                    </w:rPr>
                    <w:t>0.1</w:t>
                  </w:r>
                </w:p>
              </w:tc>
              <w:tc>
                <w:tcPr>
                  <w:tcW w:w="238" w:type="pct"/>
                  <w:shd w:val="clear" w:color="auto" w:fill="auto"/>
                  <w:vAlign w:val="center"/>
                </w:tcPr>
                <w:p w14:paraId="03B41326">
                  <w:pPr>
                    <w:pStyle w:val="20"/>
                    <w:bidi w:val="0"/>
                    <w:jc w:val="center"/>
                    <w:rPr>
                      <w:rFonts w:hint="default"/>
                      <w:color w:val="auto"/>
                      <w:highlight w:val="none"/>
                      <w:lang w:val="en-US" w:eastAsia="zh-CN"/>
                    </w:rPr>
                  </w:pPr>
                  <w:r>
                    <w:rPr>
                      <w:color w:val="auto"/>
                      <w:highlight w:val="none"/>
                    </w:rPr>
                    <w:t>-56.6</w:t>
                  </w:r>
                </w:p>
              </w:tc>
              <w:tc>
                <w:tcPr>
                  <w:tcW w:w="190" w:type="pct"/>
                  <w:shd w:val="clear" w:color="auto" w:fill="auto"/>
                  <w:vAlign w:val="center"/>
                </w:tcPr>
                <w:p w14:paraId="4C045A1F">
                  <w:pPr>
                    <w:pStyle w:val="20"/>
                    <w:bidi w:val="0"/>
                    <w:jc w:val="center"/>
                    <w:rPr>
                      <w:rFonts w:hint="default"/>
                      <w:color w:val="auto"/>
                      <w:highlight w:val="none"/>
                      <w:lang w:val="en-US" w:eastAsia="zh-CN"/>
                    </w:rPr>
                  </w:pPr>
                  <w:r>
                    <w:rPr>
                      <w:color w:val="auto"/>
                      <w:highlight w:val="none"/>
                    </w:rPr>
                    <w:t>1.2</w:t>
                  </w:r>
                </w:p>
              </w:tc>
              <w:tc>
                <w:tcPr>
                  <w:tcW w:w="197" w:type="pct"/>
                  <w:shd w:val="clear" w:color="auto" w:fill="auto"/>
                  <w:vAlign w:val="center"/>
                </w:tcPr>
                <w:p w14:paraId="15C3A4F2">
                  <w:pPr>
                    <w:pStyle w:val="20"/>
                    <w:bidi w:val="0"/>
                    <w:jc w:val="center"/>
                    <w:rPr>
                      <w:rFonts w:hint="default"/>
                      <w:color w:val="auto"/>
                      <w:highlight w:val="none"/>
                      <w:lang w:val="en-US" w:eastAsia="zh-CN"/>
                    </w:rPr>
                  </w:pPr>
                  <w:r>
                    <w:rPr>
                      <w:color w:val="auto"/>
                      <w:highlight w:val="none"/>
                    </w:rPr>
                    <w:t>37.4</w:t>
                  </w:r>
                </w:p>
              </w:tc>
              <w:tc>
                <w:tcPr>
                  <w:tcW w:w="194" w:type="pct"/>
                  <w:shd w:val="clear" w:color="auto" w:fill="auto"/>
                  <w:vAlign w:val="center"/>
                </w:tcPr>
                <w:p w14:paraId="2BF7CEBD">
                  <w:pPr>
                    <w:pStyle w:val="20"/>
                    <w:bidi w:val="0"/>
                    <w:jc w:val="center"/>
                    <w:rPr>
                      <w:rFonts w:hint="default"/>
                      <w:color w:val="auto"/>
                      <w:highlight w:val="none"/>
                      <w:lang w:val="en-US" w:eastAsia="zh-CN"/>
                    </w:rPr>
                  </w:pPr>
                  <w:r>
                    <w:rPr>
                      <w:color w:val="auto"/>
                      <w:highlight w:val="none"/>
                    </w:rPr>
                    <w:t>23.6</w:t>
                  </w:r>
                </w:p>
              </w:tc>
              <w:tc>
                <w:tcPr>
                  <w:tcW w:w="166" w:type="pct"/>
                  <w:shd w:val="clear" w:color="auto" w:fill="auto"/>
                  <w:vAlign w:val="center"/>
                </w:tcPr>
                <w:p w14:paraId="493D8D5C">
                  <w:pPr>
                    <w:pStyle w:val="20"/>
                    <w:bidi w:val="0"/>
                    <w:jc w:val="center"/>
                    <w:rPr>
                      <w:rFonts w:hint="default"/>
                      <w:color w:val="auto"/>
                      <w:highlight w:val="none"/>
                      <w:lang w:val="en-US" w:eastAsia="zh-CN"/>
                    </w:rPr>
                  </w:pPr>
                  <w:r>
                    <w:rPr>
                      <w:color w:val="auto"/>
                      <w:highlight w:val="none"/>
                    </w:rPr>
                    <w:t>21.2</w:t>
                  </w:r>
                </w:p>
              </w:tc>
              <w:tc>
                <w:tcPr>
                  <w:tcW w:w="216" w:type="pct"/>
                  <w:shd w:val="clear" w:color="auto" w:fill="auto"/>
                  <w:vAlign w:val="center"/>
                </w:tcPr>
                <w:p w14:paraId="3664F79A">
                  <w:pPr>
                    <w:pStyle w:val="20"/>
                    <w:bidi w:val="0"/>
                    <w:jc w:val="center"/>
                    <w:rPr>
                      <w:rFonts w:hint="default"/>
                      <w:color w:val="auto"/>
                      <w:highlight w:val="none"/>
                      <w:lang w:val="en-US" w:eastAsia="zh-CN"/>
                    </w:rPr>
                  </w:pPr>
                  <w:r>
                    <w:rPr>
                      <w:color w:val="auto"/>
                      <w:highlight w:val="none"/>
                    </w:rPr>
                    <w:t>102.4</w:t>
                  </w:r>
                </w:p>
              </w:tc>
              <w:tc>
                <w:tcPr>
                  <w:tcW w:w="166" w:type="pct"/>
                  <w:shd w:val="clear" w:color="auto" w:fill="auto"/>
                  <w:vAlign w:val="center"/>
                </w:tcPr>
                <w:p w14:paraId="786D0F64">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5FE8C527">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5D0C226C">
                  <w:pPr>
                    <w:pStyle w:val="20"/>
                    <w:bidi w:val="0"/>
                    <w:jc w:val="center"/>
                    <w:rPr>
                      <w:rFonts w:hint="default"/>
                      <w:color w:val="auto"/>
                      <w:highlight w:val="none"/>
                      <w:lang w:val="en-US" w:eastAsia="zh-CN"/>
                    </w:rPr>
                  </w:pPr>
                  <w:r>
                    <w:rPr>
                      <w:color w:val="auto"/>
                      <w:highlight w:val="none"/>
                    </w:rPr>
                    <w:t>52.3</w:t>
                  </w:r>
                </w:p>
              </w:tc>
              <w:tc>
                <w:tcPr>
                  <w:tcW w:w="182" w:type="pct"/>
                  <w:shd w:val="clear" w:color="auto" w:fill="auto"/>
                  <w:vAlign w:val="center"/>
                </w:tcPr>
                <w:p w14:paraId="46003AAC">
                  <w:pPr>
                    <w:pStyle w:val="20"/>
                    <w:bidi w:val="0"/>
                    <w:jc w:val="center"/>
                    <w:rPr>
                      <w:rFonts w:hint="default"/>
                      <w:color w:val="auto"/>
                      <w:highlight w:val="none"/>
                      <w:lang w:val="en-US" w:eastAsia="zh-CN"/>
                    </w:rPr>
                  </w:pPr>
                  <w:r>
                    <w:rPr>
                      <w:color w:val="auto"/>
                      <w:highlight w:val="none"/>
                    </w:rPr>
                    <w:t>52.3</w:t>
                  </w:r>
                </w:p>
              </w:tc>
              <w:tc>
                <w:tcPr>
                  <w:tcW w:w="185" w:type="pct"/>
                  <w:shd w:val="clear" w:color="auto" w:fill="auto"/>
                  <w:vAlign w:val="center"/>
                </w:tcPr>
                <w:p w14:paraId="04B8DC63">
                  <w:pPr>
                    <w:pStyle w:val="20"/>
                    <w:bidi w:val="0"/>
                    <w:jc w:val="center"/>
                    <w:rPr>
                      <w:rFonts w:hint="eastAsia"/>
                      <w:color w:val="auto"/>
                      <w:highlight w:val="none"/>
                      <w:lang w:val="en-US" w:eastAsia="zh-CN"/>
                    </w:rPr>
                  </w:pPr>
                  <w:r>
                    <w:rPr>
                      <w:rFonts w:hint="eastAsia"/>
                      <w:color w:val="auto"/>
                      <w:highlight w:val="none"/>
                      <w:lang w:eastAsia="zh-CN"/>
                    </w:rPr>
                    <w:t>昼夜</w:t>
                  </w:r>
                </w:p>
              </w:tc>
              <w:tc>
                <w:tcPr>
                  <w:tcW w:w="166" w:type="pct"/>
                  <w:shd w:val="clear" w:color="auto" w:fill="auto"/>
                  <w:vAlign w:val="center"/>
                </w:tcPr>
                <w:p w14:paraId="4074735A">
                  <w:pPr>
                    <w:pStyle w:val="20"/>
                    <w:bidi w:val="0"/>
                    <w:jc w:val="center"/>
                    <w:rPr>
                      <w:rFonts w:hint="default"/>
                      <w:color w:val="auto"/>
                      <w:highlight w:val="none"/>
                      <w:lang w:val="en-US" w:eastAsia="zh-CN"/>
                    </w:rPr>
                  </w:pPr>
                  <w:r>
                    <w:rPr>
                      <w:color w:val="auto"/>
                      <w:highlight w:val="none"/>
                    </w:rPr>
                    <w:t>16.0</w:t>
                  </w:r>
                </w:p>
              </w:tc>
              <w:tc>
                <w:tcPr>
                  <w:tcW w:w="166" w:type="pct"/>
                  <w:shd w:val="clear" w:color="auto" w:fill="auto"/>
                  <w:vAlign w:val="center"/>
                </w:tcPr>
                <w:p w14:paraId="5103A115">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0B27DB9B">
                  <w:pPr>
                    <w:pStyle w:val="20"/>
                    <w:bidi w:val="0"/>
                    <w:jc w:val="center"/>
                    <w:rPr>
                      <w:rFonts w:hint="default"/>
                      <w:color w:val="auto"/>
                      <w:highlight w:val="none"/>
                      <w:lang w:val="en-US" w:eastAsia="zh-CN"/>
                    </w:rPr>
                  </w:pPr>
                  <w:r>
                    <w:rPr>
                      <w:color w:val="auto"/>
                      <w:highlight w:val="none"/>
                    </w:rPr>
                    <w:t>26.0</w:t>
                  </w:r>
                </w:p>
              </w:tc>
              <w:tc>
                <w:tcPr>
                  <w:tcW w:w="182" w:type="pct"/>
                  <w:shd w:val="clear" w:color="auto" w:fill="auto"/>
                  <w:vAlign w:val="center"/>
                </w:tcPr>
                <w:p w14:paraId="37FD12C2">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56D14402">
                  <w:pPr>
                    <w:pStyle w:val="20"/>
                    <w:bidi w:val="0"/>
                    <w:jc w:val="center"/>
                    <w:rPr>
                      <w:rFonts w:hint="default"/>
                      <w:color w:val="auto"/>
                      <w:highlight w:val="none"/>
                      <w:lang w:val="en-US" w:eastAsia="zh-CN"/>
                    </w:rPr>
                  </w:pPr>
                  <w:r>
                    <w:rPr>
                      <w:color w:val="auto"/>
                      <w:highlight w:val="none"/>
                    </w:rPr>
                    <w:t>36.3</w:t>
                  </w:r>
                </w:p>
              </w:tc>
              <w:tc>
                <w:tcPr>
                  <w:tcW w:w="166" w:type="pct"/>
                  <w:shd w:val="clear" w:color="auto" w:fill="auto"/>
                  <w:vAlign w:val="center"/>
                </w:tcPr>
                <w:p w14:paraId="5ADD130F">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vAlign w:val="center"/>
                </w:tcPr>
                <w:p w14:paraId="666CBA5D">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vAlign w:val="center"/>
                </w:tcPr>
                <w:p w14:paraId="0E6214F2">
                  <w:pPr>
                    <w:pStyle w:val="20"/>
                    <w:bidi w:val="0"/>
                    <w:jc w:val="center"/>
                    <w:rPr>
                      <w:rFonts w:hint="default"/>
                      <w:color w:val="auto"/>
                      <w:highlight w:val="none"/>
                      <w:lang w:val="en-US" w:eastAsia="zh-CN"/>
                    </w:rPr>
                  </w:pPr>
                  <w:r>
                    <w:rPr>
                      <w:color w:val="auto"/>
                      <w:highlight w:val="none"/>
                    </w:rPr>
                    <w:t>26.3</w:t>
                  </w:r>
                </w:p>
              </w:tc>
              <w:tc>
                <w:tcPr>
                  <w:tcW w:w="235" w:type="pct"/>
                  <w:shd w:val="clear" w:color="auto" w:fill="auto"/>
                  <w:vAlign w:val="center"/>
                </w:tcPr>
                <w:p w14:paraId="0B777702">
                  <w:pPr>
                    <w:pStyle w:val="20"/>
                    <w:bidi w:val="0"/>
                    <w:jc w:val="center"/>
                    <w:rPr>
                      <w:rFonts w:hint="default"/>
                      <w:color w:val="auto"/>
                      <w:highlight w:val="none"/>
                      <w:lang w:val="en-US" w:eastAsia="zh-CN"/>
                    </w:rPr>
                  </w:pPr>
                  <w:r>
                    <w:rPr>
                      <w:color w:val="auto"/>
                      <w:highlight w:val="none"/>
                    </w:rPr>
                    <w:t>1</w:t>
                  </w:r>
                </w:p>
              </w:tc>
            </w:tr>
            <w:tr w14:paraId="7A60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24" w:type="pct"/>
                  <w:shd w:val="clear" w:color="auto" w:fill="auto"/>
                  <w:vAlign w:val="center"/>
                </w:tcPr>
                <w:p w14:paraId="7D80DA05">
                  <w:pPr>
                    <w:pStyle w:val="20"/>
                    <w:bidi w:val="0"/>
                    <w:jc w:val="center"/>
                    <w:rPr>
                      <w:rFonts w:hint="default"/>
                      <w:color w:val="auto"/>
                      <w:highlight w:val="none"/>
                      <w:lang w:val="en-US" w:eastAsia="zh-CN"/>
                    </w:rPr>
                  </w:pPr>
                  <w:r>
                    <w:rPr>
                      <w:color w:val="auto"/>
                      <w:highlight w:val="none"/>
                    </w:rPr>
                    <w:t>16</w:t>
                  </w:r>
                </w:p>
              </w:tc>
              <w:tc>
                <w:tcPr>
                  <w:tcW w:w="209" w:type="pct"/>
                  <w:vMerge w:val="continue"/>
                  <w:shd w:val="clear" w:color="auto" w:fill="auto"/>
                  <w:vAlign w:val="center"/>
                </w:tcPr>
                <w:p w14:paraId="0C3C017F">
                  <w:pPr>
                    <w:pStyle w:val="20"/>
                    <w:bidi w:val="0"/>
                    <w:jc w:val="center"/>
                    <w:rPr>
                      <w:rFonts w:hint="eastAsia"/>
                      <w:color w:val="auto"/>
                      <w:highlight w:val="none"/>
                      <w:lang w:eastAsia="zh-CN"/>
                    </w:rPr>
                  </w:pPr>
                </w:p>
              </w:tc>
              <w:tc>
                <w:tcPr>
                  <w:tcW w:w="345" w:type="pct"/>
                  <w:shd w:val="clear" w:color="auto" w:fill="auto"/>
                  <w:vAlign w:val="center"/>
                </w:tcPr>
                <w:p w14:paraId="25984E41">
                  <w:pPr>
                    <w:pStyle w:val="20"/>
                    <w:bidi w:val="0"/>
                    <w:jc w:val="center"/>
                    <w:rPr>
                      <w:rFonts w:hint="default"/>
                      <w:color w:val="auto"/>
                      <w:highlight w:val="none"/>
                      <w:lang w:val="en-US" w:eastAsia="zh-CN"/>
                    </w:rPr>
                  </w:pPr>
                  <w:r>
                    <w:rPr>
                      <w:color w:val="auto"/>
                      <w:highlight w:val="none"/>
                    </w:rPr>
                    <w:t>注塑机13</w:t>
                  </w:r>
                </w:p>
              </w:tc>
              <w:tc>
                <w:tcPr>
                  <w:tcW w:w="248" w:type="pct"/>
                  <w:shd w:val="clear" w:color="auto" w:fill="auto"/>
                  <w:vAlign w:val="center"/>
                </w:tcPr>
                <w:p w14:paraId="31B294A2">
                  <w:pPr>
                    <w:pStyle w:val="20"/>
                    <w:bidi w:val="0"/>
                    <w:jc w:val="center"/>
                    <w:rPr>
                      <w:rFonts w:hint="default"/>
                      <w:color w:val="auto"/>
                      <w:highlight w:val="none"/>
                      <w:lang w:val="en-US" w:eastAsia="zh-CN"/>
                    </w:rPr>
                  </w:pPr>
                  <w:r>
                    <w:rPr>
                      <w:color w:val="auto"/>
                      <w:highlight w:val="none"/>
                    </w:rPr>
                    <w:t>70</w:t>
                  </w:r>
                </w:p>
              </w:tc>
              <w:tc>
                <w:tcPr>
                  <w:tcW w:w="195" w:type="pct"/>
                  <w:vMerge w:val="continue"/>
                  <w:shd w:val="clear" w:color="auto" w:fill="auto"/>
                  <w:vAlign w:val="center"/>
                </w:tcPr>
                <w:p w14:paraId="714FE4D0">
                  <w:pPr>
                    <w:pStyle w:val="20"/>
                    <w:bidi w:val="0"/>
                    <w:jc w:val="center"/>
                    <w:rPr>
                      <w:rFonts w:hint="default"/>
                      <w:color w:val="auto"/>
                      <w:highlight w:val="none"/>
                    </w:rPr>
                  </w:pPr>
                </w:p>
              </w:tc>
              <w:tc>
                <w:tcPr>
                  <w:tcW w:w="220" w:type="pct"/>
                  <w:shd w:val="clear" w:color="auto" w:fill="auto"/>
                  <w:vAlign w:val="center"/>
                </w:tcPr>
                <w:p w14:paraId="23C54D95">
                  <w:pPr>
                    <w:pStyle w:val="20"/>
                    <w:bidi w:val="0"/>
                    <w:jc w:val="center"/>
                    <w:rPr>
                      <w:rFonts w:hint="default"/>
                      <w:color w:val="auto"/>
                      <w:highlight w:val="none"/>
                      <w:lang w:val="en-US" w:eastAsia="zh-CN"/>
                    </w:rPr>
                  </w:pPr>
                  <w:r>
                    <w:rPr>
                      <w:color w:val="auto"/>
                      <w:highlight w:val="none"/>
                    </w:rPr>
                    <w:t>-4.4</w:t>
                  </w:r>
                </w:p>
              </w:tc>
              <w:tc>
                <w:tcPr>
                  <w:tcW w:w="238" w:type="pct"/>
                  <w:shd w:val="clear" w:color="auto" w:fill="auto"/>
                  <w:vAlign w:val="center"/>
                </w:tcPr>
                <w:p w14:paraId="2692FC56">
                  <w:pPr>
                    <w:pStyle w:val="20"/>
                    <w:bidi w:val="0"/>
                    <w:jc w:val="center"/>
                    <w:rPr>
                      <w:rFonts w:hint="default"/>
                      <w:color w:val="auto"/>
                      <w:highlight w:val="none"/>
                      <w:lang w:val="en-US" w:eastAsia="zh-CN"/>
                    </w:rPr>
                  </w:pPr>
                  <w:r>
                    <w:rPr>
                      <w:color w:val="auto"/>
                      <w:highlight w:val="none"/>
                    </w:rPr>
                    <w:t>-56.8</w:t>
                  </w:r>
                </w:p>
              </w:tc>
              <w:tc>
                <w:tcPr>
                  <w:tcW w:w="190" w:type="pct"/>
                  <w:shd w:val="clear" w:color="auto" w:fill="auto"/>
                  <w:vAlign w:val="center"/>
                </w:tcPr>
                <w:p w14:paraId="5A9EA36C">
                  <w:pPr>
                    <w:pStyle w:val="20"/>
                    <w:bidi w:val="0"/>
                    <w:jc w:val="center"/>
                    <w:rPr>
                      <w:rFonts w:hint="default"/>
                      <w:color w:val="auto"/>
                      <w:highlight w:val="none"/>
                      <w:lang w:val="en-US" w:eastAsia="zh-CN"/>
                    </w:rPr>
                  </w:pPr>
                  <w:r>
                    <w:rPr>
                      <w:color w:val="auto"/>
                      <w:highlight w:val="none"/>
                    </w:rPr>
                    <w:t>1.2</w:t>
                  </w:r>
                </w:p>
              </w:tc>
              <w:tc>
                <w:tcPr>
                  <w:tcW w:w="197" w:type="pct"/>
                  <w:shd w:val="clear" w:color="auto" w:fill="auto"/>
                  <w:vAlign w:val="center"/>
                </w:tcPr>
                <w:p w14:paraId="34E56E92">
                  <w:pPr>
                    <w:pStyle w:val="20"/>
                    <w:bidi w:val="0"/>
                    <w:jc w:val="center"/>
                    <w:rPr>
                      <w:rFonts w:hint="default"/>
                      <w:color w:val="auto"/>
                      <w:highlight w:val="none"/>
                      <w:lang w:val="en-US" w:eastAsia="zh-CN"/>
                    </w:rPr>
                  </w:pPr>
                  <w:r>
                    <w:rPr>
                      <w:color w:val="auto"/>
                      <w:highlight w:val="none"/>
                    </w:rPr>
                    <w:t>38.7</w:t>
                  </w:r>
                </w:p>
              </w:tc>
              <w:tc>
                <w:tcPr>
                  <w:tcW w:w="194" w:type="pct"/>
                  <w:shd w:val="clear" w:color="auto" w:fill="auto"/>
                  <w:vAlign w:val="center"/>
                </w:tcPr>
                <w:p w14:paraId="27E4C0B1">
                  <w:pPr>
                    <w:pStyle w:val="20"/>
                    <w:bidi w:val="0"/>
                    <w:jc w:val="center"/>
                    <w:rPr>
                      <w:rFonts w:hint="default"/>
                      <w:color w:val="auto"/>
                      <w:highlight w:val="none"/>
                      <w:lang w:val="en-US" w:eastAsia="zh-CN"/>
                    </w:rPr>
                  </w:pPr>
                  <w:r>
                    <w:rPr>
                      <w:color w:val="auto"/>
                      <w:highlight w:val="none"/>
                    </w:rPr>
                    <w:t>23.4</w:t>
                  </w:r>
                </w:p>
              </w:tc>
              <w:tc>
                <w:tcPr>
                  <w:tcW w:w="166" w:type="pct"/>
                  <w:shd w:val="clear" w:color="auto" w:fill="auto"/>
                  <w:vAlign w:val="center"/>
                </w:tcPr>
                <w:p w14:paraId="78CC29CC">
                  <w:pPr>
                    <w:pStyle w:val="20"/>
                    <w:bidi w:val="0"/>
                    <w:jc w:val="center"/>
                    <w:rPr>
                      <w:rFonts w:hint="default"/>
                      <w:color w:val="auto"/>
                      <w:highlight w:val="none"/>
                      <w:lang w:val="en-US" w:eastAsia="zh-CN"/>
                    </w:rPr>
                  </w:pPr>
                  <w:r>
                    <w:rPr>
                      <w:color w:val="auto"/>
                      <w:highlight w:val="none"/>
                    </w:rPr>
                    <w:t>16.7</w:t>
                  </w:r>
                </w:p>
              </w:tc>
              <w:tc>
                <w:tcPr>
                  <w:tcW w:w="216" w:type="pct"/>
                  <w:shd w:val="clear" w:color="auto" w:fill="auto"/>
                  <w:vAlign w:val="center"/>
                </w:tcPr>
                <w:p w14:paraId="66EDCF8C">
                  <w:pPr>
                    <w:pStyle w:val="20"/>
                    <w:bidi w:val="0"/>
                    <w:jc w:val="center"/>
                    <w:rPr>
                      <w:rFonts w:hint="default"/>
                      <w:color w:val="auto"/>
                      <w:highlight w:val="none"/>
                      <w:lang w:val="en-US" w:eastAsia="zh-CN"/>
                    </w:rPr>
                  </w:pPr>
                  <w:r>
                    <w:rPr>
                      <w:color w:val="auto"/>
                      <w:highlight w:val="none"/>
                    </w:rPr>
                    <w:t>102.6</w:t>
                  </w:r>
                </w:p>
              </w:tc>
              <w:tc>
                <w:tcPr>
                  <w:tcW w:w="166" w:type="pct"/>
                  <w:shd w:val="clear" w:color="auto" w:fill="auto"/>
                  <w:vAlign w:val="center"/>
                </w:tcPr>
                <w:p w14:paraId="3ADEF2F3">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7AEA9491">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1298F13F">
                  <w:pPr>
                    <w:pStyle w:val="20"/>
                    <w:bidi w:val="0"/>
                    <w:jc w:val="center"/>
                    <w:rPr>
                      <w:rFonts w:hint="default"/>
                      <w:color w:val="auto"/>
                      <w:highlight w:val="none"/>
                      <w:lang w:val="en-US" w:eastAsia="zh-CN"/>
                    </w:rPr>
                  </w:pPr>
                  <w:r>
                    <w:rPr>
                      <w:color w:val="auto"/>
                      <w:highlight w:val="none"/>
                    </w:rPr>
                    <w:t>52.3</w:t>
                  </w:r>
                </w:p>
              </w:tc>
              <w:tc>
                <w:tcPr>
                  <w:tcW w:w="182" w:type="pct"/>
                  <w:shd w:val="clear" w:color="auto" w:fill="auto"/>
                  <w:vAlign w:val="center"/>
                </w:tcPr>
                <w:p w14:paraId="407E9988">
                  <w:pPr>
                    <w:pStyle w:val="20"/>
                    <w:bidi w:val="0"/>
                    <w:jc w:val="center"/>
                    <w:rPr>
                      <w:rFonts w:hint="default"/>
                      <w:color w:val="auto"/>
                      <w:highlight w:val="none"/>
                      <w:lang w:val="en-US" w:eastAsia="zh-CN"/>
                    </w:rPr>
                  </w:pPr>
                  <w:r>
                    <w:rPr>
                      <w:color w:val="auto"/>
                      <w:highlight w:val="none"/>
                    </w:rPr>
                    <w:t>52.3</w:t>
                  </w:r>
                </w:p>
              </w:tc>
              <w:tc>
                <w:tcPr>
                  <w:tcW w:w="185" w:type="pct"/>
                  <w:shd w:val="clear" w:color="auto" w:fill="auto"/>
                  <w:vAlign w:val="center"/>
                </w:tcPr>
                <w:p w14:paraId="6CC994BE">
                  <w:pPr>
                    <w:pStyle w:val="20"/>
                    <w:bidi w:val="0"/>
                    <w:jc w:val="center"/>
                    <w:rPr>
                      <w:rFonts w:hint="eastAsia"/>
                      <w:color w:val="auto"/>
                      <w:highlight w:val="none"/>
                      <w:lang w:val="en-US" w:eastAsia="zh-CN"/>
                    </w:rPr>
                  </w:pPr>
                  <w:r>
                    <w:rPr>
                      <w:rFonts w:hint="eastAsia"/>
                      <w:color w:val="auto"/>
                      <w:highlight w:val="none"/>
                      <w:lang w:eastAsia="zh-CN"/>
                    </w:rPr>
                    <w:t>昼夜</w:t>
                  </w:r>
                </w:p>
              </w:tc>
              <w:tc>
                <w:tcPr>
                  <w:tcW w:w="166" w:type="pct"/>
                  <w:shd w:val="clear" w:color="auto" w:fill="auto"/>
                  <w:vAlign w:val="center"/>
                </w:tcPr>
                <w:p w14:paraId="422C9629">
                  <w:pPr>
                    <w:pStyle w:val="20"/>
                    <w:bidi w:val="0"/>
                    <w:jc w:val="center"/>
                    <w:rPr>
                      <w:rFonts w:hint="default"/>
                      <w:color w:val="auto"/>
                      <w:highlight w:val="none"/>
                      <w:lang w:val="en-US" w:eastAsia="zh-CN"/>
                    </w:rPr>
                  </w:pPr>
                  <w:r>
                    <w:rPr>
                      <w:color w:val="auto"/>
                      <w:highlight w:val="none"/>
                    </w:rPr>
                    <w:t>16.0</w:t>
                  </w:r>
                </w:p>
              </w:tc>
              <w:tc>
                <w:tcPr>
                  <w:tcW w:w="166" w:type="pct"/>
                  <w:shd w:val="clear" w:color="auto" w:fill="auto"/>
                  <w:vAlign w:val="center"/>
                </w:tcPr>
                <w:p w14:paraId="7ACB3A97">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1CA0E213">
                  <w:pPr>
                    <w:pStyle w:val="20"/>
                    <w:bidi w:val="0"/>
                    <w:jc w:val="center"/>
                    <w:rPr>
                      <w:rFonts w:hint="default"/>
                      <w:color w:val="auto"/>
                      <w:highlight w:val="none"/>
                      <w:lang w:val="en-US" w:eastAsia="zh-CN"/>
                    </w:rPr>
                  </w:pPr>
                  <w:r>
                    <w:rPr>
                      <w:color w:val="auto"/>
                      <w:highlight w:val="none"/>
                    </w:rPr>
                    <w:t>26.0</w:t>
                  </w:r>
                </w:p>
              </w:tc>
              <w:tc>
                <w:tcPr>
                  <w:tcW w:w="182" w:type="pct"/>
                  <w:shd w:val="clear" w:color="auto" w:fill="auto"/>
                  <w:vAlign w:val="center"/>
                </w:tcPr>
                <w:p w14:paraId="33FCEA12">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6E463B77">
                  <w:pPr>
                    <w:pStyle w:val="20"/>
                    <w:bidi w:val="0"/>
                    <w:jc w:val="center"/>
                    <w:rPr>
                      <w:rFonts w:hint="default"/>
                      <w:color w:val="auto"/>
                      <w:highlight w:val="none"/>
                      <w:lang w:val="en-US" w:eastAsia="zh-CN"/>
                    </w:rPr>
                  </w:pPr>
                  <w:r>
                    <w:rPr>
                      <w:color w:val="auto"/>
                      <w:highlight w:val="none"/>
                    </w:rPr>
                    <w:t>36.3</w:t>
                  </w:r>
                </w:p>
              </w:tc>
              <w:tc>
                <w:tcPr>
                  <w:tcW w:w="166" w:type="pct"/>
                  <w:shd w:val="clear" w:color="auto" w:fill="auto"/>
                  <w:vAlign w:val="center"/>
                </w:tcPr>
                <w:p w14:paraId="6910EAE0">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vAlign w:val="center"/>
                </w:tcPr>
                <w:p w14:paraId="46AA3261">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vAlign w:val="center"/>
                </w:tcPr>
                <w:p w14:paraId="2CFC3C88">
                  <w:pPr>
                    <w:pStyle w:val="20"/>
                    <w:bidi w:val="0"/>
                    <w:jc w:val="center"/>
                    <w:rPr>
                      <w:rFonts w:hint="default"/>
                      <w:color w:val="auto"/>
                      <w:highlight w:val="none"/>
                      <w:lang w:val="en-US" w:eastAsia="zh-CN"/>
                    </w:rPr>
                  </w:pPr>
                  <w:r>
                    <w:rPr>
                      <w:color w:val="auto"/>
                      <w:highlight w:val="none"/>
                    </w:rPr>
                    <w:t>26.3</w:t>
                  </w:r>
                </w:p>
              </w:tc>
              <w:tc>
                <w:tcPr>
                  <w:tcW w:w="235" w:type="pct"/>
                  <w:shd w:val="clear" w:color="auto" w:fill="auto"/>
                  <w:vAlign w:val="center"/>
                </w:tcPr>
                <w:p w14:paraId="73A256CD">
                  <w:pPr>
                    <w:pStyle w:val="20"/>
                    <w:bidi w:val="0"/>
                    <w:jc w:val="center"/>
                    <w:rPr>
                      <w:rFonts w:hint="default"/>
                      <w:color w:val="auto"/>
                      <w:highlight w:val="none"/>
                      <w:lang w:val="en-US" w:eastAsia="zh-CN"/>
                    </w:rPr>
                  </w:pPr>
                  <w:r>
                    <w:rPr>
                      <w:color w:val="auto"/>
                      <w:highlight w:val="none"/>
                    </w:rPr>
                    <w:t>1</w:t>
                  </w:r>
                </w:p>
              </w:tc>
            </w:tr>
            <w:tr w14:paraId="3BF52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340" w:hRule="atLeast"/>
                <w:jc w:val="center"/>
              </w:trPr>
              <w:tc>
                <w:tcPr>
                  <w:tcW w:w="124" w:type="pct"/>
                  <w:shd w:val="clear" w:color="auto" w:fill="auto"/>
                  <w:vAlign w:val="center"/>
                </w:tcPr>
                <w:p w14:paraId="067CCE90">
                  <w:pPr>
                    <w:pStyle w:val="20"/>
                    <w:bidi w:val="0"/>
                    <w:jc w:val="center"/>
                    <w:rPr>
                      <w:rFonts w:hint="default"/>
                      <w:color w:val="auto"/>
                      <w:highlight w:val="none"/>
                      <w:lang w:val="en-US" w:eastAsia="zh-CN"/>
                    </w:rPr>
                  </w:pPr>
                  <w:r>
                    <w:rPr>
                      <w:color w:val="auto"/>
                      <w:highlight w:val="none"/>
                    </w:rPr>
                    <w:t>17</w:t>
                  </w:r>
                </w:p>
              </w:tc>
              <w:tc>
                <w:tcPr>
                  <w:tcW w:w="209" w:type="pct"/>
                  <w:vMerge w:val="continue"/>
                  <w:shd w:val="clear" w:color="auto" w:fill="auto"/>
                  <w:vAlign w:val="center"/>
                </w:tcPr>
                <w:p w14:paraId="6DF4E61F">
                  <w:pPr>
                    <w:pStyle w:val="20"/>
                    <w:bidi w:val="0"/>
                    <w:jc w:val="center"/>
                    <w:rPr>
                      <w:rFonts w:hint="eastAsia"/>
                      <w:color w:val="auto"/>
                      <w:highlight w:val="none"/>
                      <w:lang w:eastAsia="zh-CN"/>
                    </w:rPr>
                  </w:pPr>
                </w:p>
              </w:tc>
              <w:tc>
                <w:tcPr>
                  <w:tcW w:w="345" w:type="pct"/>
                  <w:shd w:val="clear" w:color="auto" w:fill="auto"/>
                  <w:vAlign w:val="center"/>
                </w:tcPr>
                <w:p w14:paraId="6DAE164D">
                  <w:pPr>
                    <w:pStyle w:val="20"/>
                    <w:bidi w:val="0"/>
                    <w:jc w:val="center"/>
                    <w:rPr>
                      <w:rFonts w:hint="default"/>
                      <w:color w:val="auto"/>
                      <w:highlight w:val="none"/>
                      <w:lang w:val="en-US" w:eastAsia="zh-CN"/>
                    </w:rPr>
                  </w:pPr>
                  <w:r>
                    <w:rPr>
                      <w:color w:val="auto"/>
                      <w:highlight w:val="none"/>
                    </w:rPr>
                    <w:t>注塑机14</w:t>
                  </w:r>
                </w:p>
              </w:tc>
              <w:tc>
                <w:tcPr>
                  <w:tcW w:w="248" w:type="pct"/>
                  <w:shd w:val="clear" w:color="auto" w:fill="auto"/>
                  <w:vAlign w:val="center"/>
                </w:tcPr>
                <w:p w14:paraId="6D498392">
                  <w:pPr>
                    <w:pStyle w:val="20"/>
                    <w:bidi w:val="0"/>
                    <w:jc w:val="center"/>
                    <w:rPr>
                      <w:rFonts w:hint="default"/>
                      <w:color w:val="auto"/>
                      <w:highlight w:val="none"/>
                      <w:lang w:val="en-US" w:eastAsia="zh-CN"/>
                    </w:rPr>
                  </w:pPr>
                  <w:r>
                    <w:rPr>
                      <w:color w:val="auto"/>
                      <w:highlight w:val="none"/>
                    </w:rPr>
                    <w:t>70</w:t>
                  </w:r>
                </w:p>
              </w:tc>
              <w:tc>
                <w:tcPr>
                  <w:tcW w:w="195" w:type="pct"/>
                  <w:vMerge w:val="continue"/>
                  <w:shd w:val="clear" w:color="auto" w:fill="auto"/>
                  <w:vAlign w:val="center"/>
                </w:tcPr>
                <w:p w14:paraId="2AA11652">
                  <w:pPr>
                    <w:pStyle w:val="20"/>
                    <w:bidi w:val="0"/>
                    <w:jc w:val="center"/>
                    <w:rPr>
                      <w:rFonts w:hint="default"/>
                      <w:color w:val="auto"/>
                      <w:highlight w:val="none"/>
                    </w:rPr>
                  </w:pPr>
                </w:p>
              </w:tc>
              <w:tc>
                <w:tcPr>
                  <w:tcW w:w="220" w:type="pct"/>
                  <w:shd w:val="clear" w:color="auto" w:fill="auto"/>
                  <w:vAlign w:val="center"/>
                </w:tcPr>
                <w:p w14:paraId="7CFA1354">
                  <w:pPr>
                    <w:pStyle w:val="20"/>
                    <w:bidi w:val="0"/>
                    <w:jc w:val="center"/>
                    <w:rPr>
                      <w:rFonts w:hint="default"/>
                      <w:color w:val="auto"/>
                      <w:highlight w:val="none"/>
                      <w:lang w:val="en-US" w:eastAsia="zh-CN"/>
                    </w:rPr>
                  </w:pPr>
                  <w:r>
                    <w:rPr>
                      <w:color w:val="auto"/>
                      <w:highlight w:val="none"/>
                    </w:rPr>
                    <w:t>-8.8</w:t>
                  </w:r>
                </w:p>
              </w:tc>
              <w:tc>
                <w:tcPr>
                  <w:tcW w:w="238" w:type="pct"/>
                  <w:shd w:val="clear" w:color="auto" w:fill="auto"/>
                  <w:vAlign w:val="center"/>
                </w:tcPr>
                <w:p w14:paraId="2EADF913">
                  <w:pPr>
                    <w:pStyle w:val="20"/>
                    <w:bidi w:val="0"/>
                    <w:jc w:val="center"/>
                    <w:rPr>
                      <w:rFonts w:hint="default"/>
                      <w:color w:val="auto"/>
                      <w:highlight w:val="none"/>
                      <w:lang w:val="en-US" w:eastAsia="zh-CN"/>
                    </w:rPr>
                  </w:pPr>
                  <w:r>
                    <w:rPr>
                      <w:color w:val="auto"/>
                      <w:highlight w:val="none"/>
                    </w:rPr>
                    <w:t>-57.1</w:t>
                  </w:r>
                </w:p>
              </w:tc>
              <w:tc>
                <w:tcPr>
                  <w:tcW w:w="190" w:type="pct"/>
                  <w:shd w:val="clear" w:color="auto" w:fill="auto"/>
                  <w:vAlign w:val="center"/>
                </w:tcPr>
                <w:p w14:paraId="26A00AD4">
                  <w:pPr>
                    <w:pStyle w:val="20"/>
                    <w:bidi w:val="0"/>
                    <w:jc w:val="center"/>
                    <w:rPr>
                      <w:rFonts w:hint="default"/>
                      <w:color w:val="auto"/>
                      <w:highlight w:val="none"/>
                      <w:lang w:val="en-US" w:eastAsia="zh-CN"/>
                    </w:rPr>
                  </w:pPr>
                  <w:r>
                    <w:rPr>
                      <w:color w:val="auto"/>
                      <w:highlight w:val="none"/>
                    </w:rPr>
                    <w:t>1.2</w:t>
                  </w:r>
                </w:p>
              </w:tc>
              <w:tc>
                <w:tcPr>
                  <w:tcW w:w="197" w:type="pct"/>
                  <w:shd w:val="clear" w:color="auto" w:fill="auto"/>
                  <w:vAlign w:val="center"/>
                </w:tcPr>
                <w:p w14:paraId="4080D52B">
                  <w:pPr>
                    <w:pStyle w:val="20"/>
                    <w:bidi w:val="0"/>
                    <w:jc w:val="center"/>
                    <w:rPr>
                      <w:rFonts w:hint="default"/>
                      <w:color w:val="auto"/>
                      <w:highlight w:val="none"/>
                      <w:lang w:val="en-US" w:eastAsia="zh-CN"/>
                    </w:rPr>
                  </w:pPr>
                  <w:r>
                    <w:rPr>
                      <w:color w:val="auto"/>
                      <w:highlight w:val="none"/>
                    </w:rPr>
                    <w:t>40.6</w:t>
                  </w:r>
                </w:p>
              </w:tc>
              <w:tc>
                <w:tcPr>
                  <w:tcW w:w="194" w:type="pct"/>
                  <w:shd w:val="clear" w:color="auto" w:fill="auto"/>
                  <w:vAlign w:val="center"/>
                </w:tcPr>
                <w:p w14:paraId="60BE09CA">
                  <w:pPr>
                    <w:pStyle w:val="20"/>
                    <w:bidi w:val="0"/>
                    <w:jc w:val="center"/>
                    <w:rPr>
                      <w:rFonts w:hint="default"/>
                      <w:color w:val="auto"/>
                      <w:highlight w:val="none"/>
                      <w:lang w:val="en-US" w:eastAsia="zh-CN"/>
                    </w:rPr>
                  </w:pPr>
                  <w:r>
                    <w:rPr>
                      <w:color w:val="auto"/>
                      <w:highlight w:val="none"/>
                    </w:rPr>
                    <w:t>23.1</w:t>
                  </w:r>
                </w:p>
              </w:tc>
              <w:tc>
                <w:tcPr>
                  <w:tcW w:w="166" w:type="pct"/>
                  <w:shd w:val="clear" w:color="auto" w:fill="auto"/>
                  <w:vAlign w:val="center"/>
                </w:tcPr>
                <w:p w14:paraId="4850B2BC">
                  <w:pPr>
                    <w:pStyle w:val="20"/>
                    <w:bidi w:val="0"/>
                    <w:jc w:val="center"/>
                    <w:rPr>
                      <w:rFonts w:hint="default"/>
                      <w:color w:val="auto"/>
                      <w:highlight w:val="none"/>
                      <w:lang w:val="en-US" w:eastAsia="zh-CN"/>
                    </w:rPr>
                  </w:pPr>
                  <w:r>
                    <w:rPr>
                      <w:color w:val="auto"/>
                      <w:highlight w:val="none"/>
                    </w:rPr>
                    <w:t>12.3</w:t>
                  </w:r>
                </w:p>
              </w:tc>
              <w:tc>
                <w:tcPr>
                  <w:tcW w:w="216" w:type="pct"/>
                  <w:shd w:val="clear" w:color="auto" w:fill="auto"/>
                  <w:vAlign w:val="center"/>
                </w:tcPr>
                <w:p w14:paraId="15383563">
                  <w:pPr>
                    <w:pStyle w:val="20"/>
                    <w:bidi w:val="0"/>
                    <w:jc w:val="center"/>
                    <w:rPr>
                      <w:rFonts w:hint="default"/>
                      <w:color w:val="auto"/>
                      <w:highlight w:val="none"/>
                      <w:lang w:val="en-US" w:eastAsia="zh-CN"/>
                    </w:rPr>
                  </w:pPr>
                  <w:r>
                    <w:rPr>
                      <w:color w:val="auto"/>
                      <w:highlight w:val="none"/>
                    </w:rPr>
                    <w:t>102.9</w:t>
                  </w:r>
                </w:p>
              </w:tc>
              <w:tc>
                <w:tcPr>
                  <w:tcW w:w="166" w:type="pct"/>
                  <w:shd w:val="clear" w:color="auto" w:fill="auto"/>
                  <w:vAlign w:val="center"/>
                </w:tcPr>
                <w:p w14:paraId="07FE4715">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40F88BA8">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6D4684BA">
                  <w:pPr>
                    <w:pStyle w:val="20"/>
                    <w:bidi w:val="0"/>
                    <w:jc w:val="center"/>
                    <w:rPr>
                      <w:rFonts w:hint="default"/>
                      <w:color w:val="auto"/>
                      <w:highlight w:val="none"/>
                      <w:lang w:val="en-US" w:eastAsia="zh-CN"/>
                    </w:rPr>
                  </w:pPr>
                  <w:r>
                    <w:rPr>
                      <w:color w:val="auto"/>
                      <w:highlight w:val="none"/>
                    </w:rPr>
                    <w:t>52.4</w:t>
                  </w:r>
                </w:p>
              </w:tc>
              <w:tc>
                <w:tcPr>
                  <w:tcW w:w="182" w:type="pct"/>
                  <w:shd w:val="clear" w:color="auto" w:fill="auto"/>
                  <w:vAlign w:val="center"/>
                </w:tcPr>
                <w:p w14:paraId="742C3EDD">
                  <w:pPr>
                    <w:pStyle w:val="20"/>
                    <w:bidi w:val="0"/>
                    <w:jc w:val="center"/>
                    <w:rPr>
                      <w:rFonts w:hint="default"/>
                      <w:color w:val="auto"/>
                      <w:highlight w:val="none"/>
                      <w:lang w:val="en-US" w:eastAsia="zh-CN"/>
                    </w:rPr>
                  </w:pPr>
                  <w:r>
                    <w:rPr>
                      <w:color w:val="auto"/>
                      <w:highlight w:val="none"/>
                    </w:rPr>
                    <w:t>52.3</w:t>
                  </w:r>
                </w:p>
              </w:tc>
              <w:tc>
                <w:tcPr>
                  <w:tcW w:w="185" w:type="pct"/>
                  <w:shd w:val="clear" w:color="auto" w:fill="auto"/>
                  <w:vAlign w:val="center"/>
                </w:tcPr>
                <w:p w14:paraId="3313F913">
                  <w:pPr>
                    <w:pStyle w:val="20"/>
                    <w:bidi w:val="0"/>
                    <w:jc w:val="center"/>
                    <w:rPr>
                      <w:rFonts w:hint="eastAsia"/>
                      <w:color w:val="auto"/>
                      <w:highlight w:val="none"/>
                      <w:lang w:val="en-US" w:eastAsia="zh-CN"/>
                    </w:rPr>
                  </w:pPr>
                  <w:r>
                    <w:rPr>
                      <w:rFonts w:hint="eastAsia"/>
                      <w:color w:val="auto"/>
                      <w:highlight w:val="none"/>
                      <w:lang w:eastAsia="zh-CN"/>
                    </w:rPr>
                    <w:t>昼夜</w:t>
                  </w:r>
                </w:p>
              </w:tc>
              <w:tc>
                <w:tcPr>
                  <w:tcW w:w="166" w:type="pct"/>
                  <w:shd w:val="clear" w:color="auto" w:fill="auto"/>
                  <w:vAlign w:val="center"/>
                </w:tcPr>
                <w:p w14:paraId="5BD88E25">
                  <w:pPr>
                    <w:pStyle w:val="20"/>
                    <w:bidi w:val="0"/>
                    <w:jc w:val="center"/>
                    <w:rPr>
                      <w:rFonts w:hint="default"/>
                      <w:color w:val="auto"/>
                      <w:highlight w:val="none"/>
                      <w:lang w:val="en-US" w:eastAsia="zh-CN"/>
                    </w:rPr>
                  </w:pPr>
                  <w:r>
                    <w:rPr>
                      <w:color w:val="auto"/>
                      <w:highlight w:val="none"/>
                    </w:rPr>
                    <w:t>16.0</w:t>
                  </w:r>
                </w:p>
              </w:tc>
              <w:tc>
                <w:tcPr>
                  <w:tcW w:w="166" w:type="pct"/>
                  <w:shd w:val="clear" w:color="auto" w:fill="auto"/>
                  <w:vAlign w:val="center"/>
                </w:tcPr>
                <w:p w14:paraId="13A1E05C">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4DB8D011">
                  <w:pPr>
                    <w:pStyle w:val="20"/>
                    <w:bidi w:val="0"/>
                    <w:jc w:val="center"/>
                    <w:rPr>
                      <w:rFonts w:hint="default"/>
                      <w:color w:val="auto"/>
                      <w:highlight w:val="none"/>
                      <w:lang w:val="en-US" w:eastAsia="zh-CN"/>
                    </w:rPr>
                  </w:pPr>
                  <w:r>
                    <w:rPr>
                      <w:color w:val="auto"/>
                      <w:highlight w:val="none"/>
                    </w:rPr>
                    <w:t>26.0</w:t>
                  </w:r>
                </w:p>
              </w:tc>
              <w:tc>
                <w:tcPr>
                  <w:tcW w:w="182" w:type="pct"/>
                  <w:shd w:val="clear" w:color="auto" w:fill="auto"/>
                  <w:vAlign w:val="center"/>
                </w:tcPr>
                <w:p w14:paraId="04729B8F">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3FC766EC">
                  <w:pPr>
                    <w:pStyle w:val="20"/>
                    <w:bidi w:val="0"/>
                    <w:jc w:val="center"/>
                    <w:rPr>
                      <w:rFonts w:hint="default"/>
                      <w:color w:val="auto"/>
                      <w:highlight w:val="none"/>
                      <w:lang w:val="en-US" w:eastAsia="zh-CN"/>
                    </w:rPr>
                  </w:pPr>
                  <w:r>
                    <w:rPr>
                      <w:color w:val="auto"/>
                      <w:highlight w:val="none"/>
                    </w:rPr>
                    <w:t>36.3</w:t>
                  </w:r>
                </w:p>
              </w:tc>
              <w:tc>
                <w:tcPr>
                  <w:tcW w:w="166" w:type="pct"/>
                  <w:shd w:val="clear" w:color="auto" w:fill="auto"/>
                  <w:vAlign w:val="center"/>
                </w:tcPr>
                <w:p w14:paraId="20E5145C">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vAlign w:val="center"/>
                </w:tcPr>
                <w:p w14:paraId="2C206144">
                  <w:pPr>
                    <w:pStyle w:val="20"/>
                    <w:bidi w:val="0"/>
                    <w:jc w:val="center"/>
                    <w:rPr>
                      <w:rFonts w:hint="default"/>
                      <w:color w:val="auto"/>
                      <w:highlight w:val="none"/>
                      <w:lang w:val="en-US" w:eastAsia="zh-CN"/>
                    </w:rPr>
                  </w:pPr>
                  <w:r>
                    <w:rPr>
                      <w:color w:val="auto"/>
                      <w:highlight w:val="none"/>
                    </w:rPr>
                    <w:t>26.4</w:t>
                  </w:r>
                </w:p>
              </w:tc>
              <w:tc>
                <w:tcPr>
                  <w:tcW w:w="166" w:type="pct"/>
                  <w:shd w:val="clear" w:color="auto" w:fill="auto"/>
                  <w:vAlign w:val="center"/>
                </w:tcPr>
                <w:p w14:paraId="1D059E75">
                  <w:pPr>
                    <w:pStyle w:val="20"/>
                    <w:bidi w:val="0"/>
                    <w:jc w:val="center"/>
                    <w:rPr>
                      <w:rFonts w:hint="default"/>
                      <w:color w:val="auto"/>
                      <w:highlight w:val="none"/>
                      <w:lang w:val="en-US" w:eastAsia="zh-CN"/>
                    </w:rPr>
                  </w:pPr>
                  <w:r>
                    <w:rPr>
                      <w:color w:val="auto"/>
                      <w:highlight w:val="none"/>
                    </w:rPr>
                    <w:t>26.3</w:t>
                  </w:r>
                </w:p>
              </w:tc>
              <w:tc>
                <w:tcPr>
                  <w:tcW w:w="235" w:type="pct"/>
                  <w:shd w:val="clear" w:color="auto" w:fill="auto"/>
                  <w:vAlign w:val="center"/>
                </w:tcPr>
                <w:p w14:paraId="242F319D">
                  <w:pPr>
                    <w:pStyle w:val="20"/>
                    <w:bidi w:val="0"/>
                    <w:jc w:val="center"/>
                    <w:rPr>
                      <w:rFonts w:hint="default"/>
                      <w:color w:val="auto"/>
                      <w:highlight w:val="none"/>
                      <w:lang w:val="en-US" w:eastAsia="zh-CN"/>
                    </w:rPr>
                  </w:pPr>
                  <w:r>
                    <w:rPr>
                      <w:color w:val="auto"/>
                      <w:highlight w:val="none"/>
                    </w:rPr>
                    <w:t>1</w:t>
                  </w:r>
                </w:p>
              </w:tc>
            </w:tr>
            <w:tr w14:paraId="435B1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24" w:type="pct"/>
                  <w:shd w:val="clear" w:color="auto" w:fill="auto"/>
                  <w:vAlign w:val="center"/>
                </w:tcPr>
                <w:p w14:paraId="061F16D2">
                  <w:pPr>
                    <w:pStyle w:val="20"/>
                    <w:bidi w:val="0"/>
                    <w:jc w:val="center"/>
                    <w:rPr>
                      <w:rFonts w:hint="default"/>
                      <w:color w:val="auto"/>
                      <w:highlight w:val="none"/>
                      <w:lang w:val="en-US" w:eastAsia="zh-CN"/>
                    </w:rPr>
                  </w:pPr>
                  <w:r>
                    <w:rPr>
                      <w:color w:val="auto"/>
                      <w:highlight w:val="none"/>
                    </w:rPr>
                    <w:t>18</w:t>
                  </w:r>
                </w:p>
              </w:tc>
              <w:tc>
                <w:tcPr>
                  <w:tcW w:w="209" w:type="pct"/>
                  <w:vMerge w:val="continue"/>
                  <w:shd w:val="clear" w:color="auto" w:fill="auto"/>
                  <w:vAlign w:val="center"/>
                </w:tcPr>
                <w:p w14:paraId="3B40D235">
                  <w:pPr>
                    <w:pStyle w:val="20"/>
                    <w:bidi w:val="0"/>
                    <w:jc w:val="center"/>
                    <w:rPr>
                      <w:rFonts w:hint="eastAsia"/>
                      <w:color w:val="auto"/>
                      <w:highlight w:val="none"/>
                      <w:lang w:eastAsia="zh-CN"/>
                    </w:rPr>
                  </w:pPr>
                </w:p>
              </w:tc>
              <w:tc>
                <w:tcPr>
                  <w:tcW w:w="345" w:type="pct"/>
                  <w:shd w:val="clear" w:color="auto" w:fill="auto"/>
                  <w:vAlign w:val="center"/>
                </w:tcPr>
                <w:p w14:paraId="1563959A">
                  <w:pPr>
                    <w:pStyle w:val="20"/>
                    <w:bidi w:val="0"/>
                    <w:jc w:val="center"/>
                    <w:rPr>
                      <w:rFonts w:hint="default"/>
                      <w:color w:val="auto"/>
                      <w:highlight w:val="none"/>
                      <w:lang w:val="en-US" w:eastAsia="zh-CN"/>
                    </w:rPr>
                  </w:pPr>
                  <w:r>
                    <w:rPr>
                      <w:color w:val="auto"/>
                      <w:highlight w:val="none"/>
                    </w:rPr>
                    <w:t>注塑机15</w:t>
                  </w:r>
                </w:p>
              </w:tc>
              <w:tc>
                <w:tcPr>
                  <w:tcW w:w="248" w:type="pct"/>
                  <w:shd w:val="clear" w:color="auto" w:fill="auto"/>
                  <w:vAlign w:val="center"/>
                </w:tcPr>
                <w:p w14:paraId="6FFF4FE3">
                  <w:pPr>
                    <w:pStyle w:val="20"/>
                    <w:bidi w:val="0"/>
                    <w:jc w:val="center"/>
                    <w:rPr>
                      <w:rFonts w:hint="default"/>
                      <w:color w:val="auto"/>
                      <w:highlight w:val="none"/>
                      <w:lang w:val="en-US" w:eastAsia="zh-CN"/>
                    </w:rPr>
                  </w:pPr>
                  <w:r>
                    <w:rPr>
                      <w:color w:val="auto"/>
                      <w:highlight w:val="none"/>
                    </w:rPr>
                    <w:t>70</w:t>
                  </w:r>
                </w:p>
              </w:tc>
              <w:tc>
                <w:tcPr>
                  <w:tcW w:w="195" w:type="pct"/>
                  <w:vMerge w:val="continue"/>
                  <w:shd w:val="clear" w:color="auto" w:fill="auto"/>
                  <w:vAlign w:val="center"/>
                </w:tcPr>
                <w:p w14:paraId="02FC04E3">
                  <w:pPr>
                    <w:pStyle w:val="20"/>
                    <w:bidi w:val="0"/>
                    <w:jc w:val="center"/>
                    <w:rPr>
                      <w:rFonts w:hint="default"/>
                      <w:color w:val="auto"/>
                      <w:highlight w:val="none"/>
                    </w:rPr>
                  </w:pPr>
                </w:p>
              </w:tc>
              <w:tc>
                <w:tcPr>
                  <w:tcW w:w="220" w:type="pct"/>
                  <w:shd w:val="clear" w:color="auto" w:fill="auto"/>
                  <w:vAlign w:val="center"/>
                </w:tcPr>
                <w:p w14:paraId="2F1E25AF">
                  <w:pPr>
                    <w:pStyle w:val="20"/>
                    <w:bidi w:val="0"/>
                    <w:jc w:val="center"/>
                    <w:rPr>
                      <w:rFonts w:hint="default"/>
                      <w:color w:val="auto"/>
                      <w:highlight w:val="none"/>
                      <w:lang w:val="en-US" w:eastAsia="zh-CN"/>
                    </w:rPr>
                  </w:pPr>
                  <w:r>
                    <w:rPr>
                      <w:color w:val="auto"/>
                      <w:highlight w:val="none"/>
                    </w:rPr>
                    <w:t>-13.2</w:t>
                  </w:r>
                </w:p>
              </w:tc>
              <w:tc>
                <w:tcPr>
                  <w:tcW w:w="238" w:type="pct"/>
                  <w:shd w:val="clear" w:color="auto" w:fill="auto"/>
                  <w:vAlign w:val="center"/>
                </w:tcPr>
                <w:p w14:paraId="473A0EE3">
                  <w:pPr>
                    <w:pStyle w:val="20"/>
                    <w:bidi w:val="0"/>
                    <w:jc w:val="center"/>
                    <w:rPr>
                      <w:rFonts w:hint="default"/>
                      <w:color w:val="auto"/>
                      <w:highlight w:val="none"/>
                      <w:lang w:val="en-US" w:eastAsia="zh-CN"/>
                    </w:rPr>
                  </w:pPr>
                  <w:r>
                    <w:rPr>
                      <w:color w:val="auto"/>
                      <w:highlight w:val="none"/>
                    </w:rPr>
                    <w:t>-57.3</w:t>
                  </w:r>
                </w:p>
              </w:tc>
              <w:tc>
                <w:tcPr>
                  <w:tcW w:w="190" w:type="pct"/>
                  <w:shd w:val="clear" w:color="auto" w:fill="auto"/>
                  <w:vAlign w:val="center"/>
                </w:tcPr>
                <w:p w14:paraId="5F539A08">
                  <w:pPr>
                    <w:pStyle w:val="20"/>
                    <w:bidi w:val="0"/>
                    <w:jc w:val="center"/>
                    <w:rPr>
                      <w:rFonts w:hint="default"/>
                      <w:color w:val="auto"/>
                      <w:highlight w:val="none"/>
                      <w:lang w:val="en-US" w:eastAsia="zh-CN"/>
                    </w:rPr>
                  </w:pPr>
                  <w:r>
                    <w:rPr>
                      <w:color w:val="auto"/>
                      <w:highlight w:val="none"/>
                    </w:rPr>
                    <w:t>1.2</w:t>
                  </w:r>
                </w:p>
              </w:tc>
              <w:tc>
                <w:tcPr>
                  <w:tcW w:w="197" w:type="pct"/>
                  <w:shd w:val="clear" w:color="auto" w:fill="auto"/>
                  <w:vAlign w:val="center"/>
                </w:tcPr>
                <w:p w14:paraId="3A66600B">
                  <w:pPr>
                    <w:pStyle w:val="20"/>
                    <w:bidi w:val="0"/>
                    <w:jc w:val="center"/>
                    <w:rPr>
                      <w:rFonts w:hint="default"/>
                      <w:color w:val="auto"/>
                      <w:highlight w:val="none"/>
                      <w:lang w:val="en-US" w:eastAsia="zh-CN"/>
                    </w:rPr>
                  </w:pPr>
                  <w:r>
                    <w:rPr>
                      <w:color w:val="auto"/>
                      <w:highlight w:val="none"/>
                    </w:rPr>
                    <w:t>42.8</w:t>
                  </w:r>
                </w:p>
              </w:tc>
              <w:tc>
                <w:tcPr>
                  <w:tcW w:w="194" w:type="pct"/>
                  <w:shd w:val="clear" w:color="auto" w:fill="auto"/>
                  <w:vAlign w:val="center"/>
                </w:tcPr>
                <w:p w14:paraId="11B1FB32">
                  <w:pPr>
                    <w:pStyle w:val="20"/>
                    <w:bidi w:val="0"/>
                    <w:jc w:val="center"/>
                    <w:rPr>
                      <w:rFonts w:hint="default"/>
                      <w:color w:val="auto"/>
                      <w:highlight w:val="none"/>
                      <w:lang w:val="en-US" w:eastAsia="zh-CN"/>
                    </w:rPr>
                  </w:pPr>
                  <w:r>
                    <w:rPr>
                      <w:color w:val="auto"/>
                      <w:highlight w:val="none"/>
                    </w:rPr>
                    <w:t>22.9</w:t>
                  </w:r>
                </w:p>
              </w:tc>
              <w:tc>
                <w:tcPr>
                  <w:tcW w:w="166" w:type="pct"/>
                  <w:shd w:val="clear" w:color="auto" w:fill="auto"/>
                  <w:vAlign w:val="center"/>
                </w:tcPr>
                <w:p w14:paraId="7C492368">
                  <w:pPr>
                    <w:pStyle w:val="20"/>
                    <w:bidi w:val="0"/>
                    <w:jc w:val="center"/>
                    <w:rPr>
                      <w:rFonts w:hint="default"/>
                      <w:color w:val="auto"/>
                      <w:highlight w:val="none"/>
                      <w:lang w:val="en-US" w:eastAsia="zh-CN"/>
                    </w:rPr>
                  </w:pPr>
                  <w:r>
                    <w:rPr>
                      <w:color w:val="auto"/>
                      <w:highlight w:val="none"/>
                    </w:rPr>
                    <w:t>7.9</w:t>
                  </w:r>
                </w:p>
              </w:tc>
              <w:tc>
                <w:tcPr>
                  <w:tcW w:w="216" w:type="pct"/>
                  <w:shd w:val="clear" w:color="auto" w:fill="auto"/>
                  <w:vAlign w:val="center"/>
                </w:tcPr>
                <w:p w14:paraId="1093638B">
                  <w:pPr>
                    <w:pStyle w:val="20"/>
                    <w:bidi w:val="0"/>
                    <w:jc w:val="center"/>
                    <w:rPr>
                      <w:rFonts w:hint="default"/>
                      <w:color w:val="auto"/>
                      <w:highlight w:val="none"/>
                      <w:lang w:val="en-US" w:eastAsia="zh-CN"/>
                    </w:rPr>
                  </w:pPr>
                  <w:r>
                    <w:rPr>
                      <w:color w:val="auto"/>
                      <w:highlight w:val="none"/>
                    </w:rPr>
                    <w:t>103.1</w:t>
                  </w:r>
                </w:p>
              </w:tc>
              <w:tc>
                <w:tcPr>
                  <w:tcW w:w="166" w:type="pct"/>
                  <w:shd w:val="clear" w:color="auto" w:fill="auto"/>
                  <w:vAlign w:val="center"/>
                </w:tcPr>
                <w:p w14:paraId="4185D2E1">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08E4546F">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6DF867D4">
                  <w:pPr>
                    <w:pStyle w:val="20"/>
                    <w:bidi w:val="0"/>
                    <w:jc w:val="center"/>
                    <w:rPr>
                      <w:rFonts w:hint="default"/>
                      <w:color w:val="auto"/>
                      <w:highlight w:val="none"/>
                      <w:lang w:val="en-US" w:eastAsia="zh-CN"/>
                    </w:rPr>
                  </w:pPr>
                  <w:r>
                    <w:rPr>
                      <w:color w:val="auto"/>
                      <w:highlight w:val="none"/>
                    </w:rPr>
                    <w:t>52.6</w:t>
                  </w:r>
                </w:p>
              </w:tc>
              <w:tc>
                <w:tcPr>
                  <w:tcW w:w="182" w:type="pct"/>
                  <w:shd w:val="clear" w:color="auto" w:fill="auto"/>
                  <w:vAlign w:val="center"/>
                </w:tcPr>
                <w:p w14:paraId="6F580614">
                  <w:pPr>
                    <w:pStyle w:val="20"/>
                    <w:bidi w:val="0"/>
                    <w:jc w:val="center"/>
                    <w:rPr>
                      <w:rFonts w:hint="default"/>
                      <w:color w:val="auto"/>
                      <w:highlight w:val="none"/>
                      <w:lang w:val="en-US" w:eastAsia="zh-CN"/>
                    </w:rPr>
                  </w:pPr>
                  <w:r>
                    <w:rPr>
                      <w:color w:val="auto"/>
                      <w:highlight w:val="none"/>
                    </w:rPr>
                    <w:t>52.3</w:t>
                  </w:r>
                </w:p>
              </w:tc>
              <w:tc>
                <w:tcPr>
                  <w:tcW w:w="185" w:type="pct"/>
                  <w:shd w:val="clear" w:color="auto" w:fill="auto"/>
                  <w:vAlign w:val="center"/>
                </w:tcPr>
                <w:p w14:paraId="1592C549">
                  <w:pPr>
                    <w:pStyle w:val="20"/>
                    <w:bidi w:val="0"/>
                    <w:jc w:val="center"/>
                    <w:rPr>
                      <w:rFonts w:hint="eastAsia"/>
                      <w:color w:val="auto"/>
                      <w:highlight w:val="none"/>
                      <w:lang w:val="en-US" w:eastAsia="zh-CN"/>
                    </w:rPr>
                  </w:pPr>
                  <w:r>
                    <w:rPr>
                      <w:rFonts w:hint="eastAsia"/>
                      <w:color w:val="auto"/>
                      <w:highlight w:val="none"/>
                      <w:lang w:eastAsia="zh-CN"/>
                    </w:rPr>
                    <w:t>昼夜</w:t>
                  </w:r>
                </w:p>
              </w:tc>
              <w:tc>
                <w:tcPr>
                  <w:tcW w:w="166" w:type="pct"/>
                  <w:shd w:val="clear" w:color="auto" w:fill="auto"/>
                  <w:vAlign w:val="center"/>
                </w:tcPr>
                <w:p w14:paraId="14DBDDCC">
                  <w:pPr>
                    <w:pStyle w:val="20"/>
                    <w:bidi w:val="0"/>
                    <w:jc w:val="center"/>
                    <w:rPr>
                      <w:rFonts w:hint="default"/>
                      <w:color w:val="auto"/>
                      <w:highlight w:val="none"/>
                      <w:lang w:val="en-US" w:eastAsia="zh-CN"/>
                    </w:rPr>
                  </w:pPr>
                  <w:r>
                    <w:rPr>
                      <w:color w:val="auto"/>
                      <w:highlight w:val="none"/>
                    </w:rPr>
                    <w:t>16.0</w:t>
                  </w:r>
                </w:p>
              </w:tc>
              <w:tc>
                <w:tcPr>
                  <w:tcW w:w="166" w:type="pct"/>
                  <w:shd w:val="clear" w:color="auto" w:fill="auto"/>
                  <w:vAlign w:val="center"/>
                </w:tcPr>
                <w:p w14:paraId="6BF17E47">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4DB8ABB2">
                  <w:pPr>
                    <w:pStyle w:val="20"/>
                    <w:bidi w:val="0"/>
                    <w:jc w:val="center"/>
                    <w:rPr>
                      <w:rFonts w:hint="default"/>
                      <w:color w:val="auto"/>
                      <w:highlight w:val="none"/>
                      <w:lang w:val="en-US" w:eastAsia="zh-CN"/>
                    </w:rPr>
                  </w:pPr>
                  <w:r>
                    <w:rPr>
                      <w:color w:val="auto"/>
                      <w:highlight w:val="none"/>
                    </w:rPr>
                    <w:t>26.0</w:t>
                  </w:r>
                </w:p>
              </w:tc>
              <w:tc>
                <w:tcPr>
                  <w:tcW w:w="182" w:type="pct"/>
                  <w:shd w:val="clear" w:color="auto" w:fill="auto"/>
                  <w:vAlign w:val="center"/>
                </w:tcPr>
                <w:p w14:paraId="1A4B994C">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772A909B">
                  <w:pPr>
                    <w:pStyle w:val="20"/>
                    <w:bidi w:val="0"/>
                    <w:jc w:val="center"/>
                    <w:rPr>
                      <w:rFonts w:hint="default"/>
                      <w:color w:val="auto"/>
                      <w:highlight w:val="none"/>
                      <w:lang w:val="en-US" w:eastAsia="zh-CN"/>
                    </w:rPr>
                  </w:pPr>
                  <w:r>
                    <w:rPr>
                      <w:color w:val="auto"/>
                      <w:highlight w:val="none"/>
                    </w:rPr>
                    <w:t>36.3</w:t>
                  </w:r>
                </w:p>
              </w:tc>
              <w:tc>
                <w:tcPr>
                  <w:tcW w:w="166" w:type="pct"/>
                  <w:shd w:val="clear" w:color="auto" w:fill="auto"/>
                  <w:vAlign w:val="center"/>
                </w:tcPr>
                <w:p w14:paraId="7C1CD43F">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vAlign w:val="center"/>
                </w:tcPr>
                <w:p w14:paraId="784F555F">
                  <w:pPr>
                    <w:pStyle w:val="20"/>
                    <w:bidi w:val="0"/>
                    <w:jc w:val="center"/>
                    <w:rPr>
                      <w:rFonts w:hint="default"/>
                      <w:color w:val="auto"/>
                      <w:highlight w:val="none"/>
                      <w:lang w:val="en-US" w:eastAsia="zh-CN"/>
                    </w:rPr>
                  </w:pPr>
                  <w:r>
                    <w:rPr>
                      <w:color w:val="auto"/>
                      <w:highlight w:val="none"/>
                    </w:rPr>
                    <w:t>26.6</w:t>
                  </w:r>
                </w:p>
              </w:tc>
              <w:tc>
                <w:tcPr>
                  <w:tcW w:w="166" w:type="pct"/>
                  <w:shd w:val="clear" w:color="auto" w:fill="auto"/>
                  <w:vAlign w:val="center"/>
                </w:tcPr>
                <w:p w14:paraId="56DFCDEC">
                  <w:pPr>
                    <w:pStyle w:val="20"/>
                    <w:bidi w:val="0"/>
                    <w:jc w:val="center"/>
                    <w:rPr>
                      <w:rFonts w:hint="default"/>
                      <w:color w:val="auto"/>
                      <w:highlight w:val="none"/>
                      <w:lang w:val="en-US" w:eastAsia="zh-CN"/>
                    </w:rPr>
                  </w:pPr>
                  <w:r>
                    <w:rPr>
                      <w:color w:val="auto"/>
                      <w:highlight w:val="none"/>
                    </w:rPr>
                    <w:t>26.3</w:t>
                  </w:r>
                </w:p>
              </w:tc>
              <w:tc>
                <w:tcPr>
                  <w:tcW w:w="235" w:type="pct"/>
                  <w:shd w:val="clear" w:color="auto" w:fill="auto"/>
                  <w:vAlign w:val="center"/>
                </w:tcPr>
                <w:p w14:paraId="39F69569">
                  <w:pPr>
                    <w:pStyle w:val="20"/>
                    <w:bidi w:val="0"/>
                    <w:jc w:val="center"/>
                    <w:rPr>
                      <w:rFonts w:hint="default"/>
                      <w:color w:val="auto"/>
                      <w:highlight w:val="none"/>
                      <w:lang w:val="en-US" w:eastAsia="zh-CN"/>
                    </w:rPr>
                  </w:pPr>
                  <w:r>
                    <w:rPr>
                      <w:color w:val="auto"/>
                      <w:highlight w:val="none"/>
                    </w:rPr>
                    <w:t>1</w:t>
                  </w:r>
                </w:p>
              </w:tc>
            </w:tr>
          </w:tbl>
          <w:p w14:paraId="2C55D4BF">
            <w:pPr>
              <w:pStyle w:val="18"/>
              <w:ind w:firstLine="0" w:firstLineChars="0"/>
              <w:rPr>
                <w:color w:val="auto"/>
                <w:highlight w:val="none"/>
              </w:rPr>
            </w:pPr>
          </w:p>
          <w:p w14:paraId="434299DD">
            <w:pPr>
              <w:pStyle w:val="18"/>
              <w:ind w:firstLine="0" w:firstLineChars="0"/>
              <w:rPr>
                <w:color w:val="auto"/>
                <w:highlight w:val="none"/>
              </w:rPr>
            </w:pPr>
          </w:p>
        </w:tc>
      </w:tr>
    </w:tbl>
    <w:p w14:paraId="7FAF3B5D">
      <w:pPr>
        <w:pStyle w:val="18"/>
        <w:rPr>
          <w:color w:val="auto"/>
          <w:highlight w:val="none"/>
        </w:rPr>
      </w:pPr>
    </w:p>
    <w:p w14:paraId="4B95C924">
      <w:pPr>
        <w:pStyle w:val="18"/>
        <w:rPr>
          <w:color w:val="auto"/>
          <w:highlight w:val="none"/>
        </w:rPr>
        <w:sectPr>
          <w:pgSz w:w="16838" w:h="11905" w:orient="landscape"/>
          <w:pgMar w:top="1066" w:right="930" w:bottom="1066" w:left="930" w:header="851" w:footer="850" w:gutter="0"/>
          <w:cols w:space="0" w:num="1"/>
          <w:docGrid w:type="linesAndChars" w:linePitch="312" w:charSpace="0"/>
        </w:sectPr>
      </w:pP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91"/>
        <w:gridCol w:w="8502"/>
      </w:tblGrid>
      <w:tr w14:paraId="63452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3323" w:hRule="atLeast"/>
        </w:trPr>
        <w:tc>
          <w:tcPr>
            <w:tcW w:w="325" w:type="pct"/>
          </w:tcPr>
          <w:p w14:paraId="441DA6D6">
            <w:pPr>
              <w:pStyle w:val="2"/>
              <w:numPr>
                <w:ilvl w:val="0"/>
                <w:numId w:val="0"/>
              </w:numPr>
              <w:spacing w:before="156"/>
              <w:ind w:leftChars="0"/>
              <w:rPr>
                <w:color w:val="auto"/>
                <w:sz w:val="10"/>
                <w:szCs w:val="10"/>
                <w:highlight w:val="none"/>
              </w:rPr>
            </w:pPr>
          </w:p>
        </w:tc>
        <w:tc>
          <w:tcPr>
            <w:tcW w:w="4674" w:type="pct"/>
            <w:vAlign w:val="top"/>
          </w:tcPr>
          <w:p w14:paraId="2CF342D5">
            <w:pPr>
              <w:pStyle w:val="18"/>
              <w:ind w:firstLine="0" w:firstLineChars="0"/>
              <w:rPr>
                <w:b/>
                <w:color w:val="auto"/>
                <w:highlight w:val="none"/>
              </w:rPr>
            </w:pPr>
            <w:r>
              <w:rPr>
                <w:b/>
                <w:color w:val="auto"/>
                <w:highlight w:val="none"/>
              </w:rPr>
              <w:t>2</w:t>
            </w:r>
            <w:r>
              <w:rPr>
                <w:rFonts w:hint="eastAsia"/>
                <w:b/>
                <w:color w:val="auto"/>
                <w:highlight w:val="none"/>
              </w:rPr>
              <w:t>）厂界达标情况分析</w:t>
            </w:r>
          </w:p>
          <w:p w14:paraId="3C60249D">
            <w:pPr>
              <w:pStyle w:val="18"/>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rPr>
              <w:t>根据《环境影响评价技术导则 声环境》（HJ2.4－2021）中推荐的以下公式，对项目厂界噪声达标情况进行分析。预测模式如下：</w:t>
            </w:r>
          </w:p>
          <w:p w14:paraId="6917AF81">
            <w:pPr>
              <w:pStyle w:val="18"/>
              <w:keepNext w:val="0"/>
              <w:keepLines w:val="0"/>
              <w:suppressLineNumbers w:val="0"/>
              <w:spacing w:before="0" w:beforeAutospacing="0" w:after="0" w:afterAutospacing="0"/>
              <w:ind w:left="0" w:right="0" w:firstLine="720" w:firstLineChars="300"/>
              <w:rPr>
                <w:rFonts w:hint="default"/>
                <w:color w:val="auto"/>
                <w:highlight w:val="none"/>
              </w:rPr>
            </w:pPr>
            <w:r>
              <w:rPr>
                <w:rFonts w:hint="default"/>
                <w:color w:val="auto"/>
                <w:highlight w:val="none"/>
              </w:rPr>
              <w:t>①</w:t>
            </w:r>
            <w:r>
              <w:rPr>
                <w:rFonts w:hint="eastAsia"/>
                <w:color w:val="auto"/>
                <w:highlight w:val="none"/>
              </w:rPr>
              <w:t>声源位于室内声源靠近围护结构处产生的倍频带声压级或A声级：</w:t>
            </w:r>
          </w:p>
          <w:p w14:paraId="29A3FF67">
            <w:pPr>
              <w:pStyle w:val="18"/>
              <w:keepNext w:val="0"/>
              <w:keepLines w:val="0"/>
              <w:suppressLineNumbers w:val="0"/>
              <w:spacing w:before="0" w:beforeAutospacing="0" w:after="0" w:afterAutospacing="0"/>
              <w:ind w:left="0" w:right="0" w:firstLine="0" w:firstLineChars="0"/>
              <w:jc w:val="center"/>
              <w:rPr>
                <w:rFonts w:hint="default"/>
                <w:color w:val="auto"/>
                <w:highlight w:val="none"/>
              </w:rPr>
            </w:pPr>
            <w:r>
              <w:rPr>
                <w:rFonts w:hint="default"/>
                <w:color w:val="auto"/>
                <w:sz w:val="21"/>
                <w:highlight w:val="none"/>
              </w:rPr>
              <w:drawing>
                <wp:inline distT="0" distB="0" distL="114300" distR="114300">
                  <wp:extent cx="2263775" cy="584835"/>
                  <wp:effectExtent l="0" t="0" r="3175" b="571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4" cstate="print"/>
                          <a:stretch>
                            <a:fillRect/>
                          </a:stretch>
                        </pic:blipFill>
                        <pic:spPr>
                          <a:xfrm>
                            <a:off x="0" y="0"/>
                            <a:ext cx="2263775" cy="584835"/>
                          </a:xfrm>
                          <a:prstGeom prst="rect">
                            <a:avLst/>
                          </a:prstGeom>
                          <a:noFill/>
                          <a:ln>
                            <a:noFill/>
                          </a:ln>
                        </pic:spPr>
                      </pic:pic>
                    </a:graphicData>
                  </a:graphic>
                </wp:inline>
              </w:drawing>
            </w:r>
          </w:p>
          <w:p w14:paraId="335AA6D6">
            <w:pPr>
              <w:pStyle w:val="18"/>
              <w:keepNext w:val="0"/>
              <w:keepLines w:val="0"/>
              <w:suppressLineNumbers w:val="0"/>
              <w:spacing w:before="0" w:beforeAutospacing="0" w:after="0" w:afterAutospacing="0"/>
              <w:ind w:left="0" w:right="0" w:firstLine="0" w:firstLineChars="0"/>
              <w:rPr>
                <w:rFonts w:hint="default"/>
                <w:color w:val="auto"/>
                <w:highlight w:val="none"/>
              </w:rPr>
            </w:pPr>
            <w:r>
              <w:rPr>
                <w:rFonts w:hint="eastAsia"/>
                <w:color w:val="auto"/>
                <w:highlight w:val="none"/>
              </w:rPr>
              <w:t>式中：L</w:t>
            </w:r>
            <w:r>
              <w:rPr>
                <w:rFonts w:hint="eastAsia"/>
                <w:color w:val="auto"/>
                <w:highlight w:val="none"/>
                <w:vertAlign w:val="subscript"/>
              </w:rPr>
              <w:t>p1</w:t>
            </w:r>
            <w:r>
              <w:rPr>
                <w:rFonts w:hint="default"/>
                <w:color w:val="auto"/>
                <w:highlight w:val="none"/>
              </w:rPr>
              <w:t>——</w:t>
            </w:r>
            <w:r>
              <w:rPr>
                <w:rFonts w:hint="eastAsia"/>
                <w:color w:val="auto"/>
                <w:highlight w:val="none"/>
              </w:rPr>
              <w:t>靠近开口处（或窗户）室内某倍频带的声压级或A声级，dB；</w:t>
            </w:r>
          </w:p>
          <w:p w14:paraId="53E12A55">
            <w:pPr>
              <w:pStyle w:val="18"/>
              <w:keepNext w:val="0"/>
              <w:keepLines w:val="0"/>
              <w:suppressLineNumbers w:val="0"/>
              <w:spacing w:before="0" w:beforeAutospacing="0" w:after="0" w:afterAutospacing="0"/>
              <w:ind w:left="0" w:right="0" w:firstLine="720" w:firstLineChars="300"/>
              <w:rPr>
                <w:rFonts w:hint="default"/>
                <w:color w:val="auto"/>
                <w:highlight w:val="none"/>
              </w:rPr>
            </w:pPr>
            <w:r>
              <w:rPr>
                <w:rFonts w:hint="eastAsia"/>
                <w:color w:val="auto"/>
                <w:highlight w:val="none"/>
              </w:rPr>
              <w:t>L</w:t>
            </w:r>
            <w:r>
              <w:rPr>
                <w:rFonts w:hint="eastAsia"/>
                <w:color w:val="auto"/>
                <w:highlight w:val="none"/>
                <w:vertAlign w:val="subscript"/>
              </w:rPr>
              <w:t>w</w:t>
            </w:r>
            <w:r>
              <w:rPr>
                <w:rFonts w:hint="default"/>
                <w:color w:val="auto"/>
                <w:highlight w:val="none"/>
              </w:rPr>
              <w:t>——</w:t>
            </w:r>
            <w:r>
              <w:rPr>
                <w:rFonts w:hint="eastAsia"/>
                <w:color w:val="auto"/>
                <w:highlight w:val="none"/>
              </w:rPr>
              <w:t>点声源声功率级（A计权或倍频带），dB；</w:t>
            </w:r>
          </w:p>
          <w:p w14:paraId="59C37A51">
            <w:pPr>
              <w:pStyle w:val="18"/>
              <w:keepNext w:val="0"/>
              <w:keepLines w:val="0"/>
              <w:suppressLineNumbers w:val="0"/>
              <w:spacing w:before="0" w:beforeAutospacing="0" w:after="0" w:afterAutospacing="0"/>
              <w:ind w:left="0" w:right="0" w:firstLine="720" w:firstLineChars="300"/>
              <w:rPr>
                <w:rFonts w:hint="default"/>
                <w:color w:val="auto"/>
                <w:highlight w:val="none"/>
              </w:rPr>
            </w:pPr>
            <w:r>
              <w:rPr>
                <w:rFonts w:hint="eastAsia"/>
                <w:color w:val="auto"/>
                <w:highlight w:val="none"/>
              </w:rPr>
              <w:t>Q</w:t>
            </w:r>
            <w:r>
              <w:rPr>
                <w:rFonts w:hint="default"/>
                <w:color w:val="auto"/>
                <w:highlight w:val="none"/>
              </w:rPr>
              <w:t>——</w:t>
            </w:r>
            <w:r>
              <w:rPr>
                <w:rFonts w:hint="eastAsia"/>
                <w:color w:val="auto"/>
                <w:highlight w:val="none"/>
              </w:rPr>
              <w:t>指向性因数；通常对无指向性声源，当声源放在房间中心时，Q=1；当放在一面墙的中心时，Q=2；当放在两面墙夹角处时，Q=4；当放在三面墙夹角处时，Q=8。</w:t>
            </w:r>
          </w:p>
          <w:p w14:paraId="64B2652E">
            <w:pPr>
              <w:pStyle w:val="18"/>
              <w:keepNext w:val="0"/>
              <w:keepLines w:val="0"/>
              <w:suppressLineNumbers w:val="0"/>
              <w:spacing w:before="0" w:beforeAutospacing="0" w:after="0" w:afterAutospacing="0"/>
              <w:ind w:left="0" w:right="0" w:firstLine="720" w:firstLineChars="300"/>
              <w:rPr>
                <w:rFonts w:hint="default"/>
                <w:color w:val="auto"/>
                <w:highlight w:val="none"/>
              </w:rPr>
            </w:pPr>
            <w:r>
              <w:rPr>
                <w:rFonts w:hint="eastAsia"/>
                <w:color w:val="auto"/>
                <w:highlight w:val="none"/>
              </w:rPr>
              <w:t>R</w:t>
            </w:r>
            <w:r>
              <w:rPr>
                <w:rFonts w:hint="default"/>
                <w:color w:val="auto"/>
                <w:highlight w:val="none"/>
              </w:rPr>
              <w:t>——</w:t>
            </w:r>
            <w:r>
              <w:rPr>
                <w:rFonts w:hint="eastAsia"/>
                <w:color w:val="auto"/>
                <w:highlight w:val="none"/>
              </w:rPr>
              <w:t>房间常数；</w:t>
            </w:r>
            <w:r>
              <w:rPr>
                <w:rFonts w:hint="default"/>
                <w:color w:val="auto"/>
                <w:highlight w:val="none"/>
              </w:rPr>
              <w:t>R=Sα/</w:t>
            </w:r>
            <w:r>
              <w:rPr>
                <w:rFonts w:hint="eastAsia"/>
                <w:color w:val="auto"/>
                <w:highlight w:val="none"/>
              </w:rPr>
              <w:t>（1-α），S为房间内表面面积，m</w:t>
            </w:r>
            <w:r>
              <w:rPr>
                <w:rFonts w:hint="eastAsia"/>
                <w:color w:val="auto"/>
                <w:highlight w:val="none"/>
                <w:vertAlign w:val="superscript"/>
              </w:rPr>
              <w:t>2</w:t>
            </w:r>
            <w:r>
              <w:rPr>
                <w:rFonts w:hint="eastAsia"/>
                <w:color w:val="auto"/>
                <w:highlight w:val="none"/>
              </w:rPr>
              <w:t>；</w:t>
            </w:r>
            <w:r>
              <w:rPr>
                <w:rFonts w:hint="default"/>
                <w:color w:val="auto"/>
                <w:highlight w:val="none"/>
              </w:rPr>
              <w:t>α</w:t>
            </w:r>
            <w:r>
              <w:rPr>
                <w:rFonts w:hint="eastAsia"/>
                <w:color w:val="auto"/>
                <w:highlight w:val="none"/>
              </w:rPr>
              <w:t>为平均吸声系数；</w:t>
            </w:r>
          </w:p>
          <w:p w14:paraId="1DA12C10">
            <w:pPr>
              <w:pStyle w:val="18"/>
              <w:keepNext w:val="0"/>
              <w:keepLines w:val="0"/>
              <w:suppressLineNumbers w:val="0"/>
              <w:spacing w:before="0" w:beforeAutospacing="0" w:after="0" w:afterAutospacing="0"/>
              <w:ind w:left="0" w:right="0" w:firstLine="720" w:firstLineChars="300"/>
              <w:rPr>
                <w:rFonts w:hint="default"/>
                <w:color w:val="auto"/>
                <w:highlight w:val="none"/>
              </w:rPr>
            </w:pPr>
            <w:r>
              <w:rPr>
                <w:rFonts w:hint="eastAsia"/>
                <w:color w:val="auto"/>
                <w:highlight w:val="none"/>
              </w:rPr>
              <w:t>r</w:t>
            </w:r>
            <w:r>
              <w:rPr>
                <w:rFonts w:hint="default"/>
                <w:color w:val="auto"/>
                <w:highlight w:val="none"/>
              </w:rPr>
              <w:t>——</w:t>
            </w:r>
            <w:r>
              <w:rPr>
                <w:rFonts w:hint="eastAsia"/>
                <w:color w:val="auto"/>
                <w:highlight w:val="none"/>
              </w:rPr>
              <w:t>声源到靠近围护结构某点处的距离，m。</w:t>
            </w:r>
          </w:p>
          <w:p w14:paraId="49511269">
            <w:pPr>
              <w:pStyle w:val="18"/>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②</w:t>
            </w:r>
            <w:r>
              <w:rPr>
                <w:rFonts w:hint="eastAsia"/>
                <w:color w:val="auto"/>
                <w:highlight w:val="none"/>
              </w:rPr>
              <w:t>所有室内声源在围护结构处产生的i倍频带叠加声压级：</w:t>
            </w:r>
          </w:p>
          <w:p w14:paraId="0CF93ACF">
            <w:pPr>
              <w:pStyle w:val="18"/>
              <w:keepNext w:val="0"/>
              <w:keepLines w:val="0"/>
              <w:suppressLineNumbers w:val="0"/>
              <w:spacing w:before="0" w:beforeAutospacing="0" w:after="0" w:afterAutospacing="0"/>
              <w:ind w:left="0" w:right="0" w:firstLine="0" w:firstLineChars="0"/>
              <w:jc w:val="center"/>
              <w:rPr>
                <w:rFonts w:hint="default" w:ascii="宋体"/>
                <w:color w:val="auto"/>
                <w:highlight w:val="none"/>
              </w:rPr>
            </w:pPr>
            <w:r>
              <w:rPr>
                <w:rFonts w:hint="default"/>
                <w:color w:val="auto"/>
                <w:highlight w:val="none"/>
              </w:rPr>
              <w:drawing>
                <wp:inline distT="0" distB="0" distL="114300" distR="114300">
                  <wp:extent cx="1773555" cy="558800"/>
                  <wp:effectExtent l="0" t="0" r="17145" b="1270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5" cstate="print"/>
                          <a:stretch>
                            <a:fillRect/>
                          </a:stretch>
                        </pic:blipFill>
                        <pic:spPr>
                          <a:xfrm>
                            <a:off x="0" y="0"/>
                            <a:ext cx="1773555" cy="558800"/>
                          </a:xfrm>
                          <a:prstGeom prst="rect">
                            <a:avLst/>
                          </a:prstGeom>
                          <a:noFill/>
                          <a:ln>
                            <a:noFill/>
                          </a:ln>
                        </pic:spPr>
                      </pic:pic>
                    </a:graphicData>
                  </a:graphic>
                </wp:inline>
              </w:drawing>
            </w:r>
          </w:p>
          <w:p w14:paraId="7E56B5EE">
            <w:pPr>
              <w:pStyle w:val="18"/>
              <w:keepNext w:val="0"/>
              <w:keepLines w:val="0"/>
              <w:suppressLineNumbers w:val="0"/>
              <w:spacing w:before="0" w:beforeAutospacing="0" w:after="0" w:afterAutospacing="0"/>
              <w:ind w:left="0" w:right="0" w:firstLine="0" w:firstLineChars="0"/>
              <w:rPr>
                <w:rFonts w:hint="default"/>
                <w:color w:val="auto"/>
                <w:highlight w:val="none"/>
              </w:rPr>
            </w:pPr>
            <w:r>
              <w:rPr>
                <w:rFonts w:hint="eastAsia"/>
                <w:color w:val="auto"/>
                <w:highlight w:val="none"/>
              </w:rPr>
              <w:t>式中：L</w:t>
            </w:r>
            <w:r>
              <w:rPr>
                <w:rFonts w:hint="default"/>
                <w:color w:val="auto"/>
                <w:highlight w:val="none"/>
                <w:vertAlign w:val="subscript"/>
              </w:rPr>
              <w:t>pli</w:t>
            </w:r>
            <w:r>
              <w:rPr>
                <w:rFonts w:hint="eastAsia"/>
                <w:color w:val="auto"/>
                <w:highlight w:val="none"/>
              </w:rPr>
              <w:t>（T）——靠近围护结构处室内N个声源i倍频带的叠加声压级，dB；</w:t>
            </w:r>
          </w:p>
          <w:p w14:paraId="1344D5F4">
            <w:pPr>
              <w:pStyle w:val="18"/>
              <w:keepNext w:val="0"/>
              <w:keepLines w:val="0"/>
              <w:suppressLineNumbers w:val="0"/>
              <w:spacing w:before="0" w:beforeAutospacing="0" w:after="0" w:afterAutospacing="0"/>
              <w:ind w:left="0" w:right="0" w:firstLine="720" w:firstLineChars="300"/>
              <w:rPr>
                <w:rFonts w:hint="default"/>
                <w:color w:val="auto"/>
                <w:highlight w:val="none"/>
              </w:rPr>
            </w:pPr>
            <w:r>
              <w:rPr>
                <w:rFonts w:hint="default"/>
                <w:color w:val="auto"/>
                <w:highlight w:val="none"/>
              </w:rPr>
              <w:t>L</w:t>
            </w:r>
            <w:r>
              <w:rPr>
                <w:rFonts w:hint="default"/>
                <w:color w:val="auto"/>
                <w:highlight w:val="none"/>
                <w:vertAlign w:val="subscript"/>
              </w:rPr>
              <w:t>plij</w:t>
            </w:r>
            <w:r>
              <w:rPr>
                <w:rFonts w:hint="default"/>
                <w:color w:val="auto"/>
                <w:highlight w:val="none"/>
              </w:rPr>
              <w:t>——</w:t>
            </w:r>
            <w:r>
              <w:rPr>
                <w:rFonts w:hint="eastAsia"/>
                <w:color w:val="auto"/>
                <w:highlight w:val="none"/>
              </w:rPr>
              <w:t>室内j声源i倍频带的声压级，dB；</w:t>
            </w:r>
          </w:p>
          <w:p w14:paraId="62F080D8">
            <w:pPr>
              <w:pStyle w:val="18"/>
              <w:keepNext w:val="0"/>
              <w:keepLines w:val="0"/>
              <w:suppressLineNumbers w:val="0"/>
              <w:spacing w:before="0" w:beforeAutospacing="0" w:after="0" w:afterAutospacing="0"/>
              <w:ind w:left="0" w:right="0" w:firstLine="720" w:firstLineChars="300"/>
              <w:rPr>
                <w:rFonts w:hint="default"/>
                <w:color w:val="auto"/>
                <w:highlight w:val="none"/>
              </w:rPr>
            </w:pPr>
            <w:r>
              <w:rPr>
                <w:rFonts w:hint="default"/>
                <w:color w:val="auto"/>
                <w:highlight w:val="none"/>
              </w:rPr>
              <w:t>N——</w:t>
            </w:r>
            <w:r>
              <w:rPr>
                <w:rFonts w:hint="eastAsia"/>
                <w:color w:val="auto"/>
                <w:highlight w:val="none"/>
              </w:rPr>
              <w:t>室内声源总数。</w:t>
            </w:r>
          </w:p>
          <w:p w14:paraId="105E7470">
            <w:pPr>
              <w:pStyle w:val="18"/>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③</w:t>
            </w:r>
            <w:r>
              <w:rPr>
                <w:rFonts w:hint="eastAsia"/>
                <w:color w:val="auto"/>
                <w:highlight w:val="none"/>
              </w:rPr>
              <w:t>靠近室外围护结构处的声压级：</w:t>
            </w:r>
          </w:p>
          <w:p w14:paraId="0665E398">
            <w:pPr>
              <w:pStyle w:val="18"/>
              <w:keepNext w:val="0"/>
              <w:keepLines w:val="0"/>
              <w:suppressLineNumbers w:val="0"/>
              <w:spacing w:before="0" w:beforeAutospacing="0" w:after="0" w:afterAutospacing="0"/>
              <w:ind w:left="0" w:right="0" w:firstLine="0" w:firstLineChars="0"/>
              <w:jc w:val="center"/>
              <w:rPr>
                <w:rFonts w:hint="default" w:ascii="宋体"/>
                <w:color w:val="auto"/>
                <w:highlight w:val="none"/>
              </w:rPr>
            </w:pPr>
            <w:r>
              <w:rPr>
                <w:rFonts w:hint="default"/>
                <w:color w:val="auto"/>
                <w:highlight w:val="none"/>
              </w:rPr>
              <w:drawing>
                <wp:inline distT="0" distB="0" distL="114300" distR="114300">
                  <wp:extent cx="2295525" cy="346075"/>
                  <wp:effectExtent l="0" t="0" r="9525" b="1587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6" cstate="print"/>
                          <a:stretch>
                            <a:fillRect/>
                          </a:stretch>
                        </pic:blipFill>
                        <pic:spPr>
                          <a:xfrm>
                            <a:off x="0" y="0"/>
                            <a:ext cx="2295525" cy="346075"/>
                          </a:xfrm>
                          <a:prstGeom prst="rect">
                            <a:avLst/>
                          </a:prstGeom>
                          <a:noFill/>
                          <a:ln>
                            <a:noFill/>
                          </a:ln>
                        </pic:spPr>
                      </pic:pic>
                    </a:graphicData>
                  </a:graphic>
                </wp:inline>
              </w:drawing>
            </w:r>
          </w:p>
          <w:p w14:paraId="10E266A1">
            <w:pPr>
              <w:pStyle w:val="18"/>
              <w:keepNext w:val="0"/>
              <w:keepLines w:val="0"/>
              <w:suppressLineNumbers w:val="0"/>
              <w:spacing w:before="0" w:beforeAutospacing="0" w:after="0" w:afterAutospacing="0"/>
              <w:ind w:left="0" w:right="0" w:firstLine="0" w:firstLineChars="0"/>
              <w:rPr>
                <w:rFonts w:hint="default"/>
                <w:color w:val="auto"/>
                <w:highlight w:val="none"/>
              </w:rPr>
            </w:pPr>
            <w:r>
              <w:rPr>
                <w:rFonts w:hint="eastAsia"/>
                <w:color w:val="auto"/>
                <w:highlight w:val="none"/>
              </w:rPr>
              <w:t>式中：L</w:t>
            </w:r>
            <w:r>
              <w:rPr>
                <w:rFonts w:hint="default"/>
                <w:color w:val="auto"/>
                <w:highlight w:val="none"/>
                <w:vertAlign w:val="subscript"/>
              </w:rPr>
              <w:t>p2i</w:t>
            </w:r>
            <w:r>
              <w:rPr>
                <w:rFonts w:hint="eastAsia"/>
                <w:color w:val="auto"/>
                <w:highlight w:val="none"/>
              </w:rPr>
              <w:t>（T）——靠近围护结构处室外N个声源i倍频带的叠加声压级，dB；</w:t>
            </w:r>
          </w:p>
          <w:p w14:paraId="424407B1">
            <w:pPr>
              <w:pStyle w:val="18"/>
              <w:keepNext w:val="0"/>
              <w:keepLines w:val="0"/>
              <w:suppressLineNumbers w:val="0"/>
              <w:spacing w:before="0" w:beforeAutospacing="0" w:after="0" w:afterAutospacing="0"/>
              <w:ind w:left="0" w:right="0" w:firstLine="720" w:firstLineChars="300"/>
              <w:rPr>
                <w:rFonts w:hint="default"/>
                <w:color w:val="auto"/>
                <w:highlight w:val="none"/>
              </w:rPr>
            </w:pPr>
            <w:r>
              <w:rPr>
                <w:rFonts w:hint="default"/>
                <w:color w:val="auto"/>
                <w:highlight w:val="none"/>
              </w:rPr>
              <w:t>L</w:t>
            </w:r>
            <w:r>
              <w:rPr>
                <w:rFonts w:hint="default"/>
                <w:color w:val="auto"/>
                <w:highlight w:val="none"/>
                <w:vertAlign w:val="subscript"/>
              </w:rPr>
              <w:t>p1i</w:t>
            </w:r>
            <w:r>
              <w:rPr>
                <w:rFonts w:hint="eastAsia"/>
                <w:color w:val="auto"/>
                <w:highlight w:val="none"/>
              </w:rPr>
              <w:t>（T）——靠近围护结构处室内N个声源i倍频带的叠加声压级，dB；</w:t>
            </w:r>
          </w:p>
          <w:p w14:paraId="6E728789">
            <w:pPr>
              <w:pStyle w:val="18"/>
              <w:keepNext w:val="0"/>
              <w:keepLines w:val="0"/>
              <w:suppressLineNumbers w:val="0"/>
              <w:spacing w:before="0" w:beforeAutospacing="0" w:after="0" w:afterAutospacing="0"/>
              <w:ind w:left="0" w:right="0" w:firstLine="720" w:firstLineChars="300"/>
              <w:rPr>
                <w:rFonts w:hint="eastAsia"/>
                <w:color w:val="auto"/>
                <w:highlight w:val="none"/>
              </w:rPr>
            </w:pPr>
            <w:r>
              <w:rPr>
                <w:rFonts w:hint="default"/>
                <w:color w:val="auto"/>
                <w:highlight w:val="none"/>
              </w:rPr>
              <w:t>TLi——</w:t>
            </w:r>
            <w:r>
              <w:rPr>
                <w:rFonts w:hint="eastAsia"/>
                <w:color w:val="auto"/>
                <w:highlight w:val="none"/>
              </w:rPr>
              <w:t>围护结构i倍频带的隔声量，dB。</w:t>
            </w:r>
          </w:p>
          <w:p w14:paraId="43D69EFA">
            <w:pPr>
              <w:pStyle w:val="29"/>
              <w:snapToGrid w:val="0"/>
              <w:spacing w:after="0"/>
              <w:jc w:val="center"/>
              <w:rPr>
                <w:color w:val="auto"/>
                <w:highlight w:val="none"/>
              </w:rPr>
            </w:pPr>
            <w:r>
              <w:rPr>
                <w:color w:val="auto"/>
                <w:highlight w:val="none"/>
              </w:rPr>
              <w:drawing>
                <wp:inline distT="0" distB="0" distL="114300" distR="114300">
                  <wp:extent cx="2014220" cy="1078230"/>
                  <wp:effectExtent l="0" t="0" r="5080" b="7620"/>
                  <wp:docPr id="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6"/>
                          <pic:cNvPicPr>
                            <a:picLocks noChangeAspect="1"/>
                          </pic:cNvPicPr>
                        </pic:nvPicPr>
                        <pic:blipFill>
                          <a:blip r:embed="rId27"/>
                          <a:stretch>
                            <a:fillRect/>
                          </a:stretch>
                        </pic:blipFill>
                        <pic:spPr>
                          <a:xfrm>
                            <a:off x="0" y="0"/>
                            <a:ext cx="2014220" cy="1078230"/>
                          </a:xfrm>
                          <a:prstGeom prst="rect">
                            <a:avLst/>
                          </a:prstGeom>
                          <a:noFill/>
                          <a:ln>
                            <a:noFill/>
                          </a:ln>
                        </pic:spPr>
                      </pic:pic>
                    </a:graphicData>
                  </a:graphic>
                </wp:inline>
              </w:drawing>
            </w:r>
          </w:p>
          <w:p w14:paraId="21ECC011">
            <w:pPr>
              <w:pStyle w:val="9"/>
              <w:snapToGrid w:val="0"/>
              <w:spacing w:after="0"/>
              <w:jc w:val="center"/>
              <w:rPr>
                <w:rFonts w:hint="eastAsia" w:eastAsia="黑体"/>
                <w:color w:val="auto"/>
                <w:highlight w:val="none"/>
                <w:lang w:val="en-US" w:eastAsia="zh-CN"/>
              </w:rPr>
            </w:pPr>
            <w:r>
              <w:rPr>
                <w:color w:val="auto"/>
                <w:highlight w:val="none"/>
              </w:rPr>
              <w:t>图4-</w:t>
            </w:r>
            <w:r>
              <w:rPr>
                <w:color w:val="auto"/>
                <w:highlight w:val="none"/>
              </w:rPr>
              <w:fldChar w:fldCharType="begin"/>
            </w:r>
            <w:r>
              <w:rPr>
                <w:color w:val="auto"/>
                <w:highlight w:val="none"/>
              </w:rPr>
              <w:instrText xml:space="preserve"> SEQ 图4- \* ARABIC </w:instrText>
            </w:r>
            <w:r>
              <w:rPr>
                <w:color w:val="auto"/>
                <w:highlight w:val="none"/>
              </w:rPr>
              <w:fldChar w:fldCharType="separate"/>
            </w:r>
            <w:r>
              <w:rPr>
                <w:color w:val="auto"/>
                <w:highlight w:val="none"/>
              </w:rPr>
              <w:t>1</w:t>
            </w:r>
            <w:r>
              <w:rPr>
                <w:color w:val="auto"/>
                <w:highlight w:val="none"/>
              </w:rPr>
              <w:fldChar w:fldCharType="end"/>
            </w:r>
            <w:r>
              <w:rPr>
                <w:rFonts w:hint="eastAsia"/>
                <w:color w:val="auto"/>
                <w:highlight w:val="none"/>
                <w:lang w:val="en-US" w:eastAsia="zh-CN"/>
              </w:rPr>
              <w:t xml:space="preserve"> 室内声源等效为室外声源图例</w:t>
            </w:r>
          </w:p>
          <w:p w14:paraId="7E652613">
            <w:pPr>
              <w:pStyle w:val="18"/>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④</w:t>
            </w:r>
            <w:r>
              <w:rPr>
                <w:rFonts w:hint="eastAsia"/>
                <w:color w:val="auto"/>
                <w:highlight w:val="none"/>
              </w:rPr>
              <w:t>将室外声源的声压级和透过面积换算成等效的室外声源，计算出中心位置位于透声面积（S）处的等效声源的倍频带声功率级。</w:t>
            </w:r>
          </w:p>
          <w:p w14:paraId="2CA378FD">
            <w:pPr>
              <w:pStyle w:val="18"/>
              <w:keepNext w:val="0"/>
              <w:keepLines w:val="0"/>
              <w:suppressLineNumbers w:val="0"/>
              <w:spacing w:before="0" w:beforeAutospacing="0" w:after="0" w:afterAutospacing="0"/>
              <w:ind w:left="0" w:right="0"/>
              <w:jc w:val="center"/>
              <w:rPr>
                <w:rFonts w:hint="default" w:ascii="宋体" w:hAnsi="宋体"/>
                <w:color w:val="auto"/>
                <w:highlight w:val="none"/>
              </w:rPr>
            </w:pPr>
            <w:r>
              <w:rPr>
                <w:rFonts w:hint="default"/>
                <w:color w:val="auto"/>
                <w:highlight w:val="none"/>
              </w:rPr>
              <w:drawing>
                <wp:inline distT="0" distB="0" distL="114300" distR="114300">
                  <wp:extent cx="2140585" cy="375920"/>
                  <wp:effectExtent l="0" t="0" r="12065" b="508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28" cstate="print"/>
                          <a:stretch>
                            <a:fillRect/>
                          </a:stretch>
                        </pic:blipFill>
                        <pic:spPr>
                          <a:xfrm>
                            <a:off x="0" y="0"/>
                            <a:ext cx="2140585" cy="375920"/>
                          </a:xfrm>
                          <a:prstGeom prst="rect">
                            <a:avLst/>
                          </a:prstGeom>
                          <a:noFill/>
                          <a:ln>
                            <a:noFill/>
                          </a:ln>
                        </pic:spPr>
                      </pic:pic>
                    </a:graphicData>
                  </a:graphic>
                </wp:inline>
              </w:drawing>
            </w:r>
          </w:p>
          <w:p w14:paraId="2BE13F5E">
            <w:pPr>
              <w:pStyle w:val="18"/>
              <w:keepNext w:val="0"/>
              <w:keepLines w:val="0"/>
              <w:suppressLineNumbers w:val="0"/>
              <w:spacing w:before="0" w:beforeAutospacing="0" w:after="0" w:afterAutospacing="0"/>
              <w:ind w:left="0" w:right="0" w:firstLine="0" w:firstLineChars="0"/>
              <w:rPr>
                <w:rFonts w:hint="default"/>
                <w:color w:val="auto"/>
                <w:highlight w:val="none"/>
              </w:rPr>
            </w:pPr>
            <w:r>
              <w:rPr>
                <w:rFonts w:hint="eastAsia"/>
                <w:color w:val="auto"/>
                <w:highlight w:val="none"/>
              </w:rPr>
              <w:t>式中：</w:t>
            </w:r>
            <w:r>
              <w:rPr>
                <w:rFonts w:hint="default"/>
                <w:color w:val="auto"/>
                <w:highlight w:val="none"/>
              </w:rPr>
              <w:t>L</w:t>
            </w:r>
            <w:r>
              <w:rPr>
                <w:rFonts w:hint="default"/>
                <w:color w:val="auto"/>
                <w:highlight w:val="none"/>
                <w:vertAlign w:val="subscript"/>
              </w:rPr>
              <w:t>w</w:t>
            </w:r>
            <w:r>
              <w:rPr>
                <w:rFonts w:hint="default"/>
                <w:color w:val="auto"/>
                <w:highlight w:val="none"/>
              </w:rPr>
              <w:t>——</w:t>
            </w:r>
            <w:r>
              <w:rPr>
                <w:rFonts w:hint="eastAsia"/>
                <w:color w:val="auto"/>
                <w:highlight w:val="none"/>
              </w:rPr>
              <w:t>中心位置位于透声面积（</w:t>
            </w:r>
            <w:r>
              <w:rPr>
                <w:rFonts w:hint="default"/>
                <w:color w:val="auto"/>
                <w:highlight w:val="none"/>
              </w:rPr>
              <w:t>S</w:t>
            </w:r>
            <w:r>
              <w:rPr>
                <w:rFonts w:hint="eastAsia"/>
                <w:color w:val="auto"/>
                <w:highlight w:val="none"/>
              </w:rPr>
              <w:t>）处的等效声源的倍频带声功率级，</w:t>
            </w:r>
            <w:r>
              <w:rPr>
                <w:rFonts w:hint="default"/>
                <w:color w:val="auto"/>
                <w:highlight w:val="none"/>
              </w:rPr>
              <w:t>dB</w:t>
            </w:r>
            <w:r>
              <w:rPr>
                <w:rFonts w:hint="eastAsia"/>
                <w:color w:val="auto"/>
                <w:highlight w:val="none"/>
              </w:rPr>
              <w:t>；</w:t>
            </w:r>
          </w:p>
          <w:p w14:paraId="23AE9BC0">
            <w:pPr>
              <w:pStyle w:val="18"/>
              <w:keepNext w:val="0"/>
              <w:keepLines w:val="0"/>
              <w:suppressLineNumbers w:val="0"/>
              <w:spacing w:before="0" w:beforeAutospacing="0" w:after="0" w:afterAutospacing="0"/>
              <w:ind w:left="0" w:right="0" w:firstLine="720" w:firstLineChars="300"/>
              <w:rPr>
                <w:rFonts w:hint="default"/>
                <w:color w:val="auto"/>
                <w:highlight w:val="none"/>
              </w:rPr>
            </w:pPr>
            <w:r>
              <w:rPr>
                <w:rFonts w:hint="default"/>
                <w:color w:val="auto"/>
                <w:highlight w:val="none"/>
              </w:rPr>
              <w:t>L</w:t>
            </w:r>
            <w:r>
              <w:rPr>
                <w:rFonts w:hint="default"/>
                <w:color w:val="auto"/>
                <w:highlight w:val="none"/>
                <w:vertAlign w:val="subscript"/>
              </w:rPr>
              <w:t>p2</w:t>
            </w:r>
            <w:r>
              <w:rPr>
                <w:rFonts w:hint="eastAsia"/>
                <w:color w:val="auto"/>
                <w:highlight w:val="none"/>
              </w:rPr>
              <w:t>（</w:t>
            </w:r>
            <w:r>
              <w:rPr>
                <w:rFonts w:hint="default"/>
                <w:color w:val="auto"/>
                <w:highlight w:val="none"/>
              </w:rPr>
              <w:t>T</w:t>
            </w:r>
            <w:r>
              <w:rPr>
                <w:rFonts w:hint="eastAsia"/>
                <w:color w:val="auto"/>
                <w:highlight w:val="none"/>
              </w:rPr>
              <w:t>）</w:t>
            </w:r>
            <w:r>
              <w:rPr>
                <w:rFonts w:hint="default"/>
                <w:color w:val="auto"/>
                <w:highlight w:val="none"/>
              </w:rPr>
              <w:t>——</w:t>
            </w:r>
            <w:r>
              <w:rPr>
                <w:rFonts w:hint="eastAsia"/>
                <w:color w:val="auto"/>
                <w:highlight w:val="none"/>
              </w:rPr>
              <w:t>靠近围护结构处室外声源的声压级，</w:t>
            </w:r>
            <w:r>
              <w:rPr>
                <w:rFonts w:hint="default"/>
                <w:color w:val="auto"/>
                <w:highlight w:val="none"/>
              </w:rPr>
              <w:t>dB</w:t>
            </w:r>
            <w:r>
              <w:rPr>
                <w:rFonts w:hint="eastAsia"/>
                <w:color w:val="auto"/>
                <w:highlight w:val="none"/>
              </w:rPr>
              <w:t>；</w:t>
            </w:r>
          </w:p>
          <w:p w14:paraId="555E27AB">
            <w:pPr>
              <w:pStyle w:val="18"/>
              <w:keepNext w:val="0"/>
              <w:keepLines w:val="0"/>
              <w:suppressLineNumbers w:val="0"/>
              <w:spacing w:before="0" w:beforeAutospacing="0" w:after="0" w:afterAutospacing="0"/>
              <w:ind w:left="0" w:right="0" w:firstLine="720" w:firstLineChars="300"/>
              <w:rPr>
                <w:rFonts w:hint="default"/>
                <w:color w:val="auto"/>
                <w:highlight w:val="none"/>
              </w:rPr>
            </w:pPr>
            <w:r>
              <w:rPr>
                <w:rFonts w:hint="default"/>
                <w:color w:val="auto"/>
                <w:highlight w:val="none"/>
              </w:rPr>
              <w:t>S——</w:t>
            </w:r>
            <w:r>
              <w:rPr>
                <w:rFonts w:hint="eastAsia"/>
                <w:color w:val="auto"/>
                <w:highlight w:val="none"/>
              </w:rPr>
              <w:t>透声面积，m</w:t>
            </w:r>
            <w:r>
              <w:rPr>
                <w:rFonts w:hint="eastAsia"/>
                <w:color w:val="auto"/>
                <w:highlight w:val="none"/>
                <w:vertAlign w:val="superscript"/>
              </w:rPr>
              <w:t>2</w:t>
            </w:r>
            <w:r>
              <w:rPr>
                <w:rFonts w:hint="eastAsia"/>
                <w:color w:val="auto"/>
                <w:highlight w:val="none"/>
              </w:rPr>
              <w:t>，以厂房侧面积计。</w:t>
            </w:r>
          </w:p>
          <w:p w14:paraId="0DB6DE1B">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color w:val="auto"/>
                <w:highlight w:val="none"/>
              </w:rPr>
            </w:pPr>
            <w:r>
              <w:rPr>
                <w:rFonts w:hint="eastAsia"/>
                <w:color w:val="auto"/>
                <w:highlight w:val="none"/>
              </w:rPr>
              <w:t>⑤按室外声源预测方法计算厂界</w:t>
            </w:r>
            <w:r>
              <w:rPr>
                <w:rFonts w:hint="default"/>
                <w:color w:val="auto"/>
                <w:highlight w:val="none"/>
              </w:rPr>
              <w:t>A</w:t>
            </w:r>
            <w:r>
              <w:rPr>
                <w:rFonts w:hint="eastAsia"/>
                <w:color w:val="auto"/>
                <w:highlight w:val="none"/>
              </w:rPr>
              <w:t>声级。</w:t>
            </w:r>
          </w:p>
          <w:p w14:paraId="7051FDAB">
            <w:pPr>
              <w:pStyle w:val="18"/>
              <w:keepNext w:val="0"/>
              <w:keepLines w:val="0"/>
              <w:suppressLineNumbers w:val="0"/>
              <w:wordWrap w:val="0"/>
              <w:spacing w:before="0" w:beforeAutospacing="0" w:after="0" w:afterAutospacing="0"/>
              <w:ind w:left="0" w:right="0"/>
              <w:rPr>
                <w:rFonts w:hint="eastAsia"/>
                <w:color w:val="auto"/>
                <w:highlight w:val="none"/>
              </w:rPr>
            </w:pPr>
            <w:r>
              <w:rPr>
                <w:rFonts w:hint="eastAsia"/>
                <w:color w:val="auto"/>
                <w:highlight w:val="none"/>
              </w:rPr>
              <w:t>根据《环境影响评价技术导则 声环境》（</w:t>
            </w:r>
            <w:r>
              <w:rPr>
                <w:rFonts w:hint="default"/>
                <w:color w:val="auto"/>
                <w:highlight w:val="none"/>
              </w:rPr>
              <w:t>HJ2.4-2021</w:t>
            </w:r>
            <w:r>
              <w:rPr>
                <w:rFonts w:hint="eastAsia"/>
                <w:color w:val="auto"/>
                <w:highlight w:val="none"/>
              </w:rPr>
              <w:t>）</w:t>
            </w:r>
            <w:r>
              <w:rPr>
                <w:rFonts w:hint="eastAsia"/>
                <w:color w:val="auto"/>
                <w:highlight w:val="none"/>
                <w:lang w:eastAsia="zh-CN"/>
              </w:rPr>
              <w:t>，</w:t>
            </w:r>
            <w:r>
              <w:rPr>
                <w:rFonts w:hint="eastAsia"/>
                <w:color w:val="auto"/>
                <w:highlight w:val="none"/>
              </w:rPr>
              <w:t>户外声传播衰减包括几何发散（Adiv）、大气吸收（Aatm）、地面效应（Agr）、障碍物屏蔽（Abar）、其他多方面效应（Amisc）引起的衰减。</w:t>
            </w:r>
          </w:p>
          <w:p w14:paraId="70C41776">
            <w:pPr>
              <w:pStyle w:val="18"/>
              <w:keepNext w:val="0"/>
              <w:keepLines w:val="0"/>
              <w:suppressLineNumbers w:val="0"/>
              <w:spacing w:before="0" w:beforeAutospacing="0" w:after="0" w:afterAutospacing="0"/>
              <w:ind w:left="0" w:right="0" w:firstLine="468"/>
              <w:rPr>
                <w:rFonts w:hint="default"/>
                <w:color w:val="auto"/>
                <w:highlight w:val="none"/>
              </w:rPr>
            </w:pPr>
            <w:r>
              <w:rPr>
                <w:rFonts w:hint="default"/>
                <w:color w:val="auto"/>
                <w:spacing w:val="-3"/>
                <w:highlight w:val="none"/>
              </w:rPr>
              <w:t>户外传播衰减计算公式如下：</w:t>
            </w:r>
          </w:p>
          <w:p w14:paraId="033184C0">
            <w:pPr>
              <w:pStyle w:val="18"/>
              <w:keepNext w:val="0"/>
              <w:keepLines w:val="0"/>
              <w:suppressLineNumbers w:val="0"/>
              <w:spacing w:before="0" w:beforeAutospacing="0" w:after="0" w:afterAutospacing="0"/>
              <w:ind w:left="0" w:right="0"/>
              <w:jc w:val="center"/>
              <w:rPr>
                <w:rFonts w:hint="default"/>
                <w:color w:val="auto"/>
                <w:highlight w:val="none"/>
              </w:rPr>
            </w:pPr>
            <w:r>
              <w:rPr>
                <w:rFonts w:hint="default"/>
                <w:color w:val="auto"/>
                <w:highlight w:val="none"/>
              </w:rPr>
              <w:drawing>
                <wp:inline distT="0" distB="0" distL="114300" distR="114300">
                  <wp:extent cx="4567555" cy="360045"/>
                  <wp:effectExtent l="0" t="0" r="4445" b="190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9"/>
                          <a:stretch>
                            <a:fillRect/>
                          </a:stretch>
                        </pic:blipFill>
                        <pic:spPr>
                          <a:xfrm>
                            <a:off x="0" y="0"/>
                            <a:ext cx="4567555" cy="360045"/>
                          </a:xfrm>
                          <a:prstGeom prst="rect">
                            <a:avLst/>
                          </a:prstGeom>
                          <a:noFill/>
                          <a:ln>
                            <a:noFill/>
                          </a:ln>
                        </pic:spPr>
                      </pic:pic>
                    </a:graphicData>
                  </a:graphic>
                </wp:inline>
              </w:drawing>
            </w:r>
          </w:p>
          <w:p w14:paraId="42B623BE">
            <w:pPr>
              <w:pStyle w:val="18"/>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式中：</w:t>
            </w:r>
            <w:r>
              <w:rPr>
                <w:rFonts w:hint="default"/>
                <w:i/>
                <w:iCs/>
                <w:color w:val="auto"/>
                <w:highlight w:val="none"/>
              </w:rPr>
              <w:t>L</w:t>
            </w:r>
            <w:r>
              <w:rPr>
                <w:rFonts w:hint="default"/>
                <w:i/>
                <w:iCs/>
                <w:color w:val="auto"/>
                <w:highlight w:val="none"/>
                <w:vertAlign w:val="subscript"/>
              </w:rPr>
              <w:t>p</w:t>
            </w:r>
            <w:r>
              <w:rPr>
                <w:rFonts w:hint="default"/>
                <w:color w:val="auto"/>
                <w:highlight w:val="none"/>
              </w:rPr>
              <w:t>(</w:t>
            </w:r>
            <w:r>
              <w:rPr>
                <w:rFonts w:hint="default"/>
                <w:i/>
                <w:iCs/>
                <w:color w:val="auto"/>
                <w:highlight w:val="none"/>
              </w:rPr>
              <w:t>r</w:t>
            </w:r>
            <w:r>
              <w:rPr>
                <w:rFonts w:hint="default"/>
                <w:color w:val="auto"/>
                <w:highlight w:val="none"/>
              </w:rPr>
              <w:t>)——预测点处声压级，dB；</w:t>
            </w:r>
          </w:p>
          <w:p w14:paraId="6B64FF53">
            <w:pPr>
              <w:pStyle w:val="18"/>
              <w:keepNext w:val="0"/>
              <w:keepLines w:val="0"/>
              <w:suppressLineNumbers w:val="0"/>
              <w:spacing w:before="0" w:beforeAutospacing="0" w:after="0" w:afterAutospacing="0"/>
              <w:ind w:left="0" w:right="0" w:firstLine="1200" w:firstLineChars="500"/>
              <w:rPr>
                <w:rFonts w:hint="default"/>
                <w:color w:val="auto"/>
                <w:highlight w:val="none"/>
              </w:rPr>
            </w:pPr>
            <w:r>
              <w:rPr>
                <w:rFonts w:hint="default"/>
                <w:i/>
                <w:iCs/>
                <w:color w:val="auto"/>
                <w:highlight w:val="none"/>
              </w:rPr>
              <w:t>L</w:t>
            </w:r>
            <w:r>
              <w:rPr>
                <w:rFonts w:hint="default"/>
                <w:i/>
                <w:iCs/>
                <w:color w:val="auto"/>
                <w:highlight w:val="none"/>
                <w:vertAlign w:val="subscript"/>
              </w:rPr>
              <w:t>w</w:t>
            </w:r>
            <w:r>
              <w:rPr>
                <w:rFonts w:hint="default"/>
                <w:color w:val="auto"/>
                <w:highlight w:val="none"/>
              </w:rPr>
              <w:t>——由点声源产生的声功率级（A计权或倍频带），dB；</w:t>
            </w:r>
          </w:p>
          <w:p w14:paraId="36F11CE2">
            <w:pPr>
              <w:pStyle w:val="18"/>
              <w:keepNext w:val="0"/>
              <w:keepLines w:val="0"/>
              <w:suppressLineNumbers w:val="0"/>
              <w:spacing w:before="0" w:beforeAutospacing="0" w:after="0" w:afterAutospacing="0"/>
              <w:ind w:left="0" w:right="0" w:firstLine="1200" w:firstLineChars="500"/>
              <w:rPr>
                <w:rFonts w:hint="default"/>
                <w:color w:val="auto"/>
                <w:highlight w:val="none"/>
              </w:rPr>
            </w:pPr>
            <w:r>
              <w:rPr>
                <w:rFonts w:hint="default"/>
                <w:i/>
                <w:iCs/>
                <w:color w:val="auto"/>
                <w:highlight w:val="none"/>
              </w:rPr>
              <w:t>Dc</w:t>
            </w:r>
            <w:r>
              <w:rPr>
                <w:rFonts w:hint="default"/>
                <w:color w:val="auto"/>
                <w:highlight w:val="none"/>
              </w:rPr>
              <w:t>——指向性校正描述点声源的等效连续声压级与</w:t>
            </w:r>
            <w:r>
              <w:rPr>
                <w:rFonts w:hint="eastAsia"/>
                <w:color w:val="auto"/>
                <w:highlight w:val="none"/>
              </w:rPr>
              <w:t>产</w:t>
            </w:r>
            <w:r>
              <w:rPr>
                <w:rFonts w:hint="default"/>
                <w:color w:val="auto"/>
                <w:highlight w:val="none"/>
              </w:rPr>
              <w:t>生声功率级</w:t>
            </w:r>
            <w:r>
              <w:rPr>
                <w:rFonts w:hint="default"/>
                <w:i/>
                <w:iCs/>
                <w:color w:val="auto"/>
                <w:highlight w:val="none"/>
              </w:rPr>
              <w:t>L</w:t>
            </w:r>
            <w:r>
              <w:rPr>
                <w:rFonts w:hint="default"/>
                <w:i/>
                <w:iCs/>
                <w:color w:val="auto"/>
                <w:highlight w:val="none"/>
                <w:vertAlign w:val="subscript"/>
              </w:rPr>
              <w:t>w</w:t>
            </w:r>
            <w:r>
              <w:rPr>
                <w:rFonts w:hint="default"/>
                <w:color w:val="auto"/>
                <w:highlight w:val="none"/>
              </w:rPr>
              <w:t>的全向点声源在规定方向的声级的偏差程度，dB；</w:t>
            </w:r>
          </w:p>
          <w:p w14:paraId="0F86F2FD">
            <w:pPr>
              <w:pStyle w:val="18"/>
              <w:keepNext w:val="0"/>
              <w:keepLines w:val="0"/>
              <w:suppressLineNumbers w:val="0"/>
              <w:spacing w:before="0" w:beforeAutospacing="0" w:after="0" w:afterAutospacing="0"/>
              <w:ind w:left="0" w:right="0" w:firstLine="1200" w:firstLineChars="500"/>
              <w:rPr>
                <w:rFonts w:hint="default"/>
                <w:color w:val="auto"/>
                <w:highlight w:val="none"/>
              </w:rPr>
            </w:pPr>
            <w:r>
              <w:rPr>
                <w:rFonts w:hint="default"/>
                <w:i/>
                <w:iCs/>
                <w:color w:val="auto"/>
                <w:highlight w:val="none"/>
              </w:rPr>
              <w:t>A</w:t>
            </w:r>
            <w:r>
              <w:rPr>
                <w:rFonts w:hint="default"/>
                <w:i/>
                <w:iCs/>
                <w:color w:val="auto"/>
                <w:highlight w:val="none"/>
                <w:vertAlign w:val="subscript"/>
              </w:rPr>
              <w:t>div</w:t>
            </w:r>
            <w:r>
              <w:rPr>
                <w:rFonts w:hint="default"/>
                <w:color w:val="auto"/>
                <w:highlight w:val="none"/>
              </w:rPr>
              <w:t>——几何发散引起的衰减，dB；</w:t>
            </w:r>
          </w:p>
          <w:p w14:paraId="741B245C">
            <w:pPr>
              <w:pStyle w:val="18"/>
              <w:keepNext w:val="0"/>
              <w:keepLines w:val="0"/>
              <w:suppressLineNumbers w:val="0"/>
              <w:spacing w:before="0" w:beforeAutospacing="0" w:after="0" w:afterAutospacing="0"/>
              <w:ind w:left="0" w:right="0" w:firstLine="1200" w:firstLineChars="500"/>
              <w:rPr>
                <w:rFonts w:hint="default"/>
                <w:color w:val="auto"/>
                <w:highlight w:val="none"/>
              </w:rPr>
            </w:pPr>
            <w:r>
              <w:rPr>
                <w:rFonts w:hint="default"/>
                <w:i/>
                <w:iCs/>
                <w:color w:val="auto"/>
                <w:highlight w:val="none"/>
              </w:rPr>
              <w:t>A</w:t>
            </w:r>
            <w:r>
              <w:rPr>
                <w:rFonts w:hint="default"/>
                <w:i/>
                <w:iCs/>
                <w:color w:val="auto"/>
                <w:highlight w:val="none"/>
                <w:vertAlign w:val="subscript"/>
              </w:rPr>
              <w:t>atm</w:t>
            </w:r>
            <w:r>
              <w:rPr>
                <w:rFonts w:hint="default"/>
                <w:color w:val="auto"/>
                <w:highlight w:val="none"/>
              </w:rPr>
              <w:t>——空大气吸收引起的衰减，dB；</w:t>
            </w:r>
          </w:p>
          <w:p w14:paraId="2603F4B9">
            <w:pPr>
              <w:pStyle w:val="18"/>
              <w:keepNext w:val="0"/>
              <w:keepLines w:val="0"/>
              <w:suppressLineNumbers w:val="0"/>
              <w:spacing w:before="0" w:beforeAutospacing="0" w:after="0" w:afterAutospacing="0"/>
              <w:ind w:left="0" w:right="0" w:firstLine="1200" w:firstLineChars="500"/>
              <w:rPr>
                <w:rFonts w:hint="default"/>
                <w:color w:val="auto"/>
                <w:highlight w:val="none"/>
              </w:rPr>
            </w:pPr>
            <w:r>
              <w:rPr>
                <w:rFonts w:hint="default"/>
                <w:i/>
                <w:iCs/>
                <w:color w:val="auto"/>
                <w:highlight w:val="none"/>
              </w:rPr>
              <w:t>A</w:t>
            </w:r>
            <w:r>
              <w:rPr>
                <w:rFonts w:hint="default"/>
                <w:i/>
                <w:iCs/>
                <w:color w:val="auto"/>
                <w:highlight w:val="none"/>
                <w:vertAlign w:val="subscript"/>
              </w:rPr>
              <w:t>gr</w:t>
            </w:r>
            <w:r>
              <w:rPr>
                <w:rFonts w:hint="default"/>
                <w:color w:val="auto"/>
                <w:highlight w:val="none"/>
              </w:rPr>
              <w:t>——地面效应引起的衰减，dB；</w:t>
            </w:r>
          </w:p>
          <w:p w14:paraId="142FBB64">
            <w:pPr>
              <w:pStyle w:val="18"/>
              <w:keepNext w:val="0"/>
              <w:keepLines w:val="0"/>
              <w:suppressLineNumbers w:val="0"/>
              <w:spacing w:before="0" w:beforeAutospacing="0" w:after="0" w:afterAutospacing="0"/>
              <w:ind w:left="0" w:right="0" w:firstLine="1200" w:firstLineChars="500"/>
              <w:rPr>
                <w:rFonts w:hint="default"/>
                <w:color w:val="auto"/>
                <w:highlight w:val="none"/>
              </w:rPr>
            </w:pPr>
            <w:r>
              <w:rPr>
                <w:rFonts w:hint="default"/>
                <w:i/>
                <w:iCs/>
                <w:color w:val="auto"/>
                <w:highlight w:val="none"/>
              </w:rPr>
              <w:t>A</w:t>
            </w:r>
            <w:r>
              <w:rPr>
                <w:rFonts w:hint="default"/>
                <w:i/>
                <w:iCs/>
                <w:color w:val="auto"/>
                <w:highlight w:val="none"/>
                <w:vertAlign w:val="subscript"/>
              </w:rPr>
              <w:t>bar</w:t>
            </w:r>
            <w:r>
              <w:rPr>
                <w:rFonts w:hint="default"/>
                <w:color w:val="auto"/>
                <w:highlight w:val="none"/>
              </w:rPr>
              <w:t>——障碍物屏蔽引起的衰减，dB；</w:t>
            </w:r>
          </w:p>
          <w:p w14:paraId="43F8BE46">
            <w:pPr>
              <w:pStyle w:val="18"/>
              <w:keepNext w:val="0"/>
              <w:keepLines w:val="0"/>
              <w:suppressLineNumbers w:val="0"/>
              <w:spacing w:before="0" w:beforeAutospacing="0" w:after="0" w:afterAutospacing="0"/>
              <w:ind w:left="0" w:right="0" w:firstLine="1200" w:firstLineChars="500"/>
              <w:rPr>
                <w:rFonts w:hint="default"/>
                <w:color w:val="auto"/>
                <w:highlight w:val="none"/>
              </w:rPr>
            </w:pPr>
            <w:r>
              <w:rPr>
                <w:rFonts w:hint="default"/>
                <w:i/>
                <w:iCs/>
                <w:color w:val="auto"/>
                <w:highlight w:val="none"/>
              </w:rPr>
              <w:t>A</w:t>
            </w:r>
            <w:r>
              <w:rPr>
                <w:rFonts w:hint="default"/>
                <w:i/>
                <w:iCs/>
                <w:color w:val="auto"/>
                <w:highlight w:val="none"/>
                <w:vertAlign w:val="subscript"/>
              </w:rPr>
              <w:t>misc</w:t>
            </w:r>
            <w:r>
              <w:rPr>
                <w:rFonts w:hint="default"/>
                <w:color w:val="auto"/>
                <w:highlight w:val="none"/>
              </w:rPr>
              <w:t>——其他多方面效应引起的衰减，dB。</w:t>
            </w:r>
          </w:p>
          <w:p w14:paraId="2E64821B">
            <w:pPr>
              <w:pStyle w:val="18"/>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rPr>
              <w:t>根据工程所在地的地形特征，忽略温度、湿度、大气非均匀性与不稳定性以及地面效应引起的衰减，忽略</w:t>
            </w:r>
            <w:r>
              <w:rPr>
                <w:rFonts w:hint="eastAsia"/>
                <w:i/>
                <w:iCs/>
                <w:color w:val="auto"/>
                <w:highlight w:val="none"/>
              </w:rPr>
              <w:t>A</w:t>
            </w:r>
            <w:r>
              <w:rPr>
                <w:rFonts w:hint="eastAsia"/>
                <w:i/>
                <w:iCs/>
                <w:color w:val="auto"/>
                <w:highlight w:val="none"/>
                <w:vertAlign w:val="subscript"/>
              </w:rPr>
              <w:t>atm</w:t>
            </w:r>
            <w:r>
              <w:rPr>
                <w:rFonts w:hint="eastAsia"/>
                <w:color w:val="auto"/>
                <w:highlight w:val="none"/>
              </w:rPr>
              <w:t>、</w:t>
            </w:r>
            <w:r>
              <w:rPr>
                <w:rFonts w:hint="eastAsia"/>
                <w:i/>
                <w:iCs/>
                <w:color w:val="auto"/>
                <w:highlight w:val="none"/>
              </w:rPr>
              <w:t>A</w:t>
            </w:r>
            <w:r>
              <w:rPr>
                <w:rFonts w:hint="eastAsia"/>
                <w:i/>
                <w:iCs/>
                <w:color w:val="auto"/>
                <w:highlight w:val="none"/>
                <w:vertAlign w:val="subscript"/>
              </w:rPr>
              <w:t>gr</w:t>
            </w:r>
            <w:r>
              <w:rPr>
                <w:rFonts w:hint="eastAsia"/>
                <w:color w:val="auto"/>
                <w:highlight w:val="none"/>
              </w:rPr>
              <w:t>和</w:t>
            </w:r>
            <w:r>
              <w:rPr>
                <w:rFonts w:hint="eastAsia"/>
                <w:i/>
                <w:iCs/>
                <w:color w:val="auto"/>
                <w:highlight w:val="none"/>
              </w:rPr>
              <w:t>A</w:t>
            </w:r>
            <w:r>
              <w:rPr>
                <w:rFonts w:hint="eastAsia"/>
                <w:i/>
                <w:iCs/>
                <w:color w:val="auto"/>
                <w:highlight w:val="none"/>
                <w:vertAlign w:val="subscript"/>
              </w:rPr>
              <w:t>misc</w:t>
            </w:r>
            <w:r>
              <w:rPr>
                <w:rFonts w:hint="eastAsia"/>
                <w:color w:val="auto"/>
                <w:highlight w:val="none"/>
              </w:rPr>
              <w:t>。主要考虑距离衰减和声屏障引起噪声衰减。</w:t>
            </w:r>
          </w:p>
          <w:p w14:paraId="12B7927C">
            <w:pPr>
              <w:pStyle w:val="18"/>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点声源几何发散衰减：如果声源处于半自由声场，则计算方法为：</w:t>
            </w:r>
          </w:p>
          <w:p w14:paraId="78796C7C">
            <w:pPr>
              <w:pStyle w:val="18"/>
              <w:keepNext w:val="0"/>
              <w:keepLines w:val="0"/>
              <w:suppressLineNumbers w:val="0"/>
              <w:spacing w:before="0" w:beforeAutospacing="0" w:after="0" w:afterAutospacing="0"/>
              <w:ind w:left="0" w:right="0" w:firstLine="0" w:firstLineChars="0"/>
              <w:jc w:val="center"/>
              <w:rPr>
                <w:rFonts w:hint="default"/>
                <w:color w:val="auto"/>
                <w:highlight w:val="none"/>
              </w:rPr>
            </w:pPr>
            <w:r>
              <w:rPr>
                <w:rFonts w:hint="default"/>
                <w:color w:val="auto"/>
                <w:highlight w:val="none"/>
              </w:rPr>
              <w:drawing>
                <wp:inline distT="0" distB="0" distL="114300" distR="114300">
                  <wp:extent cx="1978025" cy="320675"/>
                  <wp:effectExtent l="0" t="0" r="3175" b="317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30"/>
                          <a:stretch>
                            <a:fillRect/>
                          </a:stretch>
                        </pic:blipFill>
                        <pic:spPr>
                          <a:xfrm>
                            <a:off x="0" y="0"/>
                            <a:ext cx="1978025" cy="320675"/>
                          </a:xfrm>
                          <a:prstGeom prst="rect">
                            <a:avLst/>
                          </a:prstGeom>
                          <a:noFill/>
                          <a:ln>
                            <a:noFill/>
                          </a:ln>
                        </pic:spPr>
                      </pic:pic>
                    </a:graphicData>
                  </a:graphic>
                </wp:inline>
              </w:drawing>
            </w:r>
          </w:p>
          <w:p w14:paraId="047DBDDC">
            <w:pPr>
              <w:pStyle w:val="18"/>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式中：</w:t>
            </w:r>
            <w:r>
              <w:rPr>
                <w:rFonts w:hint="default"/>
                <w:i/>
                <w:iCs/>
                <w:color w:val="auto"/>
                <w:highlight w:val="none"/>
              </w:rPr>
              <w:t>L</w:t>
            </w:r>
            <w:r>
              <w:rPr>
                <w:rFonts w:hint="eastAsia"/>
                <w:color w:val="auto"/>
                <w:highlight w:val="none"/>
                <w:vertAlign w:val="subscript"/>
              </w:rPr>
              <w:t>A</w:t>
            </w:r>
            <w:r>
              <w:rPr>
                <w:rFonts w:hint="default"/>
                <w:color w:val="auto"/>
                <w:highlight w:val="none"/>
              </w:rPr>
              <w:t>(</w:t>
            </w:r>
            <w:r>
              <w:rPr>
                <w:rFonts w:hint="default"/>
                <w:i/>
                <w:iCs/>
                <w:color w:val="auto"/>
                <w:highlight w:val="none"/>
              </w:rPr>
              <w:t>r</w:t>
            </w:r>
            <w:r>
              <w:rPr>
                <w:rFonts w:hint="default"/>
                <w:color w:val="auto"/>
                <w:highlight w:val="none"/>
              </w:rPr>
              <w:t>)——</w:t>
            </w:r>
            <w:r>
              <w:rPr>
                <w:rFonts w:hint="eastAsia"/>
                <w:color w:val="auto"/>
                <w:highlight w:val="none"/>
              </w:rPr>
              <w:t>距声源r处的A声级</w:t>
            </w:r>
            <w:r>
              <w:rPr>
                <w:rFonts w:hint="default"/>
                <w:color w:val="auto"/>
                <w:highlight w:val="none"/>
              </w:rPr>
              <w:t>，dB</w:t>
            </w:r>
            <w:r>
              <w:rPr>
                <w:rFonts w:hint="eastAsia"/>
                <w:color w:val="auto"/>
                <w:highlight w:val="none"/>
              </w:rPr>
              <w:t>（A）</w:t>
            </w:r>
            <w:r>
              <w:rPr>
                <w:rFonts w:hint="default"/>
                <w:color w:val="auto"/>
                <w:highlight w:val="none"/>
              </w:rPr>
              <w:t>；</w:t>
            </w:r>
          </w:p>
          <w:p w14:paraId="3123016F">
            <w:pPr>
              <w:pStyle w:val="18"/>
              <w:keepNext w:val="0"/>
              <w:keepLines w:val="0"/>
              <w:suppressLineNumbers w:val="0"/>
              <w:spacing w:before="0" w:beforeAutospacing="0" w:after="0" w:afterAutospacing="0"/>
              <w:ind w:left="0" w:right="0" w:firstLine="1200" w:firstLineChars="500"/>
              <w:rPr>
                <w:rFonts w:hint="default"/>
                <w:color w:val="auto"/>
                <w:highlight w:val="none"/>
              </w:rPr>
            </w:pPr>
            <w:r>
              <w:rPr>
                <w:rFonts w:hint="default"/>
                <w:i/>
                <w:iCs/>
                <w:color w:val="auto"/>
                <w:highlight w:val="none"/>
              </w:rPr>
              <w:t>L</w:t>
            </w:r>
            <w:r>
              <w:rPr>
                <w:rFonts w:hint="eastAsia"/>
                <w:color w:val="auto"/>
                <w:highlight w:val="none"/>
                <w:vertAlign w:val="subscript"/>
              </w:rPr>
              <w:t>A</w:t>
            </w:r>
            <w:r>
              <w:rPr>
                <w:rFonts w:hint="default"/>
                <w:i/>
                <w:iCs/>
                <w:color w:val="auto"/>
                <w:highlight w:val="none"/>
                <w:vertAlign w:val="subscript"/>
              </w:rPr>
              <w:t>w</w:t>
            </w:r>
            <w:r>
              <w:rPr>
                <w:rFonts w:hint="default"/>
                <w:color w:val="auto"/>
                <w:highlight w:val="none"/>
              </w:rPr>
              <w:t>——</w:t>
            </w:r>
            <w:r>
              <w:rPr>
                <w:rFonts w:hint="eastAsia"/>
                <w:color w:val="auto"/>
                <w:highlight w:val="none"/>
              </w:rPr>
              <w:t>点声源A计权声功率级，dB</w:t>
            </w:r>
            <w:r>
              <w:rPr>
                <w:rFonts w:hint="default"/>
                <w:color w:val="auto"/>
                <w:highlight w:val="none"/>
              </w:rPr>
              <w:t>；</w:t>
            </w:r>
          </w:p>
          <w:p w14:paraId="1966D58C">
            <w:pPr>
              <w:pStyle w:val="18"/>
              <w:keepNext w:val="0"/>
              <w:keepLines w:val="0"/>
              <w:suppressLineNumbers w:val="0"/>
              <w:spacing w:before="0" w:beforeAutospacing="0" w:after="0" w:afterAutospacing="0"/>
              <w:ind w:left="0" w:right="0" w:firstLine="1200" w:firstLineChars="500"/>
              <w:rPr>
                <w:rFonts w:hint="default"/>
                <w:color w:val="auto"/>
                <w:highlight w:val="none"/>
              </w:rPr>
            </w:pPr>
            <w:r>
              <w:rPr>
                <w:rFonts w:hint="eastAsia"/>
                <w:i/>
                <w:iCs/>
                <w:color w:val="auto"/>
                <w:highlight w:val="none"/>
              </w:rPr>
              <w:t>r</w:t>
            </w:r>
            <w:r>
              <w:rPr>
                <w:rFonts w:hint="default"/>
                <w:color w:val="auto"/>
                <w:highlight w:val="none"/>
              </w:rPr>
              <w:t>——</w:t>
            </w:r>
            <w:r>
              <w:rPr>
                <w:rFonts w:hint="eastAsia"/>
                <w:color w:val="auto"/>
                <w:highlight w:val="none"/>
              </w:rPr>
              <w:t>预测点距声源的距离</w:t>
            </w:r>
            <w:r>
              <w:rPr>
                <w:rFonts w:hint="default"/>
                <w:color w:val="auto"/>
                <w:highlight w:val="none"/>
              </w:rPr>
              <w:t>，</w:t>
            </w:r>
            <w:r>
              <w:rPr>
                <w:rFonts w:hint="eastAsia"/>
                <w:color w:val="auto"/>
                <w:highlight w:val="none"/>
              </w:rPr>
              <w:t>m</w:t>
            </w:r>
            <w:r>
              <w:rPr>
                <w:rFonts w:hint="default"/>
                <w:color w:val="auto"/>
                <w:highlight w:val="none"/>
              </w:rPr>
              <w:t>；</w:t>
            </w:r>
          </w:p>
          <w:p w14:paraId="7E7E9FB3">
            <w:pPr>
              <w:pStyle w:val="18"/>
              <w:keepNext w:val="0"/>
              <w:keepLines w:val="0"/>
              <w:suppressLineNumbers w:val="0"/>
              <w:spacing w:before="0" w:beforeAutospacing="0" w:after="0" w:afterAutospacing="0"/>
              <w:ind w:left="0" w:right="0"/>
              <w:rPr>
                <w:rFonts w:hint="default" w:ascii="宋体" w:hAnsi="宋体"/>
                <w:color w:val="auto"/>
                <w:highlight w:val="none"/>
              </w:rPr>
            </w:pPr>
            <w:r>
              <w:rPr>
                <w:rFonts w:hint="eastAsia" w:ascii="宋体" w:hAnsi="宋体"/>
                <w:color w:val="auto"/>
                <w:highlight w:val="none"/>
              </w:rPr>
              <w:t>⑥噪声贡献值计算：</w:t>
            </w:r>
          </w:p>
          <w:p w14:paraId="5CA0BC1C">
            <w:pPr>
              <w:pStyle w:val="18"/>
              <w:keepNext w:val="0"/>
              <w:keepLines w:val="0"/>
              <w:suppressLineNumbers w:val="0"/>
              <w:spacing w:before="0" w:beforeAutospacing="0" w:after="0" w:afterAutospacing="0"/>
              <w:ind w:left="0" w:right="0" w:firstLine="0" w:firstLineChars="0"/>
              <w:jc w:val="center"/>
              <w:rPr>
                <w:rFonts w:hint="default" w:ascii="宋体" w:hAnsi="宋体"/>
                <w:color w:val="auto"/>
                <w:highlight w:val="none"/>
              </w:rPr>
            </w:pPr>
            <w:r>
              <w:rPr>
                <w:rFonts w:hint="default" w:ascii="宋体" w:hAnsi="宋体"/>
                <w:color w:val="auto"/>
                <w:highlight w:val="none"/>
              </w:rPr>
              <w:drawing>
                <wp:inline distT="0" distB="0" distL="114300" distR="114300">
                  <wp:extent cx="3274060" cy="662305"/>
                  <wp:effectExtent l="0" t="0" r="2540" b="444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31" cstate="print"/>
                          <a:stretch>
                            <a:fillRect/>
                          </a:stretch>
                        </pic:blipFill>
                        <pic:spPr>
                          <a:xfrm>
                            <a:off x="0" y="0"/>
                            <a:ext cx="3274060" cy="662305"/>
                          </a:xfrm>
                          <a:prstGeom prst="rect">
                            <a:avLst/>
                          </a:prstGeom>
                          <a:noFill/>
                          <a:ln>
                            <a:noFill/>
                          </a:ln>
                        </pic:spPr>
                      </pic:pic>
                    </a:graphicData>
                  </a:graphic>
                </wp:inline>
              </w:drawing>
            </w:r>
          </w:p>
          <w:p w14:paraId="3DFC8B9A">
            <w:pPr>
              <w:pStyle w:val="18"/>
              <w:keepNext w:val="0"/>
              <w:keepLines w:val="0"/>
              <w:suppressLineNumbers w:val="0"/>
              <w:spacing w:before="0" w:beforeAutospacing="0" w:after="0" w:afterAutospacing="0"/>
              <w:ind w:left="0" w:right="0" w:firstLine="0" w:firstLineChars="0"/>
              <w:rPr>
                <w:rFonts w:hint="default"/>
                <w:color w:val="auto"/>
                <w:highlight w:val="none"/>
              </w:rPr>
            </w:pPr>
            <w:r>
              <w:rPr>
                <w:rFonts w:hint="eastAsia"/>
                <w:color w:val="auto"/>
                <w:highlight w:val="none"/>
              </w:rPr>
              <w:t>式中：Leqg——建设项目声源在预测点产生的噪声贡献值，dB；</w:t>
            </w:r>
          </w:p>
          <w:p w14:paraId="523E49D9">
            <w:pPr>
              <w:pStyle w:val="18"/>
              <w:keepNext w:val="0"/>
              <w:keepLines w:val="0"/>
              <w:suppressLineNumbers w:val="0"/>
              <w:spacing w:before="0" w:beforeAutospacing="0" w:after="0" w:afterAutospacing="0"/>
              <w:ind w:left="0" w:right="0" w:firstLine="720" w:firstLineChars="300"/>
              <w:rPr>
                <w:rFonts w:hint="default"/>
                <w:color w:val="auto"/>
                <w:highlight w:val="none"/>
              </w:rPr>
            </w:pPr>
            <w:r>
              <w:rPr>
                <w:rFonts w:hint="eastAsia"/>
                <w:color w:val="auto"/>
                <w:highlight w:val="none"/>
              </w:rPr>
              <w:t>T——用于计算等效声级的时间，s；</w:t>
            </w:r>
          </w:p>
          <w:p w14:paraId="5739D887">
            <w:pPr>
              <w:pStyle w:val="18"/>
              <w:keepNext w:val="0"/>
              <w:keepLines w:val="0"/>
              <w:suppressLineNumbers w:val="0"/>
              <w:spacing w:before="0" w:beforeAutospacing="0" w:after="0" w:afterAutospacing="0"/>
              <w:ind w:left="0" w:right="0" w:firstLine="720" w:firstLineChars="300"/>
              <w:rPr>
                <w:rFonts w:hint="default"/>
                <w:color w:val="auto"/>
                <w:highlight w:val="none"/>
              </w:rPr>
            </w:pPr>
            <w:r>
              <w:rPr>
                <w:rFonts w:hint="eastAsia"/>
                <w:color w:val="auto"/>
                <w:highlight w:val="none"/>
              </w:rPr>
              <w:t>N——室外声源个数；</w:t>
            </w:r>
          </w:p>
          <w:p w14:paraId="24E15841">
            <w:pPr>
              <w:pStyle w:val="18"/>
              <w:keepNext w:val="0"/>
              <w:keepLines w:val="0"/>
              <w:suppressLineNumbers w:val="0"/>
              <w:spacing w:before="0" w:beforeAutospacing="0" w:after="0" w:afterAutospacing="0"/>
              <w:ind w:left="0" w:right="0" w:firstLine="720" w:firstLineChars="300"/>
              <w:rPr>
                <w:rFonts w:hint="default"/>
                <w:color w:val="auto"/>
                <w:highlight w:val="none"/>
              </w:rPr>
            </w:pPr>
            <w:r>
              <w:rPr>
                <w:rFonts w:hint="eastAsia"/>
                <w:color w:val="auto"/>
                <w:highlight w:val="none"/>
              </w:rPr>
              <w:t>ti——在T时间内i声源工作时间，s；</w:t>
            </w:r>
          </w:p>
          <w:p w14:paraId="375ED961">
            <w:pPr>
              <w:pStyle w:val="18"/>
              <w:keepNext w:val="0"/>
              <w:keepLines w:val="0"/>
              <w:suppressLineNumbers w:val="0"/>
              <w:spacing w:before="0" w:beforeAutospacing="0" w:after="0" w:afterAutospacing="0"/>
              <w:ind w:left="0" w:right="0" w:firstLine="720" w:firstLineChars="300"/>
              <w:rPr>
                <w:rFonts w:hint="default"/>
                <w:color w:val="auto"/>
                <w:highlight w:val="none"/>
              </w:rPr>
            </w:pPr>
            <w:r>
              <w:rPr>
                <w:rFonts w:hint="eastAsia"/>
                <w:color w:val="auto"/>
                <w:highlight w:val="none"/>
              </w:rPr>
              <w:t>M——等效室外声源个数；</w:t>
            </w:r>
          </w:p>
          <w:p w14:paraId="66B424A0">
            <w:pPr>
              <w:pStyle w:val="18"/>
              <w:keepNext w:val="0"/>
              <w:keepLines w:val="0"/>
              <w:suppressLineNumbers w:val="0"/>
              <w:spacing w:before="0" w:beforeAutospacing="0" w:after="0" w:afterAutospacing="0"/>
              <w:ind w:left="0" w:right="0" w:firstLine="720" w:firstLineChars="300"/>
              <w:rPr>
                <w:rFonts w:hint="default"/>
                <w:color w:val="auto"/>
                <w:highlight w:val="none"/>
              </w:rPr>
            </w:pPr>
            <w:r>
              <w:rPr>
                <w:rFonts w:hint="eastAsia"/>
                <w:color w:val="auto"/>
                <w:highlight w:val="none"/>
              </w:rPr>
              <w:t>tj——在T时间内j声源工作时间，s。</w:t>
            </w:r>
          </w:p>
          <w:p w14:paraId="6655CF53">
            <w:pPr>
              <w:pStyle w:val="18"/>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rPr>
              <w:t>拟建项目所在厂界周围50m范围内无声环境保护目标，均为工业企业，无噪声背景值数据，以厂界噪声贡献值判断企业厂界噪声达标情况。</w:t>
            </w:r>
          </w:p>
          <w:p w14:paraId="0783EB7E">
            <w:pPr>
              <w:pStyle w:val="19"/>
              <w:spacing w:before="156"/>
              <w:rPr>
                <w:rFonts w:hint="eastAsia"/>
                <w:color w:val="auto"/>
                <w:highlight w:val="none"/>
              </w:rPr>
            </w:pPr>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17</w:t>
            </w:r>
            <w:r>
              <w:rPr>
                <w:color w:val="auto"/>
                <w:highlight w:val="none"/>
              </w:rPr>
              <w:fldChar w:fldCharType="end"/>
            </w:r>
            <w:r>
              <w:rPr>
                <w:rFonts w:hint="eastAsia"/>
                <w:color w:val="auto"/>
                <w:highlight w:val="none"/>
              </w:rPr>
              <w:t xml:space="preserve">  项目噪声排放厂界达标分析表</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57" w:type="dxa"/>
                <w:bottom w:w="0" w:type="dxa"/>
                <w:right w:w="57" w:type="dxa"/>
              </w:tblCellMar>
            </w:tblPr>
            <w:tblGrid>
              <w:gridCol w:w="1312"/>
              <w:gridCol w:w="1449"/>
              <w:gridCol w:w="2096"/>
              <w:gridCol w:w="2183"/>
              <w:gridCol w:w="1335"/>
            </w:tblGrid>
            <w:tr w14:paraId="6F3E7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567" w:hRule="atLeast"/>
                <w:jc w:val="center"/>
              </w:trPr>
              <w:tc>
                <w:tcPr>
                  <w:tcW w:w="783" w:type="pct"/>
                  <w:shd w:val="clear" w:color="auto" w:fill="auto"/>
                  <w:vAlign w:val="center"/>
                </w:tcPr>
                <w:p w14:paraId="454CDC3C">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ascii="Times New Roman" w:hAnsi="Times New Roman" w:cs="Times New Roman" w:eastAsiaTheme="minorEastAsia"/>
                      <w:b/>
                      <w:color w:val="auto"/>
                      <w:sz w:val="21"/>
                      <w:szCs w:val="21"/>
                      <w:highlight w:val="none"/>
                    </w:rPr>
                    <w:t>预测方位</w:t>
                  </w:r>
                </w:p>
              </w:tc>
              <w:tc>
                <w:tcPr>
                  <w:tcW w:w="865" w:type="pct"/>
                  <w:shd w:val="clear" w:color="auto" w:fill="auto"/>
                  <w:vAlign w:val="center"/>
                </w:tcPr>
                <w:p w14:paraId="5053DE35">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b/>
                      <w:color w:val="auto"/>
                      <w:sz w:val="21"/>
                      <w:szCs w:val="21"/>
                      <w:highlight w:val="none"/>
                    </w:rPr>
                    <w:t>时段</w:t>
                  </w:r>
                </w:p>
              </w:tc>
              <w:tc>
                <w:tcPr>
                  <w:tcW w:w="1251" w:type="pct"/>
                  <w:shd w:val="clear" w:color="auto" w:fill="auto"/>
                  <w:vAlign w:val="center"/>
                </w:tcPr>
                <w:p w14:paraId="11C93711">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b/>
                      <w:color w:val="auto"/>
                      <w:sz w:val="21"/>
                      <w:szCs w:val="21"/>
                      <w:highlight w:val="none"/>
                    </w:rPr>
                    <w:t>贡献值</w:t>
                  </w:r>
                  <w:r>
                    <w:rPr>
                      <w:rFonts w:hint="default" w:ascii="Times New Roman" w:hAnsi="Times New Roman" w:cs="Times New Roman" w:eastAsiaTheme="minorEastAsia"/>
                      <w:b/>
                      <w:color w:val="auto"/>
                      <w:sz w:val="21"/>
                      <w:szCs w:val="21"/>
                      <w:highlight w:val="none"/>
                    </w:rPr>
                    <w:t>（dB(A)）</w:t>
                  </w:r>
                </w:p>
              </w:tc>
              <w:tc>
                <w:tcPr>
                  <w:tcW w:w="1303" w:type="pct"/>
                  <w:shd w:val="clear" w:color="auto" w:fill="auto"/>
                  <w:vAlign w:val="center"/>
                </w:tcPr>
                <w:p w14:paraId="025F9214">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b/>
                      <w:color w:val="auto"/>
                      <w:sz w:val="21"/>
                      <w:szCs w:val="21"/>
                      <w:highlight w:val="none"/>
                    </w:rPr>
                    <w:t>标准限值（dB(A)）</w:t>
                  </w:r>
                </w:p>
              </w:tc>
              <w:tc>
                <w:tcPr>
                  <w:tcW w:w="797" w:type="pct"/>
                  <w:shd w:val="clear" w:color="auto" w:fill="auto"/>
                  <w:vAlign w:val="center"/>
                </w:tcPr>
                <w:p w14:paraId="1BABFECC">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b/>
                      <w:color w:val="auto"/>
                      <w:sz w:val="21"/>
                      <w:szCs w:val="21"/>
                      <w:highlight w:val="none"/>
                    </w:rPr>
                    <w:t>达标情况</w:t>
                  </w:r>
                </w:p>
              </w:tc>
            </w:tr>
            <w:tr w14:paraId="34C2E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54" w:hRule="atLeast"/>
                <w:jc w:val="center"/>
              </w:trPr>
              <w:tc>
                <w:tcPr>
                  <w:tcW w:w="783" w:type="pct"/>
                  <w:vMerge w:val="restart"/>
                  <w:shd w:val="clear" w:color="auto" w:fill="auto"/>
                  <w:vAlign w:val="center"/>
                </w:tcPr>
                <w:p w14:paraId="6CEA9875">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东侧</w:t>
                  </w:r>
                </w:p>
              </w:tc>
              <w:tc>
                <w:tcPr>
                  <w:tcW w:w="865" w:type="pct"/>
                  <w:shd w:val="clear" w:color="auto" w:fill="auto"/>
                  <w:vAlign w:val="center"/>
                </w:tcPr>
                <w:p w14:paraId="3E7F4468">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昼间</w:t>
                  </w:r>
                </w:p>
              </w:tc>
              <w:tc>
                <w:tcPr>
                  <w:tcW w:w="1251" w:type="pct"/>
                  <w:shd w:val="clear" w:color="auto" w:fill="auto"/>
                  <w:vAlign w:val="center"/>
                </w:tcPr>
                <w:p w14:paraId="26362F80">
                  <w:pPr>
                    <w:pStyle w:val="20"/>
                    <w:bidi w:val="0"/>
                    <w:rPr>
                      <w:rFonts w:hint="default"/>
                      <w:color w:val="auto"/>
                      <w:highlight w:val="none"/>
                      <w:lang w:val="en-US" w:eastAsia="zh-CN"/>
                    </w:rPr>
                  </w:pPr>
                  <w:r>
                    <w:rPr>
                      <w:color w:val="auto"/>
                      <w:highlight w:val="none"/>
                    </w:rPr>
                    <w:t>52</w:t>
                  </w:r>
                </w:p>
              </w:tc>
              <w:tc>
                <w:tcPr>
                  <w:tcW w:w="1303" w:type="pct"/>
                  <w:shd w:val="clear" w:color="auto" w:fill="auto"/>
                  <w:vAlign w:val="center"/>
                </w:tcPr>
                <w:p w14:paraId="0D5DFA82">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65</w:t>
                  </w:r>
                </w:p>
              </w:tc>
              <w:tc>
                <w:tcPr>
                  <w:tcW w:w="797" w:type="pct"/>
                  <w:shd w:val="clear" w:color="auto" w:fill="auto"/>
                  <w:vAlign w:val="center"/>
                </w:tcPr>
                <w:p w14:paraId="47F3F89C">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达标</w:t>
                  </w:r>
                </w:p>
              </w:tc>
            </w:tr>
            <w:tr w14:paraId="011BD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54" w:hRule="atLeast"/>
                <w:jc w:val="center"/>
              </w:trPr>
              <w:tc>
                <w:tcPr>
                  <w:tcW w:w="783" w:type="pct"/>
                  <w:vMerge w:val="continue"/>
                  <w:shd w:val="clear" w:color="auto" w:fill="auto"/>
                  <w:vAlign w:val="center"/>
                </w:tcPr>
                <w:p w14:paraId="6316B27B">
                  <w:pPr>
                    <w:pStyle w:val="20"/>
                    <w:keepNext w:val="0"/>
                    <w:keepLines w:val="0"/>
                    <w:suppressLineNumbers w:val="0"/>
                    <w:bidi w:val="0"/>
                    <w:spacing w:before="0" w:beforeAutospacing="0" w:after="0" w:afterAutospacing="0"/>
                    <w:ind w:left="0" w:right="0"/>
                    <w:rPr>
                      <w:rFonts w:hint="default"/>
                      <w:color w:val="auto"/>
                      <w:highlight w:val="none"/>
                    </w:rPr>
                  </w:pPr>
                </w:p>
              </w:tc>
              <w:tc>
                <w:tcPr>
                  <w:tcW w:w="865" w:type="pct"/>
                  <w:shd w:val="clear" w:color="auto" w:fill="auto"/>
                  <w:vAlign w:val="center"/>
                </w:tcPr>
                <w:p w14:paraId="0744940B">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夜间</w:t>
                  </w:r>
                </w:p>
              </w:tc>
              <w:tc>
                <w:tcPr>
                  <w:tcW w:w="1251" w:type="pct"/>
                  <w:shd w:val="clear" w:color="auto" w:fill="auto"/>
                  <w:vAlign w:val="center"/>
                </w:tcPr>
                <w:p w14:paraId="25EF5E12">
                  <w:pPr>
                    <w:pStyle w:val="20"/>
                    <w:bidi w:val="0"/>
                    <w:rPr>
                      <w:rFonts w:hint="default"/>
                      <w:color w:val="auto"/>
                      <w:highlight w:val="none"/>
                      <w:lang w:val="en-US" w:eastAsia="zh-CN"/>
                    </w:rPr>
                  </w:pPr>
                  <w:r>
                    <w:rPr>
                      <w:color w:val="auto"/>
                      <w:highlight w:val="none"/>
                    </w:rPr>
                    <w:t>52</w:t>
                  </w:r>
                </w:p>
              </w:tc>
              <w:tc>
                <w:tcPr>
                  <w:tcW w:w="1303" w:type="pct"/>
                  <w:shd w:val="clear" w:color="auto" w:fill="auto"/>
                  <w:vAlign w:val="center"/>
                </w:tcPr>
                <w:p w14:paraId="0D12F647">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55</w:t>
                  </w:r>
                </w:p>
              </w:tc>
              <w:tc>
                <w:tcPr>
                  <w:tcW w:w="797" w:type="pct"/>
                  <w:shd w:val="clear" w:color="auto" w:fill="auto"/>
                  <w:vAlign w:val="center"/>
                </w:tcPr>
                <w:p w14:paraId="249956D9">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达标</w:t>
                  </w:r>
                </w:p>
              </w:tc>
            </w:tr>
            <w:tr w14:paraId="4704A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54" w:hRule="atLeast"/>
                <w:jc w:val="center"/>
              </w:trPr>
              <w:tc>
                <w:tcPr>
                  <w:tcW w:w="783" w:type="pct"/>
                  <w:vMerge w:val="restart"/>
                  <w:shd w:val="clear" w:color="auto" w:fill="auto"/>
                  <w:vAlign w:val="center"/>
                </w:tcPr>
                <w:p w14:paraId="6D94B4CD">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南侧</w:t>
                  </w:r>
                </w:p>
              </w:tc>
              <w:tc>
                <w:tcPr>
                  <w:tcW w:w="865" w:type="pct"/>
                  <w:shd w:val="clear" w:color="auto" w:fill="auto"/>
                  <w:vAlign w:val="center"/>
                </w:tcPr>
                <w:p w14:paraId="3CFC5BDF">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昼间</w:t>
                  </w:r>
                </w:p>
              </w:tc>
              <w:tc>
                <w:tcPr>
                  <w:tcW w:w="1251" w:type="pct"/>
                  <w:shd w:val="clear" w:color="auto" w:fill="auto"/>
                  <w:vAlign w:val="center"/>
                </w:tcPr>
                <w:p w14:paraId="7A1FE9B9">
                  <w:pPr>
                    <w:pStyle w:val="20"/>
                    <w:bidi w:val="0"/>
                    <w:rPr>
                      <w:rFonts w:hint="default"/>
                      <w:color w:val="auto"/>
                      <w:highlight w:val="none"/>
                      <w:lang w:val="en-US" w:eastAsia="zh-CN"/>
                    </w:rPr>
                  </w:pPr>
                  <w:r>
                    <w:rPr>
                      <w:color w:val="auto"/>
                      <w:highlight w:val="none"/>
                    </w:rPr>
                    <w:t>53</w:t>
                  </w:r>
                </w:p>
              </w:tc>
              <w:tc>
                <w:tcPr>
                  <w:tcW w:w="1303" w:type="pct"/>
                  <w:shd w:val="clear" w:color="auto" w:fill="auto"/>
                  <w:vAlign w:val="center"/>
                </w:tcPr>
                <w:p w14:paraId="285CB542">
                  <w:pPr>
                    <w:pStyle w:val="20"/>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rPr>
                    <w:t>65</w:t>
                  </w:r>
                </w:p>
              </w:tc>
              <w:tc>
                <w:tcPr>
                  <w:tcW w:w="797" w:type="pct"/>
                  <w:shd w:val="clear" w:color="auto" w:fill="auto"/>
                  <w:vAlign w:val="center"/>
                </w:tcPr>
                <w:p w14:paraId="6624662A">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达标</w:t>
                  </w:r>
                </w:p>
              </w:tc>
            </w:tr>
            <w:tr w14:paraId="6EF4D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cantSplit/>
                <w:trHeight w:val="454" w:hRule="atLeast"/>
                <w:jc w:val="center"/>
              </w:trPr>
              <w:tc>
                <w:tcPr>
                  <w:tcW w:w="783" w:type="pct"/>
                  <w:vMerge w:val="continue"/>
                  <w:shd w:val="clear" w:color="auto" w:fill="auto"/>
                  <w:vAlign w:val="center"/>
                </w:tcPr>
                <w:p w14:paraId="1EB16F45">
                  <w:pPr>
                    <w:pStyle w:val="20"/>
                    <w:keepNext w:val="0"/>
                    <w:keepLines w:val="0"/>
                    <w:suppressLineNumbers w:val="0"/>
                    <w:bidi w:val="0"/>
                    <w:spacing w:before="0" w:beforeAutospacing="0" w:after="0" w:afterAutospacing="0"/>
                    <w:ind w:left="0" w:right="0"/>
                    <w:rPr>
                      <w:rFonts w:hint="default"/>
                      <w:color w:val="auto"/>
                      <w:highlight w:val="none"/>
                    </w:rPr>
                  </w:pPr>
                </w:p>
              </w:tc>
              <w:tc>
                <w:tcPr>
                  <w:tcW w:w="865" w:type="pct"/>
                  <w:shd w:val="clear" w:color="auto" w:fill="auto"/>
                  <w:vAlign w:val="center"/>
                </w:tcPr>
                <w:p w14:paraId="209AAE02">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夜间</w:t>
                  </w:r>
                </w:p>
              </w:tc>
              <w:tc>
                <w:tcPr>
                  <w:tcW w:w="1251" w:type="pct"/>
                  <w:shd w:val="clear" w:color="auto" w:fill="auto"/>
                  <w:vAlign w:val="center"/>
                </w:tcPr>
                <w:p w14:paraId="0B1293E5">
                  <w:pPr>
                    <w:pStyle w:val="20"/>
                    <w:bidi w:val="0"/>
                    <w:rPr>
                      <w:rFonts w:hint="default"/>
                      <w:color w:val="auto"/>
                      <w:highlight w:val="none"/>
                      <w:lang w:val="en-US" w:eastAsia="zh-CN"/>
                    </w:rPr>
                  </w:pPr>
                  <w:r>
                    <w:rPr>
                      <w:color w:val="auto"/>
                      <w:highlight w:val="none"/>
                    </w:rPr>
                    <w:t>53</w:t>
                  </w:r>
                </w:p>
              </w:tc>
              <w:tc>
                <w:tcPr>
                  <w:tcW w:w="1303" w:type="pct"/>
                  <w:shd w:val="clear" w:color="auto" w:fill="auto"/>
                  <w:vAlign w:val="center"/>
                </w:tcPr>
                <w:p w14:paraId="3D194A27">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55</w:t>
                  </w:r>
                </w:p>
              </w:tc>
              <w:tc>
                <w:tcPr>
                  <w:tcW w:w="797" w:type="pct"/>
                  <w:shd w:val="clear" w:color="auto" w:fill="auto"/>
                  <w:vAlign w:val="center"/>
                </w:tcPr>
                <w:p w14:paraId="2F297F4E">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达标</w:t>
                  </w:r>
                </w:p>
              </w:tc>
            </w:tr>
            <w:tr w14:paraId="2CCA7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54" w:hRule="atLeast"/>
                <w:jc w:val="center"/>
              </w:trPr>
              <w:tc>
                <w:tcPr>
                  <w:tcW w:w="783" w:type="pct"/>
                  <w:vMerge w:val="restart"/>
                  <w:shd w:val="clear" w:color="auto" w:fill="auto"/>
                  <w:vAlign w:val="center"/>
                </w:tcPr>
                <w:p w14:paraId="3D08F622">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西侧</w:t>
                  </w:r>
                </w:p>
              </w:tc>
              <w:tc>
                <w:tcPr>
                  <w:tcW w:w="865" w:type="pct"/>
                  <w:shd w:val="clear" w:color="auto" w:fill="auto"/>
                  <w:vAlign w:val="center"/>
                </w:tcPr>
                <w:p w14:paraId="5D4093FE">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昼间</w:t>
                  </w:r>
                </w:p>
              </w:tc>
              <w:tc>
                <w:tcPr>
                  <w:tcW w:w="1251" w:type="pct"/>
                  <w:shd w:val="clear" w:color="auto" w:fill="auto"/>
                  <w:vAlign w:val="center"/>
                </w:tcPr>
                <w:p w14:paraId="0493EA78">
                  <w:pPr>
                    <w:pStyle w:val="20"/>
                    <w:bidi w:val="0"/>
                    <w:rPr>
                      <w:rFonts w:hint="default"/>
                      <w:color w:val="auto"/>
                      <w:highlight w:val="none"/>
                      <w:lang w:val="en-US" w:eastAsia="zh-CN"/>
                    </w:rPr>
                  </w:pPr>
                  <w:r>
                    <w:rPr>
                      <w:color w:val="auto"/>
                      <w:highlight w:val="none"/>
                    </w:rPr>
                    <w:t>49</w:t>
                  </w:r>
                </w:p>
              </w:tc>
              <w:tc>
                <w:tcPr>
                  <w:tcW w:w="1303" w:type="pct"/>
                  <w:shd w:val="clear" w:color="auto" w:fill="auto"/>
                  <w:vAlign w:val="center"/>
                </w:tcPr>
                <w:p w14:paraId="0C2C7403">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65</w:t>
                  </w:r>
                </w:p>
              </w:tc>
              <w:tc>
                <w:tcPr>
                  <w:tcW w:w="797" w:type="pct"/>
                  <w:shd w:val="clear" w:color="auto" w:fill="auto"/>
                  <w:vAlign w:val="center"/>
                </w:tcPr>
                <w:p w14:paraId="06F09492">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达标</w:t>
                  </w:r>
                </w:p>
              </w:tc>
            </w:tr>
            <w:tr w14:paraId="4162F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54" w:hRule="atLeast"/>
                <w:jc w:val="center"/>
              </w:trPr>
              <w:tc>
                <w:tcPr>
                  <w:tcW w:w="783" w:type="pct"/>
                  <w:vMerge w:val="continue"/>
                  <w:shd w:val="clear" w:color="auto" w:fill="auto"/>
                  <w:vAlign w:val="center"/>
                </w:tcPr>
                <w:p w14:paraId="662FAE72">
                  <w:pPr>
                    <w:pStyle w:val="20"/>
                    <w:keepNext w:val="0"/>
                    <w:keepLines w:val="0"/>
                    <w:suppressLineNumbers w:val="0"/>
                    <w:bidi w:val="0"/>
                    <w:spacing w:before="0" w:beforeAutospacing="0" w:after="0" w:afterAutospacing="0"/>
                    <w:ind w:left="0" w:right="0"/>
                    <w:rPr>
                      <w:rFonts w:hint="default"/>
                      <w:color w:val="auto"/>
                      <w:highlight w:val="none"/>
                    </w:rPr>
                  </w:pPr>
                </w:p>
              </w:tc>
              <w:tc>
                <w:tcPr>
                  <w:tcW w:w="865" w:type="pct"/>
                  <w:shd w:val="clear" w:color="auto" w:fill="auto"/>
                  <w:vAlign w:val="center"/>
                </w:tcPr>
                <w:p w14:paraId="51D1C7B1">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夜间</w:t>
                  </w:r>
                </w:p>
              </w:tc>
              <w:tc>
                <w:tcPr>
                  <w:tcW w:w="1251" w:type="pct"/>
                  <w:shd w:val="clear" w:color="auto" w:fill="auto"/>
                  <w:vAlign w:val="center"/>
                </w:tcPr>
                <w:p w14:paraId="7D850F7D">
                  <w:pPr>
                    <w:pStyle w:val="20"/>
                    <w:bidi w:val="0"/>
                    <w:rPr>
                      <w:rFonts w:hint="default"/>
                      <w:color w:val="auto"/>
                      <w:highlight w:val="none"/>
                      <w:lang w:val="en-US" w:eastAsia="zh-CN"/>
                    </w:rPr>
                  </w:pPr>
                  <w:r>
                    <w:rPr>
                      <w:color w:val="auto"/>
                      <w:highlight w:val="none"/>
                    </w:rPr>
                    <w:t>47</w:t>
                  </w:r>
                </w:p>
              </w:tc>
              <w:tc>
                <w:tcPr>
                  <w:tcW w:w="1303" w:type="pct"/>
                  <w:shd w:val="clear" w:color="auto" w:fill="auto"/>
                  <w:vAlign w:val="center"/>
                </w:tcPr>
                <w:p w14:paraId="30ED097D">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55</w:t>
                  </w:r>
                </w:p>
              </w:tc>
              <w:tc>
                <w:tcPr>
                  <w:tcW w:w="797" w:type="pct"/>
                  <w:shd w:val="clear" w:color="auto" w:fill="auto"/>
                  <w:vAlign w:val="center"/>
                </w:tcPr>
                <w:p w14:paraId="27738E55">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达标</w:t>
                  </w:r>
                </w:p>
              </w:tc>
            </w:tr>
            <w:tr w14:paraId="3AC98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54" w:hRule="atLeast"/>
                <w:jc w:val="center"/>
              </w:trPr>
              <w:tc>
                <w:tcPr>
                  <w:tcW w:w="783" w:type="pct"/>
                  <w:vMerge w:val="restart"/>
                  <w:shd w:val="clear" w:color="auto" w:fill="auto"/>
                  <w:vAlign w:val="center"/>
                </w:tcPr>
                <w:p w14:paraId="0FA1ACCC">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北侧</w:t>
                  </w:r>
                </w:p>
              </w:tc>
              <w:tc>
                <w:tcPr>
                  <w:tcW w:w="865" w:type="pct"/>
                  <w:shd w:val="clear" w:color="auto" w:fill="auto"/>
                  <w:vAlign w:val="center"/>
                </w:tcPr>
                <w:p w14:paraId="47FE0CDF">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昼间</w:t>
                  </w:r>
                </w:p>
              </w:tc>
              <w:tc>
                <w:tcPr>
                  <w:tcW w:w="1251" w:type="pct"/>
                  <w:shd w:val="clear" w:color="auto" w:fill="auto"/>
                  <w:vAlign w:val="center"/>
                </w:tcPr>
                <w:p w14:paraId="3BF01443">
                  <w:pPr>
                    <w:pStyle w:val="20"/>
                    <w:bidi w:val="0"/>
                    <w:rPr>
                      <w:rFonts w:hint="default"/>
                      <w:color w:val="auto"/>
                      <w:highlight w:val="none"/>
                      <w:lang w:val="en-US" w:eastAsia="zh-CN"/>
                    </w:rPr>
                  </w:pPr>
                  <w:r>
                    <w:rPr>
                      <w:color w:val="auto"/>
                      <w:highlight w:val="none"/>
                    </w:rPr>
                    <w:t>43</w:t>
                  </w:r>
                </w:p>
              </w:tc>
              <w:tc>
                <w:tcPr>
                  <w:tcW w:w="1303" w:type="pct"/>
                  <w:shd w:val="clear" w:color="auto" w:fill="auto"/>
                  <w:vAlign w:val="center"/>
                </w:tcPr>
                <w:p w14:paraId="630CE591">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65</w:t>
                  </w:r>
                </w:p>
              </w:tc>
              <w:tc>
                <w:tcPr>
                  <w:tcW w:w="797" w:type="pct"/>
                  <w:shd w:val="clear" w:color="auto" w:fill="auto"/>
                  <w:vAlign w:val="center"/>
                </w:tcPr>
                <w:p w14:paraId="154F4ECD">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达标</w:t>
                  </w:r>
                </w:p>
              </w:tc>
            </w:tr>
            <w:tr w14:paraId="4FA41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cantSplit/>
                <w:trHeight w:val="454" w:hRule="atLeast"/>
                <w:jc w:val="center"/>
              </w:trPr>
              <w:tc>
                <w:tcPr>
                  <w:tcW w:w="783" w:type="pct"/>
                  <w:vMerge w:val="continue"/>
                  <w:shd w:val="clear" w:color="auto" w:fill="auto"/>
                  <w:vAlign w:val="center"/>
                </w:tcPr>
                <w:p w14:paraId="578A860F">
                  <w:pPr>
                    <w:pStyle w:val="20"/>
                    <w:keepNext w:val="0"/>
                    <w:keepLines w:val="0"/>
                    <w:suppressLineNumbers w:val="0"/>
                    <w:bidi w:val="0"/>
                    <w:spacing w:before="0" w:beforeAutospacing="0" w:after="0" w:afterAutospacing="0"/>
                    <w:ind w:left="0" w:right="0"/>
                    <w:rPr>
                      <w:rFonts w:hint="default"/>
                      <w:color w:val="auto"/>
                      <w:highlight w:val="none"/>
                    </w:rPr>
                  </w:pPr>
                </w:p>
              </w:tc>
              <w:tc>
                <w:tcPr>
                  <w:tcW w:w="865" w:type="pct"/>
                  <w:shd w:val="clear" w:color="auto" w:fill="auto"/>
                  <w:vAlign w:val="center"/>
                </w:tcPr>
                <w:p w14:paraId="51905D1B">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夜间</w:t>
                  </w:r>
                </w:p>
              </w:tc>
              <w:tc>
                <w:tcPr>
                  <w:tcW w:w="1251" w:type="pct"/>
                  <w:shd w:val="clear" w:color="auto" w:fill="auto"/>
                  <w:vAlign w:val="center"/>
                </w:tcPr>
                <w:p w14:paraId="32C3789C">
                  <w:pPr>
                    <w:pStyle w:val="20"/>
                    <w:bidi w:val="0"/>
                    <w:rPr>
                      <w:rFonts w:hint="eastAsia" w:eastAsia="宋体"/>
                      <w:color w:val="auto"/>
                      <w:highlight w:val="none"/>
                      <w:lang w:val="en-US" w:eastAsia="zh-CN"/>
                    </w:rPr>
                  </w:pPr>
                  <w:r>
                    <w:rPr>
                      <w:color w:val="auto"/>
                      <w:highlight w:val="none"/>
                    </w:rPr>
                    <w:t>2</w:t>
                  </w:r>
                  <w:r>
                    <w:rPr>
                      <w:rFonts w:hint="eastAsia"/>
                      <w:color w:val="auto"/>
                      <w:highlight w:val="none"/>
                      <w:lang w:val="en-US" w:eastAsia="zh-CN"/>
                    </w:rPr>
                    <w:t>2</w:t>
                  </w:r>
                </w:p>
              </w:tc>
              <w:tc>
                <w:tcPr>
                  <w:tcW w:w="1303" w:type="pct"/>
                  <w:shd w:val="clear" w:color="auto" w:fill="auto"/>
                  <w:vAlign w:val="center"/>
                </w:tcPr>
                <w:p w14:paraId="00FDD35A">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55</w:t>
                  </w:r>
                </w:p>
              </w:tc>
              <w:tc>
                <w:tcPr>
                  <w:tcW w:w="797" w:type="pct"/>
                  <w:shd w:val="clear" w:color="auto" w:fill="auto"/>
                  <w:vAlign w:val="center"/>
                </w:tcPr>
                <w:p w14:paraId="44BB3FF4">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达标</w:t>
                  </w:r>
                </w:p>
              </w:tc>
            </w:tr>
          </w:tbl>
          <w:p w14:paraId="71A368AB">
            <w:pPr>
              <w:pStyle w:val="18"/>
              <w:rPr>
                <w:color w:val="auto"/>
                <w:highlight w:val="none"/>
              </w:rPr>
            </w:pPr>
            <w:r>
              <w:rPr>
                <w:rFonts w:hint="eastAsia"/>
                <w:color w:val="auto"/>
                <w:highlight w:val="none"/>
              </w:rPr>
              <w:t>根据上表预测结果，各厂界昼间</w:t>
            </w:r>
            <w:r>
              <w:rPr>
                <w:rFonts w:hint="eastAsia"/>
                <w:color w:val="auto"/>
                <w:highlight w:val="none"/>
                <w:lang w:eastAsia="zh-CN"/>
              </w:rPr>
              <w:t>、</w:t>
            </w:r>
            <w:r>
              <w:rPr>
                <w:rFonts w:hint="eastAsia"/>
                <w:color w:val="auto"/>
                <w:highlight w:val="none"/>
                <w:lang w:val="en-US" w:eastAsia="zh-CN"/>
              </w:rPr>
              <w:t>夜间</w:t>
            </w:r>
            <w:r>
              <w:rPr>
                <w:rFonts w:hint="eastAsia"/>
                <w:color w:val="auto"/>
                <w:highlight w:val="none"/>
              </w:rPr>
              <w:t>噪声贡献值均满足《工业企业厂界环境噪声排放标准》（GB 12348-2008）3类标准。</w:t>
            </w:r>
          </w:p>
          <w:p w14:paraId="1417B18C">
            <w:pPr>
              <w:pStyle w:val="3"/>
              <w:ind w:firstLine="482"/>
              <w:rPr>
                <w:color w:val="auto"/>
                <w:highlight w:val="none"/>
              </w:rPr>
            </w:pPr>
            <w:r>
              <w:rPr>
                <w:color w:val="auto"/>
                <w:highlight w:val="none"/>
              </w:rPr>
              <w:t>3</w:t>
            </w:r>
            <w:r>
              <w:rPr>
                <w:rFonts w:hint="eastAsia"/>
                <w:color w:val="auto"/>
                <w:highlight w:val="none"/>
              </w:rPr>
              <w:t>）噪声防治措施</w:t>
            </w:r>
          </w:p>
          <w:p w14:paraId="04894505">
            <w:pPr>
              <w:pStyle w:val="18"/>
              <w:rPr>
                <w:color w:val="auto"/>
                <w:highlight w:val="none"/>
              </w:rPr>
            </w:pPr>
            <w:r>
              <w:rPr>
                <w:rFonts w:hint="eastAsia"/>
                <w:color w:val="auto"/>
                <w:highlight w:val="none"/>
              </w:rPr>
              <w:t>为了降低营运期噪声对周围环境的影响，项目采取以下噪声污染防治措施：</w:t>
            </w:r>
          </w:p>
          <w:p w14:paraId="60C4BB7A">
            <w:pPr>
              <w:pStyle w:val="18"/>
              <w:rPr>
                <w:rFonts w:hint="eastAsia"/>
                <w:color w:val="auto"/>
                <w:highlight w:val="none"/>
                <w:lang w:eastAsia="zh-CN"/>
              </w:rPr>
            </w:pPr>
            <w:r>
              <w:rPr>
                <w:color w:val="auto"/>
                <w:highlight w:val="none"/>
              </w:rPr>
              <w:t>①</w:t>
            </w:r>
            <w:r>
              <w:rPr>
                <w:rFonts w:hint="eastAsia"/>
                <w:color w:val="auto"/>
                <w:highlight w:val="none"/>
              </w:rPr>
              <w:t>在工艺设备选型时，应选用低噪声、节能型的先进设备，对震动大的设备采取相应的减震措施</w:t>
            </w:r>
            <w:r>
              <w:rPr>
                <w:rFonts w:hint="eastAsia"/>
                <w:color w:val="auto"/>
                <w:highlight w:val="none"/>
                <w:lang w:eastAsia="zh-CN"/>
              </w:rPr>
              <w:t>，</w:t>
            </w:r>
            <w:r>
              <w:rPr>
                <w:rFonts w:hint="eastAsia"/>
                <w:color w:val="auto"/>
                <w:highlight w:val="none"/>
                <w:lang w:val="en-US" w:eastAsia="zh-CN"/>
              </w:rPr>
              <w:t>风机、冷却塔等设置基础减震，空压机设置空压机房隔声措施</w:t>
            </w:r>
            <w:r>
              <w:rPr>
                <w:rFonts w:hint="eastAsia"/>
                <w:color w:val="auto"/>
                <w:highlight w:val="none"/>
                <w:lang w:eastAsia="zh-CN"/>
              </w:rPr>
              <w:t>。</w:t>
            </w:r>
          </w:p>
          <w:p w14:paraId="69021C44">
            <w:pPr>
              <w:pStyle w:val="18"/>
              <w:rPr>
                <w:color w:val="auto"/>
                <w:highlight w:val="none"/>
              </w:rPr>
            </w:pPr>
            <w:r>
              <w:rPr>
                <w:color w:val="auto"/>
                <w:highlight w:val="none"/>
              </w:rPr>
              <w:t>②</w:t>
            </w:r>
            <w:r>
              <w:rPr>
                <w:rFonts w:hint="eastAsia"/>
                <w:color w:val="auto"/>
                <w:highlight w:val="none"/>
              </w:rPr>
              <w:t>定期保养和维护生产设备，减少机械摩擦、磨损和振动，降低噪声强度；合理安排生产时间，减少高噪声设备同时开启数量。</w:t>
            </w:r>
          </w:p>
          <w:p w14:paraId="2958193F">
            <w:pPr>
              <w:pStyle w:val="18"/>
              <w:rPr>
                <w:color w:val="auto"/>
                <w:highlight w:val="none"/>
              </w:rPr>
            </w:pPr>
            <w:r>
              <w:rPr>
                <w:color w:val="auto"/>
                <w:highlight w:val="none"/>
              </w:rPr>
              <w:t>③</w:t>
            </w:r>
            <w:r>
              <w:rPr>
                <w:rFonts w:hint="eastAsia"/>
                <w:color w:val="auto"/>
                <w:highlight w:val="none"/>
              </w:rPr>
              <w:t>合理布置总平布置，高噪声设备设于生产区中央远离厂界，并利用</w:t>
            </w:r>
            <w:r>
              <w:rPr>
                <w:rFonts w:hint="eastAsia"/>
                <w:color w:val="auto"/>
                <w:highlight w:val="none"/>
                <w:lang w:eastAsia="zh-CN"/>
              </w:rPr>
              <w:t>建筑</w:t>
            </w:r>
            <w:r>
              <w:rPr>
                <w:rFonts w:hint="eastAsia"/>
                <w:color w:val="auto"/>
                <w:highlight w:val="none"/>
              </w:rPr>
              <w:t>物来阻隔声波的传播，减少设备噪声对外环境影响。</w:t>
            </w:r>
          </w:p>
          <w:p w14:paraId="1A0F6645">
            <w:pPr>
              <w:pStyle w:val="18"/>
              <w:rPr>
                <w:color w:val="auto"/>
                <w:highlight w:val="none"/>
              </w:rPr>
            </w:pPr>
            <w:r>
              <w:rPr>
                <w:rFonts w:hint="eastAsia"/>
                <w:color w:val="auto"/>
                <w:highlight w:val="none"/>
              </w:rPr>
              <w:t>项目周边均为工业企业，50m范围内无学校、医院、居民区等声环境保护目标，项目采取相应噪声防治措施后，厂界噪声能够满足《工业企业厂界环境噪声排放标准》</w:t>
            </w:r>
            <w:r>
              <w:rPr>
                <w:rFonts w:hint="eastAsia" w:cs="Times New Roman"/>
                <w:color w:val="auto"/>
                <w:highlight w:val="none"/>
              </w:rPr>
              <w:t>（GB12348-2008）3</w:t>
            </w:r>
            <w:r>
              <w:rPr>
                <w:rFonts w:hint="eastAsia"/>
                <w:color w:val="auto"/>
                <w:highlight w:val="none"/>
              </w:rPr>
              <w:t>类标准，噪声对外环境影响较小。</w:t>
            </w:r>
          </w:p>
          <w:p w14:paraId="2F84BD78">
            <w:pPr>
              <w:pStyle w:val="3"/>
              <w:ind w:firstLine="482"/>
              <w:rPr>
                <w:color w:val="auto"/>
                <w:highlight w:val="none"/>
              </w:rPr>
            </w:pPr>
            <w:r>
              <w:rPr>
                <w:rFonts w:hint="eastAsia"/>
                <w:color w:val="auto"/>
                <w:highlight w:val="none"/>
              </w:rPr>
              <w:t>4）监测要求</w:t>
            </w:r>
          </w:p>
          <w:p w14:paraId="24B61988">
            <w:pPr>
              <w:pStyle w:val="18"/>
              <w:rPr>
                <w:color w:val="auto"/>
                <w:highlight w:val="none"/>
              </w:rPr>
            </w:pPr>
            <w:r>
              <w:rPr>
                <w:rFonts w:hint="eastAsia"/>
                <w:color w:val="auto"/>
                <w:highlight w:val="none"/>
              </w:rPr>
              <w:t>根据《排污许可证申请与核发技术规范 工业噪声》（HJ1301-2023），制定运营期噪声监测计划，详见</w:t>
            </w:r>
            <w:r>
              <w:rPr>
                <w:rFonts w:hint="eastAsia"/>
                <w:color w:val="auto"/>
                <w:highlight w:val="none"/>
              </w:rPr>
              <w:fldChar w:fldCharType="begin"/>
            </w:r>
            <w:r>
              <w:rPr>
                <w:rFonts w:hint="eastAsia"/>
                <w:color w:val="auto"/>
                <w:highlight w:val="none"/>
              </w:rPr>
              <w:instrText xml:space="preserve"> REF _Ref21561 \h </w:instrText>
            </w:r>
            <w:r>
              <w:rPr>
                <w:rFonts w:hint="eastAsia"/>
                <w:color w:val="auto"/>
                <w:highlight w:val="none"/>
              </w:rPr>
              <w:fldChar w:fldCharType="separate"/>
            </w:r>
            <w:r>
              <w:rPr>
                <w:color w:val="auto"/>
                <w:highlight w:val="none"/>
              </w:rPr>
              <w:t>表4-18</w:t>
            </w:r>
            <w:r>
              <w:rPr>
                <w:rFonts w:hint="eastAsia"/>
                <w:color w:val="auto"/>
                <w:highlight w:val="none"/>
              </w:rPr>
              <w:fldChar w:fldCharType="end"/>
            </w:r>
            <w:r>
              <w:rPr>
                <w:rFonts w:hint="eastAsia"/>
                <w:color w:val="auto"/>
                <w:highlight w:val="none"/>
              </w:rPr>
              <w:t>。</w:t>
            </w:r>
          </w:p>
          <w:p w14:paraId="62E2E60D">
            <w:pPr>
              <w:pStyle w:val="19"/>
              <w:spacing w:before="156"/>
              <w:rPr>
                <w:color w:val="auto"/>
                <w:highlight w:val="none"/>
              </w:rPr>
            </w:pPr>
            <w:bookmarkStart w:id="48" w:name="_Ref21561"/>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18</w:t>
            </w:r>
            <w:r>
              <w:rPr>
                <w:color w:val="auto"/>
                <w:highlight w:val="none"/>
              </w:rPr>
              <w:fldChar w:fldCharType="end"/>
            </w:r>
            <w:bookmarkEnd w:id="48"/>
            <w:r>
              <w:rPr>
                <w:rFonts w:hint="eastAsia"/>
                <w:color w:val="auto"/>
                <w:highlight w:val="none"/>
              </w:rPr>
              <w:t xml:space="preserve">  环境监测计划</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819"/>
              <w:gridCol w:w="1010"/>
              <w:gridCol w:w="1367"/>
              <w:gridCol w:w="865"/>
              <w:gridCol w:w="850"/>
              <w:gridCol w:w="3464"/>
            </w:tblGrid>
            <w:tr w14:paraId="7660A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89" w:type="pct"/>
                  <w:vAlign w:val="center"/>
                </w:tcPr>
                <w:p w14:paraId="372D7F9E">
                  <w:pPr>
                    <w:pStyle w:val="20"/>
                    <w:spacing w:before="31"/>
                    <w:rPr>
                      <w:b/>
                      <w:bCs/>
                      <w:color w:val="auto"/>
                      <w:highlight w:val="none"/>
                    </w:rPr>
                  </w:pPr>
                  <w:r>
                    <w:rPr>
                      <w:rFonts w:hint="eastAsia"/>
                      <w:b/>
                      <w:bCs/>
                      <w:color w:val="auto"/>
                      <w:highlight w:val="none"/>
                    </w:rPr>
                    <w:t>监测项目</w:t>
                  </w:r>
                </w:p>
              </w:tc>
              <w:tc>
                <w:tcPr>
                  <w:tcW w:w="603" w:type="pct"/>
                  <w:vAlign w:val="center"/>
                </w:tcPr>
                <w:p w14:paraId="51CECCCC">
                  <w:pPr>
                    <w:pStyle w:val="20"/>
                    <w:spacing w:before="31"/>
                    <w:rPr>
                      <w:b/>
                      <w:bCs/>
                      <w:color w:val="auto"/>
                      <w:highlight w:val="none"/>
                    </w:rPr>
                  </w:pPr>
                  <w:r>
                    <w:rPr>
                      <w:rFonts w:hint="eastAsia"/>
                      <w:b/>
                      <w:bCs/>
                      <w:color w:val="auto"/>
                      <w:highlight w:val="none"/>
                    </w:rPr>
                    <w:t>污染源</w:t>
                  </w:r>
                </w:p>
              </w:tc>
              <w:tc>
                <w:tcPr>
                  <w:tcW w:w="816" w:type="pct"/>
                  <w:vAlign w:val="center"/>
                </w:tcPr>
                <w:p w14:paraId="28F3F635">
                  <w:pPr>
                    <w:pStyle w:val="20"/>
                    <w:spacing w:before="31"/>
                    <w:rPr>
                      <w:b/>
                      <w:bCs/>
                      <w:color w:val="auto"/>
                      <w:highlight w:val="none"/>
                    </w:rPr>
                  </w:pPr>
                  <w:r>
                    <w:rPr>
                      <w:rFonts w:hint="eastAsia"/>
                      <w:b/>
                      <w:bCs/>
                      <w:color w:val="auto"/>
                      <w:highlight w:val="none"/>
                    </w:rPr>
                    <w:t>监测因子</w:t>
                  </w:r>
                </w:p>
              </w:tc>
              <w:tc>
                <w:tcPr>
                  <w:tcW w:w="516" w:type="pct"/>
                  <w:vAlign w:val="center"/>
                </w:tcPr>
                <w:p w14:paraId="0AB1AB16">
                  <w:pPr>
                    <w:pStyle w:val="20"/>
                    <w:spacing w:before="31"/>
                    <w:rPr>
                      <w:b/>
                      <w:bCs/>
                      <w:color w:val="auto"/>
                      <w:highlight w:val="none"/>
                    </w:rPr>
                  </w:pPr>
                  <w:r>
                    <w:rPr>
                      <w:rFonts w:hint="eastAsia"/>
                      <w:b/>
                      <w:bCs/>
                      <w:color w:val="auto"/>
                      <w:highlight w:val="none"/>
                    </w:rPr>
                    <w:t>监测频率</w:t>
                  </w:r>
                </w:p>
              </w:tc>
              <w:tc>
                <w:tcPr>
                  <w:tcW w:w="507" w:type="pct"/>
                  <w:vAlign w:val="center"/>
                </w:tcPr>
                <w:p w14:paraId="343838E3">
                  <w:pPr>
                    <w:pStyle w:val="20"/>
                    <w:spacing w:before="31"/>
                    <w:rPr>
                      <w:b/>
                      <w:bCs/>
                      <w:color w:val="auto"/>
                      <w:highlight w:val="none"/>
                    </w:rPr>
                  </w:pPr>
                  <w:r>
                    <w:rPr>
                      <w:rFonts w:hint="eastAsia"/>
                      <w:b/>
                      <w:bCs/>
                      <w:color w:val="auto"/>
                      <w:highlight w:val="none"/>
                    </w:rPr>
                    <w:t>监测点位</w:t>
                  </w:r>
                </w:p>
              </w:tc>
              <w:tc>
                <w:tcPr>
                  <w:tcW w:w="2067" w:type="pct"/>
                  <w:vAlign w:val="center"/>
                </w:tcPr>
                <w:p w14:paraId="2166A72B">
                  <w:pPr>
                    <w:pStyle w:val="20"/>
                    <w:spacing w:before="31"/>
                    <w:rPr>
                      <w:b/>
                      <w:bCs/>
                      <w:color w:val="auto"/>
                      <w:highlight w:val="none"/>
                    </w:rPr>
                  </w:pPr>
                  <w:r>
                    <w:rPr>
                      <w:rFonts w:hint="eastAsia"/>
                      <w:b/>
                      <w:bCs/>
                      <w:color w:val="auto"/>
                      <w:highlight w:val="none"/>
                    </w:rPr>
                    <w:t>执行标准</w:t>
                  </w:r>
                </w:p>
              </w:tc>
            </w:tr>
            <w:tr w14:paraId="19135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89" w:type="pct"/>
                  <w:vAlign w:val="center"/>
                </w:tcPr>
                <w:p w14:paraId="408C65C3">
                  <w:pPr>
                    <w:pStyle w:val="20"/>
                    <w:spacing w:before="31"/>
                    <w:rPr>
                      <w:color w:val="auto"/>
                      <w:highlight w:val="none"/>
                    </w:rPr>
                  </w:pPr>
                  <w:r>
                    <w:rPr>
                      <w:rFonts w:hint="eastAsia"/>
                      <w:color w:val="auto"/>
                      <w:highlight w:val="none"/>
                    </w:rPr>
                    <w:t>噪声</w:t>
                  </w:r>
                </w:p>
              </w:tc>
              <w:tc>
                <w:tcPr>
                  <w:tcW w:w="603" w:type="pct"/>
                  <w:vAlign w:val="center"/>
                </w:tcPr>
                <w:p w14:paraId="251A3C15">
                  <w:pPr>
                    <w:pStyle w:val="20"/>
                    <w:spacing w:before="31"/>
                    <w:rPr>
                      <w:color w:val="auto"/>
                      <w:highlight w:val="none"/>
                    </w:rPr>
                  </w:pPr>
                  <w:r>
                    <w:rPr>
                      <w:rFonts w:hint="eastAsia"/>
                      <w:color w:val="auto"/>
                      <w:highlight w:val="none"/>
                    </w:rPr>
                    <w:t>生产设备设施</w:t>
                  </w:r>
                </w:p>
              </w:tc>
              <w:tc>
                <w:tcPr>
                  <w:tcW w:w="816" w:type="pct"/>
                  <w:vAlign w:val="center"/>
                </w:tcPr>
                <w:p w14:paraId="6041A120">
                  <w:pPr>
                    <w:pStyle w:val="20"/>
                    <w:spacing w:before="31"/>
                    <w:rPr>
                      <w:color w:val="auto"/>
                      <w:highlight w:val="none"/>
                    </w:rPr>
                  </w:pPr>
                  <w:r>
                    <w:rPr>
                      <w:rFonts w:hint="eastAsia"/>
                      <w:color w:val="auto"/>
                      <w:highlight w:val="none"/>
                    </w:rPr>
                    <w:t>昼夜连续等效A声级</w:t>
                  </w:r>
                </w:p>
              </w:tc>
              <w:tc>
                <w:tcPr>
                  <w:tcW w:w="516" w:type="pct"/>
                  <w:vAlign w:val="center"/>
                </w:tcPr>
                <w:p w14:paraId="56D2BB2A">
                  <w:pPr>
                    <w:pStyle w:val="20"/>
                    <w:spacing w:before="31"/>
                    <w:rPr>
                      <w:color w:val="auto"/>
                      <w:highlight w:val="none"/>
                    </w:rPr>
                  </w:pPr>
                  <w:r>
                    <w:rPr>
                      <w:rFonts w:hint="eastAsia"/>
                      <w:color w:val="auto"/>
                      <w:highlight w:val="none"/>
                    </w:rPr>
                    <w:t>每季一次</w:t>
                  </w:r>
                </w:p>
              </w:tc>
              <w:tc>
                <w:tcPr>
                  <w:tcW w:w="507" w:type="pct"/>
                  <w:vAlign w:val="center"/>
                </w:tcPr>
                <w:p w14:paraId="4D96CDEC">
                  <w:pPr>
                    <w:pStyle w:val="20"/>
                    <w:spacing w:before="31"/>
                    <w:rPr>
                      <w:color w:val="auto"/>
                      <w:highlight w:val="none"/>
                    </w:rPr>
                  </w:pPr>
                  <w:r>
                    <w:rPr>
                      <w:rFonts w:hint="eastAsia"/>
                      <w:color w:val="auto"/>
                      <w:highlight w:val="none"/>
                    </w:rPr>
                    <w:t>厂界外1m</w:t>
                  </w:r>
                </w:p>
              </w:tc>
              <w:tc>
                <w:tcPr>
                  <w:tcW w:w="2067" w:type="pct"/>
                  <w:vAlign w:val="center"/>
                </w:tcPr>
                <w:p w14:paraId="530F6EF0">
                  <w:pPr>
                    <w:pStyle w:val="20"/>
                    <w:spacing w:before="31"/>
                    <w:rPr>
                      <w:color w:val="auto"/>
                      <w:highlight w:val="none"/>
                    </w:rPr>
                  </w:pPr>
                  <w:r>
                    <w:rPr>
                      <w:rFonts w:hint="eastAsia"/>
                      <w:color w:val="auto"/>
                      <w:highlight w:val="none"/>
                    </w:rPr>
                    <w:t>《工业企业厂界环境噪声排放标准》（GB12348-2008）3类标准</w:t>
                  </w:r>
                </w:p>
              </w:tc>
            </w:tr>
          </w:tbl>
          <w:p w14:paraId="222D8817">
            <w:pPr>
              <w:pStyle w:val="2"/>
              <w:numPr>
                <w:ilvl w:val="0"/>
                <w:numId w:val="10"/>
              </w:numPr>
              <w:spacing w:before="156"/>
              <w:rPr>
                <w:rFonts w:hint="eastAsia" w:ascii="Times New Roman" w:hAnsi="Times New Roman" w:eastAsia="宋体" w:cs="Times New Roman"/>
                <w:b/>
                <w:bCs/>
                <w:color w:val="auto"/>
                <w:highlight w:val="none"/>
              </w:rPr>
            </w:pPr>
            <w:r>
              <w:rPr>
                <w:rFonts w:hint="eastAsia" w:ascii="Times New Roman" w:hAnsi="Times New Roman" w:eastAsia="宋体" w:cs="Times New Roman"/>
                <w:b/>
                <w:bCs/>
                <w:color w:val="auto"/>
                <w:highlight w:val="none"/>
              </w:rPr>
              <w:t>固体废物</w:t>
            </w:r>
          </w:p>
          <w:p w14:paraId="77759569">
            <w:pPr>
              <w:pStyle w:val="3"/>
              <w:ind w:firstLine="482"/>
              <w:rPr>
                <w:color w:val="auto"/>
                <w:highlight w:val="none"/>
              </w:rPr>
            </w:pPr>
            <w:r>
              <w:rPr>
                <w:rFonts w:hint="eastAsia"/>
                <w:color w:val="auto"/>
                <w:highlight w:val="none"/>
              </w:rPr>
              <w:t>1）固体废物产生量</w:t>
            </w:r>
          </w:p>
          <w:p w14:paraId="7ECC1D7E">
            <w:pPr>
              <w:pStyle w:val="18"/>
              <w:rPr>
                <w:rFonts w:hint="eastAsia"/>
                <w:color w:val="auto"/>
                <w:highlight w:val="none"/>
              </w:rPr>
            </w:pPr>
            <w:r>
              <w:rPr>
                <w:rFonts w:hint="eastAsia"/>
                <w:color w:val="auto"/>
                <w:highlight w:val="none"/>
                <w:lang w:eastAsia="zh-CN"/>
              </w:rPr>
              <w:t>扩建项目</w:t>
            </w:r>
            <w:r>
              <w:rPr>
                <w:rFonts w:hint="eastAsia"/>
                <w:color w:val="auto"/>
                <w:highlight w:val="none"/>
              </w:rPr>
              <w:t>运营期产生的固体废物可分为一般工业固体废物、危险废物和生活垃圾。</w:t>
            </w:r>
          </w:p>
          <w:p w14:paraId="31282DB7">
            <w:pPr>
              <w:pStyle w:val="18"/>
              <w:ind w:firstLine="482"/>
              <w:rPr>
                <w:b/>
                <w:bCs/>
                <w:color w:val="auto"/>
                <w:highlight w:val="none"/>
              </w:rPr>
            </w:pPr>
            <w:r>
              <w:rPr>
                <w:rFonts w:hint="eastAsia"/>
                <w:b/>
                <w:bCs/>
                <w:color w:val="auto"/>
                <w:highlight w:val="none"/>
              </w:rPr>
              <w:t>⑴一般工业固体废物</w:t>
            </w:r>
          </w:p>
          <w:p w14:paraId="114143D2">
            <w:pPr>
              <w:pStyle w:val="18"/>
              <w:rPr>
                <w:rFonts w:hint="eastAsia"/>
                <w:color w:val="auto"/>
                <w:highlight w:val="none"/>
                <w:lang w:eastAsia="zh-CN"/>
              </w:rPr>
            </w:pPr>
            <w:r>
              <w:rPr>
                <w:rFonts w:hint="eastAsia"/>
                <w:color w:val="auto"/>
                <w:highlight w:val="none"/>
              </w:rPr>
              <w:t>根据工艺流程和产排污环节分析，</w:t>
            </w:r>
            <w:r>
              <w:rPr>
                <w:rFonts w:hint="eastAsia"/>
                <w:color w:val="auto"/>
                <w:highlight w:val="none"/>
                <w:lang w:eastAsia="zh-CN"/>
              </w:rPr>
              <w:t>扩建项目</w:t>
            </w:r>
            <w:r>
              <w:rPr>
                <w:rFonts w:hint="eastAsia"/>
                <w:color w:val="auto"/>
                <w:highlight w:val="none"/>
              </w:rPr>
              <w:t>一般工业固体废物包括：S1</w:t>
            </w:r>
            <w:r>
              <w:rPr>
                <w:rFonts w:hint="eastAsia"/>
                <w:color w:val="auto"/>
                <w:highlight w:val="none"/>
                <w:lang w:val="en-US" w:eastAsia="zh-CN"/>
              </w:rPr>
              <w:t>废原料包装</w:t>
            </w:r>
            <w:r>
              <w:rPr>
                <w:rFonts w:hint="eastAsia"/>
                <w:color w:val="auto"/>
                <w:highlight w:val="none"/>
                <w:lang w:eastAsia="zh-CN"/>
              </w:rPr>
              <w:t>、</w:t>
            </w:r>
            <w:r>
              <w:rPr>
                <w:rFonts w:hint="eastAsia"/>
                <w:color w:val="auto"/>
                <w:highlight w:val="none"/>
              </w:rPr>
              <w:t>S2废料</w:t>
            </w:r>
            <w:r>
              <w:rPr>
                <w:rFonts w:hint="eastAsia"/>
                <w:color w:val="auto"/>
                <w:highlight w:val="none"/>
                <w:lang w:eastAsia="zh-CN"/>
              </w:rPr>
              <w:t>、</w:t>
            </w:r>
            <w:r>
              <w:rPr>
                <w:rFonts w:hint="eastAsia"/>
                <w:color w:val="auto"/>
                <w:highlight w:val="none"/>
              </w:rPr>
              <w:t>S3边角料</w:t>
            </w:r>
            <w:r>
              <w:rPr>
                <w:rFonts w:hint="eastAsia"/>
                <w:color w:val="auto"/>
                <w:highlight w:val="none"/>
                <w:lang w:eastAsia="zh-CN"/>
              </w:rPr>
              <w:t>、</w:t>
            </w:r>
            <w:r>
              <w:rPr>
                <w:rFonts w:hint="eastAsia"/>
                <w:color w:val="auto"/>
                <w:highlight w:val="none"/>
              </w:rPr>
              <w:t>S4不合格品</w:t>
            </w:r>
            <w:r>
              <w:rPr>
                <w:rFonts w:hint="eastAsia"/>
                <w:color w:val="auto"/>
                <w:highlight w:val="none"/>
                <w:lang w:eastAsia="zh-CN"/>
              </w:rPr>
              <w:t>、</w:t>
            </w:r>
            <w:r>
              <w:rPr>
                <w:rFonts w:hint="eastAsia"/>
                <w:color w:val="auto"/>
                <w:highlight w:val="none"/>
              </w:rPr>
              <w:t>S5</w:t>
            </w:r>
            <w:r>
              <w:rPr>
                <w:rFonts w:hint="eastAsia"/>
                <w:color w:val="auto"/>
                <w:highlight w:val="none"/>
                <w:lang w:val="en-US" w:eastAsia="zh-CN"/>
              </w:rPr>
              <w:t>废产品包装材料、</w:t>
            </w:r>
            <w:r>
              <w:rPr>
                <w:rFonts w:hint="eastAsia"/>
                <w:color w:val="auto"/>
                <w:highlight w:val="none"/>
              </w:rPr>
              <w:t>S</w:t>
            </w:r>
            <w:r>
              <w:rPr>
                <w:rFonts w:hint="eastAsia"/>
                <w:color w:val="auto"/>
                <w:highlight w:val="none"/>
                <w:lang w:val="en-US" w:eastAsia="zh-CN"/>
              </w:rPr>
              <w:t>10</w:t>
            </w:r>
            <w:r>
              <w:rPr>
                <w:rFonts w:hint="eastAsia"/>
                <w:color w:val="auto"/>
                <w:highlight w:val="none"/>
              </w:rPr>
              <w:t>废零件</w:t>
            </w:r>
            <w:r>
              <w:rPr>
                <w:rFonts w:hint="eastAsia"/>
                <w:color w:val="auto"/>
                <w:highlight w:val="none"/>
                <w:lang w:eastAsia="zh-CN"/>
              </w:rPr>
              <w:t>。</w:t>
            </w:r>
          </w:p>
          <w:p w14:paraId="2A067582">
            <w:pPr>
              <w:pStyle w:val="18"/>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rPr>
              <w:t>①</w:t>
            </w:r>
            <w:r>
              <w:rPr>
                <w:rFonts w:hint="eastAsia"/>
                <w:color w:val="auto"/>
                <w:highlight w:val="none"/>
                <w:lang w:val="en-US" w:eastAsia="zh-CN"/>
              </w:rPr>
              <w:t>废原料包装</w:t>
            </w:r>
            <w:r>
              <w:rPr>
                <w:rFonts w:hint="eastAsia"/>
                <w:color w:val="auto"/>
                <w:highlight w:val="none"/>
                <w:lang w:eastAsia="zh-CN"/>
              </w:rPr>
              <w:t>（</w:t>
            </w:r>
            <w:r>
              <w:rPr>
                <w:rFonts w:hint="eastAsia"/>
                <w:color w:val="auto"/>
                <w:highlight w:val="none"/>
                <w:lang w:val="en-US" w:eastAsia="zh-CN"/>
              </w:rPr>
              <w:t>900-003-S17、900-005-S17</w:t>
            </w:r>
            <w:r>
              <w:rPr>
                <w:rFonts w:hint="eastAsia"/>
                <w:color w:val="auto"/>
                <w:highlight w:val="none"/>
                <w:lang w:eastAsia="zh-CN"/>
              </w:rPr>
              <w:t>）：</w:t>
            </w:r>
            <w:r>
              <w:rPr>
                <w:rFonts w:hint="eastAsia"/>
                <w:color w:val="auto"/>
                <w:highlight w:val="none"/>
                <w:lang w:val="en-US" w:eastAsia="zh-CN"/>
              </w:rPr>
              <w:t>各塑料外包装编织袋，以及</w:t>
            </w:r>
            <w:r>
              <w:rPr>
                <w:rFonts w:hint="eastAsia"/>
                <w:b w:val="0"/>
                <w:bCs w:val="0"/>
                <w:color w:val="auto"/>
                <w:highlight w:val="none"/>
                <w:lang w:val="en-US" w:eastAsia="zh-CN"/>
              </w:rPr>
              <w:t>模具配件等原辅材料包装袋、包装盒等，主要为纸或塑料材质。</w:t>
            </w:r>
            <w:r>
              <w:rPr>
                <w:rFonts w:hint="eastAsia"/>
                <w:color w:val="auto"/>
                <w:highlight w:val="none"/>
                <w:lang w:val="en-US" w:eastAsia="zh-CN"/>
              </w:rPr>
              <w:t>产生量约为1t/a，一般固废暂存区暂存，交物资回收单位处置。</w:t>
            </w:r>
          </w:p>
          <w:p w14:paraId="3B608879">
            <w:pPr>
              <w:pStyle w:val="18"/>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rPr>
              <w:t>②废料</w:t>
            </w:r>
            <w:r>
              <w:rPr>
                <w:rFonts w:hint="eastAsia"/>
                <w:color w:val="auto"/>
                <w:highlight w:val="none"/>
                <w:lang w:eastAsia="zh-CN"/>
              </w:rPr>
              <w:t>（900-003-S17）：</w:t>
            </w:r>
            <w:r>
              <w:rPr>
                <w:rFonts w:hint="eastAsia"/>
                <w:color w:val="auto"/>
                <w:highlight w:val="none"/>
                <w:lang w:val="en-US" w:eastAsia="zh-CN"/>
              </w:rPr>
              <w:t>更换塑料颗粒后的初料为不同材质混合料，不宜回用，为废料，约占原料的0.03%，产生量为0.211t，一般固废暂存区暂存，交物资回收单位处置。</w:t>
            </w:r>
          </w:p>
          <w:p w14:paraId="793C053E">
            <w:pPr>
              <w:pStyle w:val="18"/>
              <w:bidi w:val="0"/>
              <w:rPr>
                <w:color w:val="auto"/>
                <w:highlight w:val="none"/>
              </w:rPr>
            </w:pPr>
            <w:r>
              <w:rPr>
                <w:rFonts w:hint="eastAsia"/>
                <w:color w:val="auto"/>
                <w:highlight w:val="none"/>
              </w:rPr>
              <w:t>③边角料</w:t>
            </w:r>
            <w:r>
              <w:rPr>
                <w:rFonts w:hint="eastAsia"/>
                <w:color w:val="auto"/>
                <w:highlight w:val="none"/>
                <w:lang w:eastAsia="zh-CN"/>
              </w:rPr>
              <w:t>（900-003-S17）：</w:t>
            </w:r>
            <w:r>
              <w:rPr>
                <w:rFonts w:hint="eastAsia"/>
                <w:color w:val="auto"/>
                <w:highlight w:val="none"/>
              </w:rPr>
              <w:t>生产过程中产生的边角料</w:t>
            </w:r>
            <w:r>
              <w:rPr>
                <w:rFonts w:hint="eastAsia"/>
                <w:color w:val="auto"/>
                <w:highlight w:val="none"/>
                <w:lang w:eastAsia="zh-CN"/>
              </w:rPr>
              <w:t>，</w:t>
            </w:r>
            <w:r>
              <w:rPr>
                <w:rFonts w:hint="eastAsia"/>
                <w:color w:val="auto"/>
                <w:highlight w:val="none"/>
                <w:lang w:val="en-US" w:eastAsia="zh-CN"/>
              </w:rPr>
              <w:t>约占原料的5%，</w:t>
            </w:r>
            <w:r>
              <w:rPr>
                <w:rFonts w:hint="eastAsia"/>
                <w:color w:val="auto"/>
                <w:highlight w:val="none"/>
              </w:rPr>
              <w:t>产生量</w:t>
            </w:r>
            <w:r>
              <w:rPr>
                <w:rFonts w:hint="eastAsia"/>
                <w:color w:val="auto"/>
                <w:highlight w:val="none"/>
                <w:lang w:val="en-US" w:eastAsia="zh-CN"/>
              </w:rPr>
              <w:t>为35.05</w:t>
            </w:r>
            <w:r>
              <w:rPr>
                <w:rFonts w:hint="eastAsia"/>
                <w:color w:val="auto"/>
                <w:highlight w:val="none"/>
              </w:rPr>
              <w:t>t/a，集中收集于</w:t>
            </w:r>
            <w:r>
              <w:rPr>
                <w:rFonts w:hint="eastAsia"/>
                <w:color w:val="auto"/>
                <w:highlight w:val="none"/>
                <w:lang w:val="en-US" w:eastAsia="zh-CN"/>
              </w:rPr>
              <w:t>破碎间</w:t>
            </w:r>
            <w:r>
              <w:rPr>
                <w:rFonts w:hint="eastAsia"/>
                <w:color w:val="auto"/>
                <w:highlight w:val="none"/>
              </w:rPr>
              <w:t>，经破碎后回用于生产。</w:t>
            </w:r>
          </w:p>
          <w:p w14:paraId="72D4700A">
            <w:pPr>
              <w:pStyle w:val="18"/>
              <w:bidi w:val="0"/>
              <w:rPr>
                <w:color w:val="auto"/>
                <w:highlight w:val="none"/>
              </w:rPr>
            </w:pPr>
            <w:r>
              <w:rPr>
                <w:rFonts w:hint="eastAsia"/>
                <w:color w:val="auto"/>
                <w:highlight w:val="none"/>
              </w:rPr>
              <w:t>④不合格品</w:t>
            </w:r>
            <w:r>
              <w:rPr>
                <w:rFonts w:hint="eastAsia"/>
                <w:color w:val="auto"/>
                <w:highlight w:val="none"/>
                <w:lang w:eastAsia="zh-CN"/>
              </w:rPr>
              <w:t>（900-003-S17）：</w:t>
            </w:r>
            <w:r>
              <w:rPr>
                <w:rFonts w:hint="eastAsia"/>
                <w:color w:val="auto"/>
                <w:highlight w:val="none"/>
              </w:rPr>
              <w:t>生产过程中产生的</w:t>
            </w:r>
            <w:r>
              <w:rPr>
                <w:rFonts w:hint="eastAsia"/>
                <w:color w:val="auto"/>
                <w:highlight w:val="none"/>
                <w:lang w:val="en-US" w:eastAsia="zh-CN"/>
              </w:rPr>
              <w:t>不合格品</w:t>
            </w:r>
            <w:r>
              <w:rPr>
                <w:rFonts w:hint="eastAsia"/>
                <w:color w:val="auto"/>
                <w:highlight w:val="none"/>
              </w:rPr>
              <w:t>产生量</w:t>
            </w:r>
            <w:r>
              <w:rPr>
                <w:rFonts w:hint="eastAsia"/>
                <w:color w:val="auto"/>
                <w:highlight w:val="none"/>
                <w:lang w:val="en-US" w:eastAsia="zh-CN"/>
              </w:rPr>
              <w:t>为21.575</w:t>
            </w:r>
            <w:r>
              <w:rPr>
                <w:rFonts w:hint="eastAsia"/>
                <w:color w:val="auto"/>
                <w:highlight w:val="none"/>
              </w:rPr>
              <w:t>t/a，集中收集于</w:t>
            </w:r>
            <w:r>
              <w:rPr>
                <w:rFonts w:hint="eastAsia"/>
                <w:color w:val="auto"/>
                <w:highlight w:val="none"/>
                <w:lang w:val="en-US" w:eastAsia="zh-CN"/>
              </w:rPr>
              <w:t>破碎间</w:t>
            </w:r>
            <w:r>
              <w:rPr>
                <w:rFonts w:hint="eastAsia"/>
                <w:color w:val="auto"/>
                <w:highlight w:val="none"/>
              </w:rPr>
              <w:t>，经破碎后回用于生产。</w:t>
            </w:r>
          </w:p>
          <w:p w14:paraId="4D3E953A">
            <w:pPr>
              <w:pStyle w:val="18"/>
              <w:keepNext w:val="0"/>
              <w:keepLines w:val="0"/>
              <w:suppressLineNumbers w:val="0"/>
              <w:spacing w:before="0" w:beforeAutospacing="0" w:after="0" w:afterAutospacing="0"/>
              <w:ind w:left="0" w:right="0"/>
              <w:rPr>
                <w:rFonts w:hint="default"/>
                <w:color w:val="auto"/>
                <w:highlight w:val="none"/>
                <w:lang w:val="en-US" w:eastAsia="zh-CN"/>
              </w:rPr>
            </w:pPr>
            <w:r>
              <w:rPr>
                <w:rFonts w:hint="eastAsia" w:ascii="宋体" w:hAnsi="宋体"/>
                <w:color w:val="auto"/>
                <w:highlight w:val="none"/>
              </w:rPr>
              <w:t>⑤</w:t>
            </w:r>
            <w:r>
              <w:rPr>
                <w:rFonts w:hint="eastAsia"/>
                <w:color w:val="auto"/>
                <w:highlight w:val="none"/>
                <w:lang w:val="en-US" w:eastAsia="zh-CN"/>
              </w:rPr>
              <w:t>废产品包装材料</w:t>
            </w:r>
            <w:r>
              <w:rPr>
                <w:rFonts w:hint="eastAsia"/>
                <w:color w:val="auto"/>
                <w:highlight w:val="none"/>
              </w:rPr>
              <w:t>（</w:t>
            </w:r>
            <w:r>
              <w:rPr>
                <w:rFonts w:hint="eastAsia"/>
                <w:color w:val="auto"/>
                <w:highlight w:val="none"/>
                <w:lang w:val="en-US" w:eastAsia="zh-CN"/>
              </w:rPr>
              <w:t>900-003-S17、900-005-S17</w:t>
            </w:r>
            <w:r>
              <w:rPr>
                <w:rFonts w:hint="eastAsia"/>
                <w:color w:val="auto"/>
                <w:highlight w:val="none"/>
              </w:rPr>
              <w:t>）：</w:t>
            </w:r>
            <w:r>
              <w:rPr>
                <w:rFonts w:hint="eastAsia"/>
                <w:color w:val="auto"/>
                <w:highlight w:val="none"/>
                <w:lang w:val="en-US" w:eastAsia="zh-CN"/>
              </w:rPr>
              <w:t>主要为</w:t>
            </w:r>
            <w:r>
              <w:rPr>
                <w:rFonts w:hint="eastAsia"/>
                <w:b w:val="0"/>
                <w:bCs w:val="0"/>
                <w:color w:val="auto"/>
                <w:highlight w:val="none"/>
                <w:lang w:val="en-US" w:eastAsia="zh-CN"/>
              </w:rPr>
              <w:t>包装过程中裁切的软垫、纸壳、薄膜、打包带等，主要成分为塑料、纸。产生量约2t/a。</w:t>
            </w:r>
            <w:r>
              <w:rPr>
                <w:rFonts w:hint="eastAsia"/>
                <w:color w:val="auto"/>
                <w:highlight w:val="none"/>
                <w:lang w:val="en-US" w:eastAsia="zh-CN"/>
              </w:rPr>
              <w:t>于一般固废暂存区暂存，交物资回收单位处置。</w:t>
            </w:r>
          </w:p>
          <w:p w14:paraId="6DC8D966">
            <w:pPr>
              <w:pStyle w:val="18"/>
              <w:rPr>
                <w:rFonts w:hint="eastAsia" w:eastAsia="宋体"/>
                <w:color w:val="auto"/>
                <w:highlight w:val="none"/>
                <w:lang w:eastAsia="zh-CN"/>
              </w:rPr>
            </w:pPr>
            <w:r>
              <w:rPr>
                <w:rFonts w:hint="eastAsia" w:ascii="宋体" w:hAnsi="宋体"/>
                <w:color w:val="auto"/>
                <w:highlight w:val="none"/>
              </w:rPr>
              <w:t>⑥</w:t>
            </w:r>
            <w:r>
              <w:rPr>
                <w:rFonts w:hint="eastAsia"/>
                <w:color w:val="auto"/>
                <w:highlight w:val="none"/>
              </w:rPr>
              <w:t>废零件</w:t>
            </w:r>
            <w:r>
              <w:rPr>
                <w:rFonts w:hint="eastAsia"/>
                <w:color w:val="auto"/>
                <w:highlight w:val="none"/>
                <w:lang w:eastAsia="zh-CN"/>
              </w:rPr>
              <w:t>（</w:t>
            </w:r>
            <w:r>
              <w:rPr>
                <w:rFonts w:hint="eastAsia"/>
                <w:color w:val="auto"/>
                <w:highlight w:val="none"/>
                <w:lang w:val="en-US" w:eastAsia="zh-CN"/>
              </w:rPr>
              <w:t>未沾染油渍）</w:t>
            </w:r>
            <w:r>
              <w:rPr>
                <w:rFonts w:hint="eastAsia"/>
                <w:color w:val="auto"/>
                <w:highlight w:val="none"/>
                <w:lang w:eastAsia="zh-CN"/>
              </w:rPr>
              <w:t>（</w:t>
            </w:r>
            <w:r>
              <w:rPr>
                <w:rFonts w:hint="eastAsia"/>
                <w:color w:val="auto"/>
                <w:highlight w:val="none"/>
              </w:rPr>
              <w:t>900-013-S17</w:t>
            </w:r>
            <w:r>
              <w:rPr>
                <w:rFonts w:hint="eastAsia"/>
                <w:color w:val="auto"/>
                <w:highlight w:val="none"/>
                <w:lang w:eastAsia="zh-CN"/>
              </w:rPr>
              <w:t>）：</w:t>
            </w:r>
            <w:r>
              <w:rPr>
                <w:rFonts w:hint="eastAsia"/>
                <w:color w:val="auto"/>
                <w:kern w:val="0"/>
                <w:sz w:val="24"/>
                <w:highlight w:val="none"/>
                <w:lang w:bidi="ar"/>
              </w:rPr>
              <w:t>设备及模具维护过程中</w:t>
            </w:r>
            <w:r>
              <w:rPr>
                <w:rFonts w:hint="eastAsia"/>
                <w:color w:val="auto"/>
                <w:kern w:val="0"/>
                <w:sz w:val="24"/>
                <w:highlight w:val="none"/>
                <w:lang w:val="en-US" w:eastAsia="zh-CN" w:bidi="ar"/>
              </w:rPr>
              <w:t>更换</w:t>
            </w:r>
            <w:r>
              <w:rPr>
                <w:rFonts w:hint="eastAsia"/>
                <w:color w:val="auto"/>
                <w:kern w:val="0"/>
                <w:sz w:val="24"/>
                <w:highlight w:val="none"/>
                <w:lang w:bidi="ar"/>
              </w:rPr>
              <w:t>的废零件，产生量约0.</w:t>
            </w:r>
            <w:r>
              <w:rPr>
                <w:rFonts w:hint="eastAsia"/>
                <w:color w:val="auto"/>
                <w:kern w:val="0"/>
                <w:sz w:val="24"/>
                <w:highlight w:val="none"/>
                <w:lang w:val="en-US" w:eastAsia="zh-CN" w:bidi="ar"/>
              </w:rPr>
              <w:t>05</w:t>
            </w:r>
            <w:r>
              <w:rPr>
                <w:rFonts w:hint="eastAsia"/>
                <w:color w:val="auto"/>
                <w:kern w:val="0"/>
                <w:sz w:val="24"/>
                <w:highlight w:val="none"/>
                <w:lang w:bidi="ar"/>
              </w:rPr>
              <w:t>t/a，集中收集后暂存于一般固废暂存区，交物资回收单位回收。</w:t>
            </w:r>
          </w:p>
          <w:p w14:paraId="2AF0432B">
            <w:pPr>
              <w:pStyle w:val="18"/>
              <w:ind w:firstLine="482"/>
              <w:rPr>
                <w:b/>
                <w:bCs/>
                <w:color w:val="auto"/>
                <w:highlight w:val="none"/>
              </w:rPr>
            </w:pPr>
            <w:r>
              <w:rPr>
                <w:rFonts w:hint="eastAsia"/>
                <w:b/>
                <w:bCs/>
                <w:color w:val="auto"/>
                <w:highlight w:val="none"/>
              </w:rPr>
              <w:t>⑵危险废物</w:t>
            </w:r>
          </w:p>
          <w:p w14:paraId="5961F06F">
            <w:pPr>
              <w:pStyle w:val="18"/>
              <w:rPr>
                <w:rFonts w:hint="eastAsia" w:eastAsia="宋体"/>
                <w:color w:val="auto"/>
                <w:highlight w:val="none"/>
                <w:lang w:eastAsia="zh-CN"/>
              </w:rPr>
            </w:pPr>
            <w:r>
              <w:rPr>
                <w:rFonts w:hint="eastAsia"/>
                <w:color w:val="auto"/>
                <w:highlight w:val="none"/>
                <w:lang w:eastAsia="zh-CN"/>
              </w:rPr>
              <w:t>扩建项目</w:t>
            </w:r>
            <w:r>
              <w:rPr>
                <w:rFonts w:hint="eastAsia"/>
                <w:color w:val="auto"/>
                <w:highlight w:val="none"/>
              </w:rPr>
              <w:t>危险废物主要包括：S6废润滑油</w:t>
            </w:r>
            <w:r>
              <w:rPr>
                <w:rFonts w:hint="eastAsia"/>
                <w:color w:val="auto"/>
                <w:highlight w:val="none"/>
                <w:lang w:eastAsia="zh-CN"/>
              </w:rPr>
              <w:t>、</w:t>
            </w:r>
            <w:r>
              <w:rPr>
                <w:rFonts w:hint="eastAsia"/>
                <w:color w:val="auto"/>
                <w:highlight w:val="none"/>
              </w:rPr>
              <w:t>S7废油桶</w:t>
            </w:r>
            <w:r>
              <w:rPr>
                <w:rFonts w:hint="eastAsia"/>
                <w:color w:val="auto"/>
                <w:highlight w:val="none"/>
                <w:lang w:eastAsia="zh-CN"/>
              </w:rPr>
              <w:t>、</w:t>
            </w:r>
            <w:r>
              <w:rPr>
                <w:rFonts w:hint="eastAsia"/>
                <w:color w:val="auto"/>
                <w:highlight w:val="none"/>
              </w:rPr>
              <w:t>S8废含油棉纱及手套</w:t>
            </w:r>
            <w:r>
              <w:rPr>
                <w:rFonts w:hint="eastAsia"/>
                <w:color w:val="auto"/>
                <w:highlight w:val="none"/>
                <w:lang w:eastAsia="zh-CN"/>
              </w:rPr>
              <w:t>、</w:t>
            </w:r>
            <w:r>
              <w:rPr>
                <w:rFonts w:hint="eastAsia"/>
                <w:color w:val="auto"/>
                <w:highlight w:val="none"/>
              </w:rPr>
              <w:t>S9废液压油</w:t>
            </w:r>
            <w:r>
              <w:rPr>
                <w:rFonts w:hint="eastAsia"/>
                <w:color w:val="auto"/>
                <w:highlight w:val="none"/>
                <w:lang w:eastAsia="zh-CN"/>
              </w:rPr>
              <w:t>、</w:t>
            </w:r>
            <w:r>
              <w:rPr>
                <w:rFonts w:hint="eastAsia"/>
                <w:color w:val="auto"/>
                <w:highlight w:val="none"/>
                <w:lang w:val="en-US" w:eastAsia="zh-CN"/>
              </w:rPr>
              <w:t>S11废零件（沾有油渍）、</w:t>
            </w:r>
            <w:r>
              <w:rPr>
                <w:rFonts w:hint="eastAsia"/>
                <w:color w:val="auto"/>
                <w:highlight w:val="none"/>
              </w:rPr>
              <w:t>S1</w:t>
            </w:r>
            <w:r>
              <w:rPr>
                <w:rFonts w:hint="eastAsia"/>
                <w:color w:val="auto"/>
                <w:highlight w:val="none"/>
                <w:lang w:val="en-US" w:eastAsia="zh-CN"/>
              </w:rPr>
              <w:t>2</w:t>
            </w:r>
            <w:r>
              <w:rPr>
                <w:rFonts w:hint="eastAsia"/>
                <w:color w:val="auto"/>
                <w:highlight w:val="none"/>
              </w:rPr>
              <w:t>废</w:t>
            </w:r>
            <w:r>
              <w:rPr>
                <w:rFonts w:hint="eastAsia"/>
                <w:color w:val="auto"/>
                <w:highlight w:val="none"/>
                <w:lang w:val="en-US" w:eastAsia="zh-CN"/>
              </w:rPr>
              <w:t>脱模</w:t>
            </w:r>
            <w:r>
              <w:rPr>
                <w:rFonts w:hint="eastAsia"/>
                <w:color w:val="auto"/>
                <w:highlight w:val="none"/>
              </w:rPr>
              <w:t>清洗剂瓶</w:t>
            </w:r>
            <w:r>
              <w:rPr>
                <w:rFonts w:hint="eastAsia"/>
                <w:color w:val="auto"/>
                <w:highlight w:val="none"/>
                <w:lang w:eastAsia="zh-CN"/>
              </w:rPr>
              <w:t>、</w:t>
            </w:r>
            <w:r>
              <w:rPr>
                <w:rFonts w:hint="eastAsia"/>
                <w:color w:val="auto"/>
                <w:highlight w:val="none"/>
              </w:rPr>
              <w:t>S1</w:t>
            </w:r>
            <w:r>
              <w:rPr>
                <w:rFonts w:hint="eastAsia"/>
                <w:color w:val="auto"/>
                <w:highlight w:val="none"/>
                <w:lang w:val="en-US" w:eastAsia="zh-CN"/>
              </w:rPr>
              <w:t>3</w:t>
            </w:r>
            <w:r>
              <w:rPr>
                <w:rFonts w:hint="eastAsia"/>
                <w:color w:val="auto"/>
                <w:highlight w:val="none"/>
              </w:rPr>
              <w:t>空压机废油</w:t>
            </w:r>
            <w:r>
              <w:rPr>
                <w:rFonts w:hint="eastAsia"/>
                <w:color w:val="auto"/>
                <w:highlight w:val="none"/>
                <w:lang w:eastAsia="zh-CN"/>
              </w:rPr>
              <w:t>、</w:t>
            </w:r>
            <w:r>
              <w:rPr>
                <w:rFonts w:hint="eastAsia"/>
                <w:color w:val="auto"/>
                <w:highlight w:val="none"/>
                <w:lang w:val="en-US" w:eastAsia="zh-CN"/>
              </w:rPr>
              <w:t>S14废UV灯管、</w:t>
            </w:r>
            <w:r>
              <w:rPr>
                <w:rFonts w:hint="eastAsia"/>
                <w:color w:val="auto"/>
                <w:highlight w:val="none"/>
              </w:rPr>
              <w:t>S1</w:t>
            </w:r>
            <w:r>
              <w:rPr>
                <w:rFonts w:hint="eastAsia"/>
                <w:color w:val="auto"/>
                <w:highlight w:val="none"/>
                <w:lang w:val="en-US" w:eastAsia="zh-CN"/>
              </w:rPr>
              <w:t>5废过滤棉、S16</w:t>
            </w:r>
            <w:r>
              <w:rPr>
                <w:rFonts w:hint="eastAsia"/>
                <w:color w:val="auto"/>
                <w:highlight w:val="none"/>
              </w:rPr>
              <w:t>废</w:t>
            </w:r>
            <w:r>
              <w:rPr>
                <w:rFonts w:hint="eastAsia"/>
                <w:color w:val="auto"/>
                <w:highlight w:val="none"/>
                <w:lang w:val="en-US" w:eastAsia="zh-CN"/>
              </w:rPr>
              <w:t>活性炭，于危险废物贮存点内暂存，交有资质单位处置。</w:t>
            </w:r>
          </w:p>
          <w:p w14:paraId="350DE292">
            <w:pPr>
              <w:pStyle w:val="18"/>
              <w:rPr>
                <w:color w:val="auto"/>
                <w:highlight w:val="none"/>
              </w:rPr>
            </w:pPr>
            <w:r>
              <w:rPr>
                <w:rFonts w:hint="eastAsia"/>
                <w:color w:val="auto"/>
                <w:highlight w:val="none"/>
              </w:rPr>
              <w:t>①废润滑油：危废类别为“HW08废矿物油与含矿物油废物”，代码为900-2</w:t>
            </w:r>
            <w:r>
              <w:rPr>
                <w:rFonts w:hint="eastAsia"/>
                <w:color w:val="auto"/>
                <w:highlight w:val="none"/>
                <w:lang w:val="en-US" w:eastAsia="zh-CN"/>
              </w:rPr>
              <w:t>17</w:t>
            </w:r>
            <w:r>
              <w:rPr>
                <w:rFonts w:hint="eastAsia"/>
                <w:color w:val="auto"/>
                <w:highlight w:val="none"/>
              </w:rPr>
              <w:t>-08。项目运营期设备维护保养产生的少量废润滑油，产生量约0.</w:t>
            </w:r>
            <w:r>
              <w:rPr>
                <w:rFonts w:hint="eastAsia"/>
                <w:color w:val="auto"/>
                <w:highlight w:val="none"/>
                <w:lang w:val="en-US" w:eastAsia="zh-CN"/>
              </w:rPr>
              <w:t>2</w:t>
            </w:r>
            <w:r>
              <w:rPr>
                <w:rFonts w:hint="eastAsia"/>
                <w:color w:val="auto"/>
                <w:highlight w:val="none"/>
              </w:rPr>
              <w:t>t/a。</w:t>
            </w:r>
          </w:p>
          <w:p w14:paraId="5BA74A1D">
            <w:pPr>
              <w:pStyle w:val="18"/>
              <w:rPr>
                <w:rFonts w:hint="eastAsia"/>
                <w:color w:val="auto"/>
                <w:highlight w:val="none"/>
                <w:lang w:val="en-US" w:eastAsia="zh-CN"/>
              </w:rPr>
            </w:pPr>
            <w:r>
              <w:rPr>
                <w:color w:val="auto"/>
                <w:highlight w:val="none"/>
              </w:rPr>
              <w:t>②</w:t>
            </w:r>
            <w:r>
              <w:rPr>
                <w:rFonts w:hint="eastAsia"/>
                <w:color w:val="auto"/>
                <w:highlight w:val="none"/>
              </w:rPr>
              <w:t>废油桶：危废类别为“HW08废矿物油与含矿物油废物”，代码为900-249-08。项目运营期设备维护保养</w:t>
            </w:r>
            <w:r>
              <w:rPr>
                <w:rFonts w:hint="eastAsia"/>
                <w:color w:val="auto"/>
                <w:highlight w:val="none"/>
                <w:lang w:val="en-US" w:eastAsia="zh-CN"/>
              </w:rPr>
              <w:t>产生少量废油桶，产生量约为0.1t/a。</w:t>
            </w:r>
          </w:p>
          <w:p w14:paraId="7B337471">
            <w:pPr>
              <w:pStyle w:val="18"/>
              <w:rPr>
                <w:color w:val="auto"/>
                <w:highlight w:val="none"/>
              </w:rPr>
            </w:pPr>
            <w:r>
              <w:rPr>
                <w:color w:val="auto"/>
                <w:highlight w:val="none"/>
              </w:rPr>
              <w:t>③</w:t>
            </w:r>
            <w:r>
              <w:rPr>
                <w:rFonts w:hint="eastAsia"/>
                <w:color w:val="auto"/>
                <w:highlight w:val="none"/>
              </w:rPr>
              <w:t>废含油棉纱和手套：危废类别为“HW49其他废物”，代码900-041-49</w:t>
            </w:r>
            <w:r>
              <w:rPr>
                <w:rFonts w:hint="eastAsia"/>
                <w:color w:val="auto"/>
                <w:highlight w:val="none"/>
                <w:lang w:eastAsia="zh-CN"/>
              </w:rPr>
              <w:t>。</w:t>
            </w:r>
            <w:r>
              <w:rPr>
                <w:rFonts w:hint="eastAsia"/>
                <w:color w:val="auto"/>
                <w:highlight w:val="none"/>
              </w:rPr>
              <w:t>项目运营期设备维护保养产生少量的废含油棉纱和手套，产生量约为0.05t/a</w:t>
            </w:r>
          </w:p>
          <w:p w14:paraId="43E33FE0">
            <w:pPr>
              <w:pStyle w:val="18"/>
              <w:rPr>
                <w:rFonts w:hint="eastAsia"/>
                <w:color w:val="auto"/>
                <w:highlight w:val="none"/>
                <w:lang w:val="en-US" w:eastAsia="zh-CN"/>
              </w:rPr>
            </w:pPr>
            <w:r>
              <w:rPr>
                <w:rFonts w:hint="eastAsia"/>
                <w:color w:val="auto"/>
                <w:highlight w:val="none"/>
              </w:rPr>
              <w:t>④</w:t>
            </w:r>
            <w:r>
              <w:rPr>
                <w:rFonts w:hint="eastAsia"/>
                <w:color w:val="auto"/>
                <w:highlight w:val="none"/>
                <w:lang w:val="en-US" w:eastAsia="zh-CN"/>
              </w:rPr>
              <w:t>废液压油：</w:t>
            </w:r>
            <w:r>
              <w:rPr>
                <w:rFonts w:hint="eastAsia"/>
                <w:color w:val="auto"/>
                <w:highlight w:val="none"/>
              </w:rPr>
              <w:t>危废类别为“HW08废矿物油与含矿物油废物”，代码为900-2</w:t>
            </w:r>
            <w:r>
              <w:rPr>
                <w:rFonts w:hint="eastAsia"/>
                <w:color w:val="auto"/>
                <w:highlight w:val="none"/>
                <w:lang w:val="en-US" w:eastAsia="zh-CN"/>
              </w:rPr>
              <w:t>18</w:t>
            </w:r>
            <w:r>
              <w:rPr>
                <w:rFonts w:hint="eastAsia"/>
                <w:color w:val="auto"/>
                <w:highlight w:val="none"/>
              </w:rPr>
              <w:t>-08。</w:t>
            </w:r>
            <w:r>
              <w:rPr>
                <w:rFonts w:hint="eastAsia"/>
                <w:color w:val="auto"/>
                <w:highlight w:val="none"/>
                <w:lang w:val="en-US" w:eastAsia="zh-CN"/>
              </w:rPr>
              <w:t>注塑机液压油每三年更换一次，分批定期更换，平均产生量约0.75t/a。</w:t>
            </w:r>
          </w:p>
          <w:p w14:paraId="7E144D7E">
            <w:pPr>
              <w:pStyle w:val="18"/>
              <w:rPr>
                <w:rFonts w:hint="eastAsia" w:eastAsia="宋体"/>
                <w:color w:val="auto"/>
                <w:highlight w:val="none"/>
                <w:lang w:val="en-US" w:eastAsia="zh-CN"/>
              </w:rPr>
            </w:pPr>
            <w:r>
              <w:rPr>
                <w:rFonts w:hint="eastAsia" w:ascii="宋体" w:hAnsi="宋体"/>
                <w:color w:val="auto"/>
                <w:highlight w:val="none"/>
              </w:rPr>
              <w:t>⑤</w:t>
            </w:r>
            <w:r>
              <w:rPr>
                <w:rFonts w:hint="eastAsia"/>
                <w:color w:val="auto"/>
                <w:highlight w:val="none"/>
              </w:rPr>
              <w:t>废零件</w:t>
            </w:r>
            <w:r>
              <w:rPr>
                <w:rFonts w:hint="eastAsia"/>
                <w:color w:val="auto"/>
                <w:highlight w:val="none"/>
                <w:lang w:eastAsia="zh-CN"/>
              </w:rPr>
              <w:t>（</w:t>
            </w:r>
            <w:r>
              <w:rPr>
                <w:rFonts w:hint="eastAsia"/>
                <w:color w:val="auto"/>
                <w:highlight w:val="none"/>
                <w:lang w:val="en-US" w:eastAsia="zh-CN"/>
              </w:rPr>
              <w:t>沾有油渍）</w:t>
            </w:r>
            <w:r>
              <w:rPr>
                <w:rFonts w:hint="eastAsia"/>
                <w:color w:val="auto"/>
                <w:highlight w:val="none"/>
                <w:lang w:eastAsia="zh-CN"/>
              </w:rPr>
              <w:t>：</w:t>
            </w:r>
            <w:r>
              <w:rPr>
                <w:rFonts w:hint="eastAsia"/>
                <w:color w:val="auto"/>
                <w:highlight w:val="none"/>
              </w:rPr>
              <w:t>危废类别为“HW49其他废物”，代码900-041-49</w:t>
            </w:r>
            <w:r>
              <w:rPr>
                <w:rFonts w:hint="eastAsia"/>
                <w:color w:val="auto"/>
                <w:highlight w:val="none"/>
                <w:lang w:eastAsia="zh-CN"/>
              </w:rPr>
              <w:t>。</w:t>
            </w:r>
            <w:r>
              <w:rPr>
                <w:rFonts w:hint="eastAsia"/>
                <w:color w:val="auto"/>
                <w:kern w:val="0"/>
                <w:sz w:val="24"/>
                <w:highlight w:val="none"/>
                <w:lang w:bidi="ar"/>
              </w:rPr>
              <w:t>设备及模具维护过程中产生的</w:t>
            </w:r>
            <w:r>
              <w:rPr>
                <w:rFonts w:hint="eastAsia"/>
                <w:color w:val="auto"/>
                <w:kern w:val="0"/>
                <w:sz w:val="24"/>
                <w:highlight w:val="none"/>
                <w:lang w:val="en-US" w:eastAsia="zh-CN" w:bidi="ar"/>
              </w:rPr>
              <w:t>沾染油渍的</w:t>
            </w:r>
            <w:r>
              <w:rPr>
                <w:rFonts w:hint="eastAsia"/>
                <w:color w:val="auto"/>
                <w:kern w:val="0"/>
                <w:sz w:val="24"/>
                <w:highlight w:val="none"/>
                <w:lang w:bidi="ar"/>
              </w:rPr>
              <w:t>废零件，产生量约0.</w:t>
            </w:r>
            <w:r>
              <w:rPr>
                <w:rFonts w:hint="eastAsia"/>
                <w:color w:val="auto"/>
                <w:kern w:val="0"/>
                <w:sz w:val="24"/>
                <w:highlight w:val="none"/>
                <w:lang w:val="en-US" w:eastAsia="zh-CN" w:bidi="ar"/>
              </w:rPr>
              <w:t>05</w:t>
            </w:r>
            <w:r>
              <w:rPr>
                <w:rFonts w:hint="eastAsia"/>
                <w:color w:val="auto"/>
                <w:kern w:val="0"/>
                <w:sz w:val="24"/>
                <w:highlight w:val="none"/>
                <w:lang w:bidi="ar"/>
              </w:rPr>
              <w:t>t/a</w:t>
            </w:r>
            <w:r>
              <w:rPr>
                <w:rFonts w:hint="eastAsia"/>
                <w:color w:val="auto"/>
                <w:kern w:val="0"/>
                <w:sz w:val="24"/>
                <w:highlight w:val="none"/>
                <w:lang w:eastAsia="zh-CN" w:bidi="ar"/>
              </w:rPr>
              <w:t>。</w:t>
            </w:r>
          </w:p>
          <w:p w14:paraId="014ABAC6">
            <w:pPr>
              <w:pStyle w:val="18"/>
              <w:rPr>
                <w:rFonts w:hint="default" w:eastAsia="宋体"/>
                <w:color w:val="auto"/>
                <w:highlight w:val="none"/>
                <w:lang w:val="en-US" w:eastAsia="zh-CN"/>
              </w:rPr>
            </w:pPr>
            <w:r>
              <w:rPr>
                <w:rFonts w:hint="eastAsia" w:ascii="宋体" w:hAnsi="宋体"/>
                <w:color w:val="auto"/>
                <w:highlight w:val="none"/>
              </w:rPr>
              <w:t>⑥</w:t>
            </w:r>
            <w:r>
              <w:rPr>
                <w:rFonts w:hint="eastAsia"/>
                <w:color w:val="auto"/>
                <w:highlight w:val="none"/>
              </w:rPr>
              <w:t>废</w:t>
            </w:r>
            <w:r>
              <w:rPr>
                <w:rFonts w:hint="eastAsia"/>
                <w:color w:val="auto"/>
                <w:highlight w:val="none"/>
                <w:lang w:val="en-US" w:eastAsia="zh-CN"/>
              </w:rPr>
              <w:t>脱模</w:t>
            </w:r>
            <w:r>
              <w:rPr>
                <w:rFonts w:hint="eastAsia"/>
                <w:color w:val="auto"/>
                <w:highlight w:val="none"/>
              </w:rPr>
              <w:t>清洗剂瓶</w:t>
            </w:r>
            <w:r>
              <w:rPr>
                <w:rFonts w:hint="eastAsia" w:ascii="宋体" w:hAnsi="宋体"/>
                <w:color w:val="auto"/>
                <w:highlight w:val="none"/>
                <w:lang w:val="en-US" w:eastAsia="zh-CN"/>
              </w:rPr>
              <w:t>：</w:t>
            </w:r>
            <w:r>
              <w:rPr>
                <w:rFonts w:hint="eastAsia"/>
                <w:color w:val="auto"/>
                <w:highlight w:val="none"/>
              </w:rPr>
              <w:t>危废类别为“HW49其他废物”，代码900-041-49</w:t>
            </w:r>
            <w:r>
              <w:rPr>
                <w:rFonts w:hint="eastAsia"/>
                <w:color w:val="auto"/>
                <w:highlight w:val="none"/>
                <w:lang w:eastAsia="zh-CN"/>
              </w:rPr>
              <w:t>。</w:t>
            </w:r>
            <w:r>
              <w:rPr>
                <w:rFonts w:hint="eastAsia"/>
                <w:color w:val="auto"/>
                <w:highlight w:val="none"/>
                <w:lang w:val="en-US" w:eastAsia="zh-CN"/>
              </w:rPr>
              <w:t>使用后的脱模剂、清洗剂空瓶，总计450瓶，约40g/瓶，产生量约为0.018t。</w:t>
            </w:r>
          </w:p>
          <w:p w14:paraId="791C3103">
            <w:pPr>
              <w:pStyle w:val="18"/>
              <w:bidi w:val="0"/>
              <w:rPr>
                <w:rFonts w:hint="eastAsia"/>
                <w:color w:val="auto"/>
                <w:highlight w:val="none"/>
              </w:rPr>
            </w:pPr>
            <w:r>
              <w:rPr>
                <w:rFonts w:hint="eastAsia"/>
                <w:color w:val="auto"/>
                <w:highlight w:val="none"/>
              </w:rPr>
              <w:t>⑦</w:t>
            </w:r>
            <w:r>
              <w:rPr>
                <w:rFonts w:hint="eastAsia"/>
                <w:color w:val="auto"/>
                <w:highlight w:val="none"/>
                <w:lang w:val="en-US" w:eastAsia="zh-CN"/>
              </w:rPr>
              <w:t>空压机废油</w:t>
            </w:r>
            <w:r>
              <w:rPr>
                <w:rFonts w:hint="eastAsia"/>
                <w:color w:val="auto"/>
                <w:highlight w:val="none"/>
              </w:rPr>
              <w:t>：危废类别为“HW08废矿物油与含矿物油废物”，代码为900-</w:t>
            </w:r>
            <w:r>
              <w:rPr>
                <w:rFonts w:hint="eastAsia"/>
                <w:color w:val="auto"/>
                <w:highlight w:val="none"/>
                <w:lang w:val="en-US" w:eastAsia="zh-CN"/>
              </w:rPr>
              <w:t>249</w:t>
            </w:r>
            <w:r>
              <w:rPr>
                <w:rFonts w:hint="eastAsia"/>
                <w:color w:val="auto"/>
                <w:highlight w:val="none"/>
              </w:rPr>
              <w:t>-</w:t>
            </w:r>
            <w:r>
              <w:rPr>
                <w:rFonts w:hint="eastAsia"/>
                <w:color w:val="auto"/>
                <w:highlight w:val="none"/>
                <w:lang w:val="en-US" w:eastAsia="zh-CN"/>
              </w:rPr>
              <w:t>08</w:t>
            </w:r>
            <w:r>
              <w:rPr>
                <w:rFonts w:hint="eastAsia"/>
                <w:color w:val="auto"/>
                <w:highlight w:val="none"/>
              </w:rPr>
              <w:t>。项目空压机运行过程中产生少量</w:t>
            </w:r>
            <w:r>
              <w:rPr>
                <w:rFonts w:hint="eastAsia"/>
                <w:color w:val="auto"/>
                <w:highlight w:val="none"/>
                <w:lang w:val="en-US" w:eastAsia="zh-CN"/>
              </w:rPr>
              <w:t>废油</w:t>
            </w:r>
            <w:r>
              <w:rPr>
                <w:rFonts w:hint="eastAsia"/>
                <w:color w:val="auto"/>
                <w:highlight w:val="none"/>
              </w:rPr>
              <w:t>，产生量约为0.0</w:t>
            </w:r>
            <w:r>
              <w:rPr>
                <w:rFonts w:hint="eastAsia"/>
                <w:color w:val="auto"/>
                <w:highlight w:val="none"/>
                <w:lang w:val="en-US" w:eastAsia="zh-CN"/>
              </w:rPr>
              <w:t>2</w:t>
            </w:r>
            <w:r>
              <w:rPr>
                <w:rFonts w:hint="eastAsia"/>
                <w:color w:val="auto"/>
                <w:highlight w:val="none"/>
              </w:rPr>
              <w:t>t/a。</w:t>
            </w:r>
          </w:p>
          <w:p w14:paraId="663BF76A">
            <w:pPr>
              <w:pStyle w:val="18"/>
              <w:bidi w:val="0"/>
              <w:rPr>
                <w:rFonts w:hint="default"/>
                <w:color w:val="auto"/>
                <w:highlight w:val="none"/>
                <w:lang w:val="en-US" w:eastAsia="zh-CN"/>
              </w:rPr>
            </w:pPr>
            <w:r>
              <w:rPr>
                <w:rFonts w:hint="eastAsia"/>
                <w:color w:val="auto"/>
                <w:highlight w:val="none"/>
              </w:rPr>
              <w:t>⑧</w:t>
            </w:r>
            <w:r>
              <w:rPr>
                <w:rFonts w:hint="eastAsia"/>
                <w:color w:val="auto"/>
                <w:highlight w:val="none"/>
                <w:lang w:val="en-US" w:eastAsia="zh-CN"/>
              </w:rPr>
              <w:t>废UV灯管：危废类别为“HW29含汞废物”，代码900-023-29。</w:t>
            </w:r>
            <w:r>
              <w:rPr>
                <w:color w:val="auto"/>
                <w:highlight w:val="none"/>
              </w:rPr>
              <w:t>项目</w:t>
            </w:r>
            <w:r>
              <w:rPr>
                <w:rFonts w:hint="eastAsia"/>
                <w:color w:val="auto"/>
                <w:highlight w:val="none"/>
              </w:rPr>
              <w:t>有机</w:t>
            </w:r>
            <w:r>
              <w:rPr>
                <w:color w:val="auto"/>
                <w:highlight w:val="none"/>
              </w:rPr>
              <w:t>废气采用</w:t>
            </w:r>
            <w:r>
              <w:rPr>
                <w:rFonts w:hint="eastAsia"/>
                <w:color w:val="auto"/>
                <w:highlight w:val="none"/>
              </w:rPr>
              <w:t>“</w:t>
            </w:r>
            <w:r>
              <w:rPr>
                <w:rFonts w:hint="eastAsia"/>
                <w:color w:val="auto"/>
                <w:highlight w:val="none"/>
                <w:lang w:eastAsia="zh-CN"/>
              </w:rPr>
              <w:t>过滤棉+UV光氧化+两级活性炭</w:t>
            </w:r>
            <w:r>
              <w:rPr>
                <w:color w:val="auto"/>
                <w:highlight w:val="none"/>
              </w:rPr>
              <w:t>吸附</w:t>
            </w:r>
            <w:r>
              <w:rPr>
                <w:rFonts w:hint="eastAsia"/>
                <w:color w:val="auto"/>
                <w:highlight w:val="none"/>
              </w:rPr>
              <w:t>”</w:t>
            </w:r>
            <w:r>
              <w:rPr>
                <w:color w:val="auto"/>
                <w:highlight w:val="none"/>
              </w:rPr>
              <w:t>装置处置</w:t>
            </w:r>
            <w:r>
              <w:rPr>
                <w:rFonts w:hint="eastAsia"/>
                <w:color w:val="auto"/>
                <w:highlight w:val="none"/>
                <w:lang w:eastAsia="zh-CN"/>
              </w:rPr>
              <w:t>，</w:t>
            </w:r>
            <w:r>
              <w:rPr>
                <w:rFonts w:hint="eastAsia"/>
                <w:color w:val="auto"/>
                <w:highlight w:val="none"/>
                <w:lang w:val="en-US" w:eastAsia="zh-CN"/>
              </w:rPr>
              <w:t>UV</w:t>
            </w:r>
            <w:r>
              <w:rPr>
                <w:rFonts w:hint="eastAsia"/>
                <w:color w:val="auto"/>
                <w:highlight w:val="none"/>
              </w:rPr>
              <w:t>灯管需要定期更换</w:t>
            </w:r>
            <w:r>
              <w:rPr>
                <w:rFonts w:hint="eastAsia"/>
                <w:color w:val="auto"/>
                <w:highlight w:val="none"/>
                <w:lang w:eastAsia="zh-CN"/>
              </w:rPr>
              <w:t>，</w:t>
            </w:r>
            <w:r>
              <w:rPr>
                <w:rFonts w:hint="eastAsia"/>
                <w:color w:val="auto"/>
                <w:highlight w:val="none"/>
              </w:rPr>
              <w:t>产生量约0.0</w:t>
            </w:r>
            <w:r>
              <w:rPr>
                <w:rFonts w:hint="eastAsia"/>
                <w:color w:val="auto"/>
                <w:highlight w:val="none"/>
                <w:lang w:val="en-US" w:eastAsia="zh-CN"/>
              </w:rPr>
              <w:t>1</w:t>
            </w:r>
            <w:r>
              <w:rPr>
                <w:rFonts w:hint="eastAsia"/>
                <w:color w:val="auto"/>
                <w:highlight w:val="none"/>
              </w:rPr>
              <w:t>t/a。</w:t>
            </w:r>
          </w:p>
          <w:p w14:paraId="0A39A946">
            <w:pPr>
              <w:pStyle w:val="18"/>
              <w:bidi w:val="0"/>
              <w:rPr>
                <w:color w:val="auto"/>
                <w:highlight w:val="none"/>
              </w:rPr>
            </w:pPr>
            <w:r>
              <w:rPr>
                <w:rFonts w:hint="eastAsia"/>
                <w:color w:val="auto"/>
                <w:highlight w:val="none"/>
              </w:rPr>
              <w:t>⑨</w:t>
            </w:r>
            <w:r>
              <w:rPr>
                <w:rFonts w:hint="eastAsia"/>
                <w:color w:val="auto"/>
                <w:highlight w:val="none"/>
                <w:lang w:val="en-US" w:eastAsia="zh-CN"/>
              </w:rPr>
              <w:t>废过滤棉：</w:t>
            </w:r>
            <w:r>
              <w:rPr>
                <w:rFonts w:hint="eastAsia"/>
                <w:color w:val="auto"/>
                <w:highlight w:val="none"/>
              </w:rPr>
              <w:t>危废类别为“HW49其他废物”，代码900-041-49</w:t>
            </w:r>
            <w:r>
              <w:rPr>
                <w:rFonts w:hint="eastAsia"/>
                <w:color w:val="auto"/>
                <w:highlight w:val="none"/>
                <w:lang w:eastAsia="zh-CN"/>
              </w:rPr>
              <w:t>。</w:t>
            </w:r>
            <w:r>
              <w:rPr>
                <w:color w:val="auto"/>
                <w:highlight w:val="none"/>
              </w:rPr>
              <w:t>项目</w:t>
            </w:r>
            <w:r>
              <w:rPr>
                <w:rFonts w:hint="eastAsia"/>
                <w:color w:val="auto"/>
                <w:highlight w:val="none"/>
              </w:rPr>
              <w:t>有机</w:t>
            </w:r>
            <w:r>
              <w:rPr>
                <w:color w:val="auto"/>
                <w:highlight w:val="none"/>
              </w:rPr>
              <w:t>废气采用</w:t>
            </w:r>
            <w:r>
              <w:rPr>
                <w:rFonts w:hint="eastAsia"/>
                <w:color w:val="auto"/>
                <w:highlight w:val="none"/>
              </w:rPr>
              <w:t>“</w:t>
            </w:r>
            <w:r>
              <w:rPr>
                <w:rFonts w:hint="eastAsia"/>
                <w:color w:val="auto"/>
                <w:highlight w:val="none"/>
                <w:lang w:eastAsia="zh-CN"/>
              </w:rPr>
              <w:t>过滤棉+UV光氧化+两级活性炭</w:t>
            </w:r>
            <w:r>
              <w:rPr>
                <w:color w:val="auto"/>
                <w:highlight w:val="none"/>
              </w:rPr>
              <w:t>吸附</w:t>
            </w:r>
            <w:r>
              <w:rPr>
                <w:rFonts w:hint="eastAsia"/>
                <w:color w:val="auto"/>
                <w:highlight w:val="none"/>
              </w:rPr>
              <w:t>”</w:t>
            </w:r>
            <w:r>
              <w:rPr>
                <w:color w:val="auto"/>
                <w:highlight w:val="none"/>
              </w:rPr>
              <w:t>装置处置</w:t>
            </w:r>
            <w:r>
              <w:rPr>
                <w:rFonts w:hint="eastAsia"/>
                <w:color w:val="auto"/>
                <w:highlight w:val="none"/>
                <w:lang w:eastAsia="zh-CN"/>
              </w:rPr>
              <w:t>，</w:t>
            </w:r>
            <w:r>
              <w:rPr>
                <w:rFonts w:hint="eastAsia"/>
                <w:color w:val="auto"/>
                <w:highlight w:val="none"/>
                <w:lang w:val="en-US" w:eastAsia="zh-CN"/>
              </w:rPr>
              <w:t>废过滤棉定期更换，沾染吸附少量污染物，产生量约为0.2t/a。</w:t>
            </w:r>
          </w:p>
          <w:p w14:paraId="2E3FBA97">
            <w:pPr>
              <w:pStyle w:val="18"/>
              <w:rPr>
                <w:rFonts w:hint="default"/>
                <w:color w:val="auto"/>
                <w:highlight w:val="none"/>
                <w:lang w:val="en-US" w:eastAsia="zh-CN"/>
              </w:rPr>
            </w:pPr>
            <w:r>
              <w:rPr>
                <w:rFonts w:hint="eastAsia"/>
                <w:color w:val="auto"/>
                <w:highlight w:val="none"/>
              </w:rPr>
              <w:t>⑩废活性炭：危废类别为“HW49其他废物”，代码900-039-49</w:t>
            </w:r>
            <w:r>
              <w:rPr>
                <w:rFonts w:hint="eastAsia"/>
                <w:color w:val="auto"/>
                <w:highlight w:val="none"/>
                <w:lang w:eastAsia="zh-CN"/>
              </w:rPr>
              <w:t>。</w:t>
            </w:r>
            <w:r>
              <w:rPr>
                <w:rFonts w:hint="eastAsia"/>
                <w:color w:val="auto"/>
                <w:highlight w:val="none"/>
                <w:lang w:val="en-US" w:eastAsia="zh-CN"/>
              </w:rPr>
              <w:t>根据前文废气源强核算，项目废气设施治理污染物1.586t，UV光氧化为低效类技术，保守核算，按照污染物全由活性炭吸附治理，活性炭吸附废气污染物1.586t，活性炭使用量为12.75t，废活性炭产生量约为14.336t/a。项目废活性炭产生量较大，及时与危废处置单位沟通，更换一次处置一次，及时清运，避免二次污染。</w:t>
            </w:r>
          </w:p>
          <w:p w14:paraId="64FFFC5B">
            <w:pPr>
              <w:pStyle w:val="18"/>
              <w:ind w:firstLine="482"/>
              <w:rPr>
                <w:b/>
                <w:bCs/>
                <w:color w:val="auto"/>
                <w:highlight w:val="none"/>
              </w:rPr>
            </w:pPr>
            <w:r>
              <w:rPr>
                <w:rFonts w:hint="eastAsia"/>
                <w:b/>
                <w:bCs/>
                <w:color w:val="auto"/>
                <w:highlight w:val="none"/>
              </w:rPr>
              <w:t>⑶生活垃圾</w:t>
            </w:r>
          </w:p>
          <w:p w14:paraId="1881D895">
            <w:pPr>
              <w:pStyle w:val="18"/>
              <w:rPr>
                <w:color w:val="auto"/>
                <w:highlight w:val="none"/>
              </w:rPr>
            </w:pPr>
            <w:r>
              <w:rPr>
                <w:rFonts w:hint="eastAsia"/>
                <w:color w:val="auto"/>
                <w:highlight w:val="none"/>
              </w:rPr>
              <w:t>员工生活产生生活垃圾S</w:t>
            </w:r>
            <w:r>
              <w:rPr>
                <w:rFonts w:hint="eastAsia"/>
                <w:color w:val="auto"/>
                <w:highlight w:val="none"/>
                <w:lang w:val="en-US" w:eastAsia="zh-CN"/>
              </w:rPr>
              <w:t>16</w:t>
            </w:r>
            <w:r>
              <w:rPr>
                <w:rFonts w:hint="eastAsia"/>
                <w:color w:val="auto"/>
                <w:highlight w:val="none"/>
              </w:rPr>
              <w:t>。员工办公、生活产生一定量垃圾，按人均产生量0.5kg/d计，</w:t>
            </w:r>
            <w:r>
              <w:rPr>
                <w:rFonts w:hint="eastAsia"/>
                <w:color w:val="auto"/>
                <w:highlight w:val="none"/>
                <w:lang w:eastAsia="zh-CN"/>
              </w:rPr>
              <w:t>扩建项目</w:t>
            </w:r>
            <w:r>
              <w:rPr>
                <w:rFonts w:hint="eastAsia"/>
                <w:color w:val="auto"/>
                <w:highlight w:val="none"/>
              </w:rPr>
              <w:t>劳动定员60人，预计生活垃圾年产生量9t/a，厂区设垃圾收集箱，</w:t>
            </w:r>
            <w:r>
              <w:rPr>
                <w:rFonts w:hint="eastAsia"/>
                <w:color w:val="auto"/>
                <w:highlight w:val="none"/>
                <w:lang w:val="en-US" w:eastAsia="zh-CN"/>
              </w:rPr>
              <w:t>由</w:t>
            </w:r>
            <w:r>
              <w:rPr>
                <w:rFonts w:hint="eastAsia"/>
                <w:color w:val="auto"/>
                <w:highlight w:val="none"/>
              </w:rPr>
              <w:t>环卫部门清运。</w:t>
            </w:r>
          </w:p>
          <w:p w14:paraId="5D476939">
            <w:pPr>
              <w:pStyle w:val="3"/>
              <w:ind w:firstLine="482"/>
              <w:rPr>
                <w:color w:val="auto"/>
                <w:highlight w:val="none"/>
              </w:rPr>
            </w:pPr>
            <w:r>
              <w:rPr>
                <w:rFonts w:hint="eastAsia"/>
                <w:color w:val="auto"/>
                <w:highlight w:val="none"/>
              </w:rPr>
              <w:t>2）固体废物产生情况</w:t>
            </w:r>
          </w:p>
          <w:p w14:paraId="375548B2">
            <w:pPr>
              <w:pStyle w:val="18"/>
              <w:rPr>
                <w:rFonts w:hint="eastAsia"/>
                <w:color w:val="auto"/>
                <w:highlight w:val="none"/>
              </w:rPr>
            </w:pPr>
            <w:r>
              <w:rPr>
                <w:rFonts w:hint="eastAsia"/>
                <w:color w:val="auto"/>
                <w:highlight w:val="none"/>
                <w:lang w:eastAsia="zh-CN"/>
              </w:rPr>
              <w:t>扩建项目</w:t>
            </w:r>
            <w:r>
              <w:rPr>
                <w:rFonts w:hint="eastAsia"/>
                <w:color w:val="auto"/>
                <w:highlight w:val="none"/>
              </w:rPr>
              <w:t>固废产生情况详见</w:t>
            </w:r>
            <w:r>
              <w:rPr>
                <w:rFonts w:hint="eastAsia"/>
                <w:color w:val="auto"/>
                <w:highlight w:val="none"/>
              </w:rPr>
              <w:fldChar w:fldCharType="begin"/>
            </w:r>
            <w:r>
              <w:rPr>
                <w:rFonts w:hint="eastAsia"/>
                <w:color w:val="auto"/>
                <w:highlight w:val="none"/>
              </w:rPr>
              <w:instrText xml:space="preserve"> REF _Ref21639 \h </w:instrText>
            </w:r>
            <w:r>
              <w:rPr>
                <w:rFonts w:hint="eastAsia"/>
                <w:color w:val="auto"/>
                <w:highlight w:val="none"/>
              </w:rPr>
              <w:fldChar w:fldCharType="separate"/>
            </w:r>
            <w:r>
              <w:rPr>
                <w:rFonts w:hint="eastAsia"/>
                <w:color w:val="auto"/>
                <w:highlight w:val="none"/>
              </w:rPr>
              <w:t>表4-</w:t>
            </w:r>
            <w:r>
              <w:rPr>
                <w:color w:val="auto"/>
                <w:highlight w:val="none"/>
              </w:rPr>
              <w:t>19</w:t>
            </w:r>
            <w:r>
              <w:rPr>
                <w:rFonts w:hint="eastAsia"/>
                <w:color w:val="auto"/>
                <w:highlight w:val="none"/>
              </w:rPr>
              <w:fldChar w:fldCharType="end"/>
            </w:r>
            <w:r>
              <w:rPr>
                <w:rFonts w:hint="eastAsia"/>
                <w:color w:val="auto"/>
                <w:highlight w:val="none"/>
              </w:rPr>
              <w:t>。</w:t>
            </w:r>
          </w:p>
          <w:p w14:paraId="4511DF30">
            <w:pPr>
              <w:pStyle w:val="18"/>
              <w:rPr>
                <w:rFonts w:hint="eastAsia"/>
                <w:color w:val="auto"/>
                <w:highlight w:val="none"/>
              </w:rPr>
            </w:pPr>
          </w:p>
          <w:p w14:paraId="42272C46">
            <w:pPr>
              <w:pStyle w:val="18"/>
              <w:rPr>
                <w:rFonts w:hint="eastAsia"/>
                <w:color w:val="auto"/>
                <w:highlight w:val="none"/>
              </w:rPr>
            </w:pPr>
          </w:p>
        </w:tc>
      </w:tr>
    </w:tbl>
    <w:p w14:paraId="559B198D">
      <w:pPr>
        <w:keepNext w:val="0"/>
        <w:keepLines w:val="0"/>
        <w:pageBreakBefore w:val="0"/>
        <w:widowControl w:val="0"/>
        <w:kinsoku/>
        <w:wordWrap/>
        <w:overflowPunct/>
        <w:topLinePunct w:val="0"/>
        <w:autoSpaceDE/>
        <w:autoSpaceDN/>
        <w:bidi w:val="0"/>
        <w:adjustRightInd/>
        <w:snapToGrid/>
        <w:textAlignment w:val="auto"/>
        <w:outlineLvl w:val="0"/>
        <w:rPr>
          <w:color w:val="auto"/>
          <w:sz w:val="2"/>
          <w:szCs w:val="2"/>
          <w:highlight w:val="none"/>
        </w:rPr>
        <w:sectPr>
          <w:pgSz w:w="11905" w:h="16838"/>
          <w:pgMar w:top="1440" w:right="1463" w:bottom="1440" w:left="1463" w:header="851" w:footer="850" w:gutter="0"/>
          <w:cols w:space="0" w:num="1"/>
          <w:docGrid w:type="linesAndChars" w:linePitch="312" w:charSpace="0"/>
        </w:sectPr>
      </w:pPr>
      <w:r>
        <w:rPr>
          <w:rFonts w:hint="eastAsia"/>
          <w:color w:val="auto"/>
          <w:sz w:val="2"/>
          <w:szCs w:val="2"/>
          <w:highlight w:val="none"/>
        </w:rPr>
        <w:t>固废</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96"/>
        <w:gridCol w:w="13476"/>
      </w:tblGrid>
      <w:tr w14:paraId="494AC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609" w:type="dxa"/>
          </w:tcPr>
          <w:p w14:paraId="4B367E99">
            <w:pPr>
              <w:rPr>
                <w:color w:val="auto"/>
                <w:highlight w:val="none"/>
              </w:rPr>
            </w:pPr>
          </w:p>
        </w:tc>
        <w:tc>
          <w:tcPr>
            <w:tcW w:w="13565" w:type="dxa"/>
            <w:vAlign w:val="top"/>
          </w:tcPr>
          <w:p w14:paraId="23A5848A">
            <w:pPr>
              <w:pStyle w:val="19"/>
              <w:spacing w:before="156"/>
              <w:rPr>
                <w:rFonts w:eastAsia="宋体"/>
                <w:color w:val="auto"/>
                <w:highlight w:val="none"/>
              </w:rPr>
            </w:pPr>
            <w:bookmarkStart w:id="49" w:name="_Ref21639"/>
            <w:bookmarkStart w:id="50" w:name="_Ref13683"/>
            <w:r>
              <w:rPr>
                <w:rFonts w:hint="eastAsia"/>
                <w:color w:val="auto"/>
                <w:highlight w:val="none"/>
              </w:rPr>
              <w:t>表4-</w:t>
            </w:r>
            <w:r>
              <w:rPr>
                <w:color w:val="auto"/>
                <w:highlight w:val="none"/>
              </w:rPr>
              <w:fldChar w:fldCharType="begin"/>
            </w:r>
            <w:r>
              <w:rPr>
                <w:color w:val="auto"/>
                <w:highlight w:val="none"/>
              </w:rPr>
              <w:instrText xml:space="preserve"> SEQ </w:instrText>
            </w:r>
            <w:r>
              <w:rPr>
                <w:rFonts w:hint="eastAsia"/>
                <w:color w:val="auto"/>
                <w:highlight w:val="none"/>
              </w:rPr>
              <w:instrText xml:space="preserve">表4- \* ARABIC </w:instrText>
            </w:r>
            <w:r>
              <w:rPr>
                <w:color w:val="auto"/>
                <w:highlight w:val="none"/>
              </w:rPr>
              <w:fldChar w:fldCharType="separate"/>
            </w:r>
            <w:r>
              <w:rPr>
                <w:color w:val="auto"/>
                <w:highlight w:val="none"/>
              </w:rPr>
              <w:t>19</w:t>
            </w:r>
            <w:r>
              <w:rPr>
                <w:color w:val="auto"/>
                <w:highlight w:val="none"/>
              </w:rPr>
              <w:fldChar w:fldCharType="end"/>
            </w:r>
            <w:bookmarkEnd w:id="49"/>
            <w:r>
              <w:rPr>
                <w:rFonts w:hint="eastAsia"/>
                <w:color w:val="auto"/>
                <w:highlight w:val="none"/>
              </w:rPr>
              <w:t xml:space="preserve">  项目固体废物产生情况一览表</w:t>
            </w:r>
            <w:bookmarkEnd w:id="50"/>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33"/>
              <w:gridCol w:w="965"/>
              <w:gridCol w:w="757"/>
              <w:gridCol w:w="601"/>
              <w:gridCol w:w="1246"/>
              <w:gridCol w:w="871"/>
              <w:gridCol w:w="615"/>
              <w:gridCol w:w="877"/>
              <w:gridCol w:w="954"/>
              <w:gridCol w:w="781"/>
              <w:gridCol w:w="799"/>
              <w:gridCol w:w="901"/>
              <w:gridCol w:w="1652"/>
              <w:gridCol w:w="1187"/>
              <w:gridCol w:w="708"/>
            </w:tblGrid>
            <w:tr w14:paraId="4F40D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62" w:type="pct"/>
                  <w:tcMar>
                    <w:top w:w="0" w:type="dxa"/>
                    <w:left w:w="57" w:type="dxa"/>
                    <w:bottom w:w="0" w:type="dxa"/>
                    <w:right w:w="57" w:type="dxa"/>
                  </w:tcMar>
                  <w:vAlign w:val="center"/>
                </w:tcPr>
                <w:p w14:paraId="25D57F30">
                  <w:pPr>
                    <w:pStyle w:val="20"/>
                    <w:spacing w:before="31"/>
                    <w:rPr>
                      <w:b/>
                      <w:bCs/>
                      <w:color w:val="auto"/>
                      <w:highlight w:val="none"/>
                    </w:rPr>
                  </w:pPr>
                  <w:r>
                    <w:rPr>
                      <w:rFonts w:hint="eastAsia"/>
                      <w:b/>
                      <w:bCs/>
                      <w:color w:val="auto"/>
                      <w:highlight w:val="none"/>
                    </w:rPr>
                    <w:t>序号</w:t>
                  </w:r>
                </w:p>
              </w:tc>
              <w:tc>
                <w:tcPr>
                  <w:tcW w:w="361" w:type="pct"/>
                  <w:tcMar>
                    <w:top w:w="0" w:type="dxa"/>
                    <w:left w:w="57" w:type="dxa"/>
                    <w:bottom w:w="0" w:type="dxa"/>
                    <w:right w:w="57" w:type="dxa"/>
                  </w:tcMar>
                  <w:vAlign w:val="center"/>
                </w:tcPr>
                <w:p w14:paraId="16F5241C">
                  <w:pPr>
                    <w:pStyle w:val="20"/>
                    <w:spacing w:before="31"/>
                    <w:rPr>
                      <w:b/>
                      <w:bCs/>
                      <w:color w:val="auto"/>
                      <w:highlight w:val="none"/>
                    </w:rPr>
                  </w:pPr>
                  <w:r>
                    <w:rPr>
                      <w:rFonts w:hint="eastAsia"/>
                      <w:b/>
                      <w:bCs/>
                      <w:color w:val="auto"/>
                      <w:highlight w:val="none"/>
                    </w:rPr>
                    <w:t>固废名称</w:t>
                  </w:r>
                </w:p>
              </w:tc>
              <w:tc>
                <w:tcPr>
                  <w:tcW w:w="283" w:type="pct"/>
                  <w:tcMar>
                    <w:top w:w="0" w:type="dxa"/>
                    <w:left w:w="57" w:type="dxa"/>
                    <w:bottom w:w="0" w:type="dxa"/>
                    <w:right w:w="57" w:type="dxa"/>
                  </w:tcMar>
                  <w:vAlign w:val="center"/>
                </w:tcPr>
                <w:p w14:paraId="31A5044E">
                  <w:pPr>
                    <w:pStyle w:val="20"/>
                    <w:spacing w:before="31"/>
                    <w:rPr>
                      <w:b/>
                      <w:bCs/>
                      <w:color w:val="auto"/>
                      <w:highlight w:val="none"/>
                    </w:rPr>
                  </w:pPr>
                  <w:r>
                    <w:rPr>
                      <w:rFonts w:hint="eastAsia"/>
                      <w:b/>
                      <w:bCs/>
                      <w:color w:val="auto"/>
                      <w:highlight w:val="none"/>
                    </w:rPr>
                    <w:t>产生环节</w:t>
                  </w:r>
                </w:p>
              </w:tc>
              <w:tc>
                <w:tcPr>
                  <w:tcW w:w="225" w:type="pct"/>
                  <w:tcMar>
                    <w:top w:w="0" w:type="dxa"/>
                    <w:left w:w="57" w:type="dxa"/>
                    <w:bottom w:w="0" w:type="dxa"/>
                    <w:right w:w="57" w:type="dxa"/>
                  </w:tcMar>
                  <w:vAlign w:val="center"/>
                </w:tcPr>
                <w:p w14:paraId="649368C6">
                  <w:pPr>
                    <w:pStyle w:val="20"/>
                    <w:spacing w:before="31"/>
                    <w:rPr>
                      <w:b/>
                      <w:bCs/>
                      <w:color w:val="auto"/>
                      <w:highlight w:val="none"/>
                    </w:rPr>
                  </w:pPr>
                  <w:r>
                    <w:rPr>
                      <w:rFonts w:hint="eastAsia"/>
                      <w:b/>
                      <w:bCs/>
                      <w:color w:val="auto"/>
                      <w:highlight w:val="none"/>
                    </w:rPr>
                    <w:t>属性</w:t>
                  </w:r>
                </w:p>
              </w:tc>
              <w:tc>
                <w:tcPr>
                  <w:tcW w:w="466" w:type="pct"/>
                  <w:tcMar>
                    <w:top w:w="0" w:type="dxa"/>
                    <w:left w:w="57" w:type="dxa"/>
                    <w:bottom w:w="0" w:type="dxa"/>
                    <w:right w:w="57" w:type="dxa"/>
                  </w:tcMar>
                  <w:vAlign w:val="center"/>
                </w:tcPr>
                <w:p w14:paraId="3ACACFF1">
                  <w:pPr>
                    <w:pStyle w:val="20"/>
                    <w:spacing w:before="31"/>
                    <w:rPr>
                      <w:b/>
                      <w:bCs/>
                      <w:color w:val="auto"/>
                      <w:highlight w:val="none"/>
                    </w:rPr>
                  </w:pPr>
                  <w:r>
                    <w:rPr>
                      <w:rFonts w:hint="eastAsia"/>
                      <w:b/>
                      <w:bCs/>
                      <w:color w:val="auto"/>
                      <w:highlight w:val="none"/>
                    </w:rPr>
                    <w:t>代码</w:t>
                  </w:r>
                </w:p>
              </w:tc>
              <w:tc>
                <w:tcPr>
                  <w:tcW w:w="326" w:type="pct"/>
                  <w:tcMar>
                    <w:top w:w="0" w:type="dxa"/>
                    <w:left w:w="57" w:type="dxa"/>
                    <w:bottom w:w="0" w:type="dxa"/>
                    <w:right w:w="57" w:type="dxa"/>
                  </w:tcMar>
                  <w:vAlign w:val="center"/>
                </w:tcPr>
                <w:p w14:paraId="474BECF3">
                  <w:pPr>
                    <w:pStyle w:val="20"/>
                    <w:spacing w:before="31"/>
                    <w:rPr>
                      <w:b/>
                      <w:bCs/>
                      <w:color w:val="auto"/>
                      <w:highlight w:val="none"/>
                    </w:rPr>
                  </w:pPr>
                  <w:r>
                    <w:rPr>
                      <w:rFonts w:hint="eastAsia"/>
                      <w:b/>
                      <w:bCs/>
                      <w:color w:val="auto"/>
                      <w:highlight w:val="none"/>
                    </w:rPr>
                    <w:t>主要有毒有害物质</w:t>
                  </w:r>
                </w:p>
              </w:tc>
              <w:tc>
                <w:tcPr>
                  <w:tcW w:w="230" w:type="pct"/>
                  <w:tcMar>
                    <w:top w:w="0" w:type="dxa"/>
                    <w:left w:w="57" w:type="dxa"/>
                    <w:bottom w:w="0" w:type="dxa"/>
                    <w:right w:w="57" w:type="dxa"/>
                  </w:tcMar>
                  <w:vAlign w:val="center"/>
                </w:tcPr>
                <w:p w14:paraId="0423BC52">
                  <w:pPr>
                    <w:pStyle w:val="20"/>
                    <w:spacing w:before="31"/>
                    <w:rPr>
                      <w:b/>
                      <w:bCs/>
                      <w:color w:val="auto"/>
                      <w:highlight w:val="none"/>
                    </w:rPr>
                  </w:pPr>
                  <w:r>
                    <w:rPr>
                      <w:rFonts w:hint="eastAsia"/>
                      <w:b/>
                      <w:bCs/>
                      <w:color w:val="auto"/>
                      <w:highlight w:val="none"/>
                    </w:rPr>
                    <w:t>性状</w:t>
                  </w:r>
                </w:p>
              </w:tc>
              <w:tc>
                <w:tcPr>
                  <w:tcW w:w="328" w:type="pct"/>
                  <w:tcMar>
                    <w:top w:w="0" w:type="dxa"/>
                    <w:left w:w="57" w:type="dxa"/>
                    <w:bottom w:w="0" w:type="dxa"/>
                    <w:right w:w="57" w:type="dxa"/>
                  </w:tcMar>
                  <w:vAlign w:val="center"/>
                </w:tcPr>
                <w:p w14:paraId="0CDF30C7">
                  <w:pPr>
                    <w:pStyle w:val="20"/>
                    <w:spacing w:before="31"/>
                    <w:rPr>
                      <w:b/>
                      <w:bCs/>
                      <w:color w:val="auto"/>
                      <w:highlight w:val="none"/>
                    </w:rPr>
                  </w:pPr>
                  <w:r>
                    <w:rPr>
                      <w:rFonts w:hint="eastAsia"/>
                      <w:b/>
                      <w:bCs/>
                      <w:color w:val="auto"/>
                      <w:highlight w:val="none"/>
                    </w:rPr>
                    <w:t>环境危险特性</w:t>
                  </w:r>
                </w:p>
              </w:tc>
              <w:tc>
                <w:tcPr>
                  <w:tcW w:w="357" w:type="pct"/>
                  <w:tcMar>
                    <w:top w:w="0" w:type="dxa"/>
                    <w:left w:w="57" w:type="dxa"/>
                    <w:bottom w:w="0" w:type="dxa"/>
                    <w:right w:w="57" w:type="dxa"/>
                  </w:tcMar>
                  <w:vAlign w:val="center"/>
                </w:tcPr>
                <w:p w14:paraId="69C3CF9A">
                  <w:pPr>
                    <w:pStyle w:val="20"/>
                    <w:spacing w:before="31"/>
                    <w:rPr>
                      <w:b/>
                      <w:bCs/>
                      <w:color w:val="auto"/>
                      <w:highlight w:val="none"/>
                    </w:rPr>
                  </w:pPr>
                  <w:r>
                    <w:rPr>
                      <w:rFonts w:hint="eastAsia"/>
                      <w:b/>
                      <w:bCs/>
                      <w:color w:val="auto"/>
                      <w:highlight w:val="none"/>
                    </w:rPr>
                    <w:t>年度产生量（t）</w:t>
                  </w:r>
                </w:p>
              </w:tc>
              <w:tc>
                <w:tcPr>
                  <w:tcW w:w="292" w:type="pct"/>
                  <w:tcMar>
                    <w:top w:w="0" w:type="dxa"/>
                    <w:left w:w="57" w:type="dxa"/>
                    <w:bottom w:w="0" w:type="dxa"/>
                    <w:right w:w="57" w:type="dxa"/>
                  </w:tcMar>
                  <w:vAlign w:val="center"/>
                </w:tcPr>
                <w:p w14:paraId="6C4CFABB">
                  <w:pPr>
                    <w:pStyle w:val="20"/>
                    <w:spacing w:before="31"/>
                    <w:rPr>
                      <w:b/>
                      <w:bCs/>
                      <w:color w:val="auto"/>
                      <w:highlight w:val="none"/>
                    </w:rPr>
                  </w:pPr>
                  <w:r>
                    <w:rPr>
                      <w:rFonts w:hint="eastAsia"/>
                      <w:b/>
                      <w:bCs/>
                      <w:color w:val="auto"/>
                      <w:highlight w:val="none"/>
                    </w:rPr>
                    <w:t>产废周期</w:t>
                  </w:r>
                </w:p>
              </w:tc>
              <w:tc>
                <w:tcPr>
                  <w:tcW w:w="299" w:type="pct"/>
                  <w:tcMar>
                    <w:top w:w="0" w:type="dxa"/>
                    <w:left w:w="57" w:type="dxa"/>
                    <w:bottom w:w="0" w:type="dxa"/>
                    <w:right w:w="57" w:type="dxa"/>
                  </w:tcMar>
                  <w:vAlign w:val="center"/>
                </w:tcPr>
                <w:p w14:paraId="737F4914">
                  <w:pPr>
                    <w:pStyle w:val="20"/>
                    <w:spacing w:before="31"/>
                    <w:rPr>
                      <w:b/>
                      <w:bCs/>
                      <w:color w:val="auto"/>
                      <w:highlight w:val="none"/>
                    </w:rPr>
                  </w:pPr>
                  <w:r>
                    <w:rPr>
                      <w:rFonts w:hint="eastAsia"/>
                      <w:b/>
                      <w:bCs/>
                      <w:color w:val="auto"/>
                      <w:highlight w:val="none"/>
                    </w:rPr>
                    <w:t>处置周期</w:t>
                  </w:r>
                </w:p>
              </w:tc>
              <w:tc>
                <w:tcPr>
                  <w:tcW w:w="337" w:type="pct"/>
                  <w:tcMar>
                    <w:top w:w="0" w:type="dxa"/>
                    <w:left w:w="57" w:type="dxa"/>
                    <w:bottom w:w="0" w:type="dxa"/>
                    <w:right w:w="57" w:type="dxa"/>
                  </w:tcMar>
                  <w:vAlign w:val="center"/>
                </w:tcPr>
                <w:p w14:paraId="39E20E45">
                  <w:pPr>
                    <w:pStyle w:val="20"/>
                    <w:spacing w:before="31"/>
                    <w:rPr>
                      <w:b/>
                      <w:bCs/>
                      <w:color w:val="auto"/>
                      <w:highlight w:val="none"/>
                    </w:rPr>
                  </w:pPr>
                  <w:r>
                    <w:rPr>
                      <w:rFonts w:hint="eastAsia"/>
                      <w:b/>
                      <w:bCs/>
                      <w:color w:val="auto"/>
                      <w:highlight w:val="none"/>
                    </w:rPr>
                    <w:t>最大贮存量（t）</w:t>
                  </w:r>
                </w:p>
              </w:tc>
              <w:tc>
                <w:tcPr>
                  <w:tcW w:w="618" w:type="pct"/>
                  <w:tcMar>
                    <w:top w:w="0" w:type="dxa"/>
                    <w:left w:w="57" w:type="dxa"/>
                    <w:bottom w:w="0" w:type="dxa"/>
                    <w:right w:w="57" w:type="dxa"/>
                  </w:tcMar>
                  <w:vAlign w:val="center"/>
                </w:tcPr>
                <w:p w14:paraId="76800CB3">
                  <w:pPr>
                    <w:pStyle w:val="20"/>
                    <w:spacing w:before="31"/>
                    <w:rPr>
                      <w:b/>
                      <w:bCs/>
                      <w:color w:val="auto"/>
                      <w:highlight w:val="none"/>
                    </w:rPr>
                  </w:pPr>
                  <w:r>
                    <w:rPr>
                      <w:rFonts w:hint="eastAsia"/>
                      <w:b/>
                      <w:bCs/>
                      <w:color w:val="auto"/>
                      <w:highlight w:val="none"/>
                    </w:rPr>
                    <w:t>贮存方式</w:t>
                  </w:r>
                </w:p>
              </w:tc>
              <w:tc>
                <w:tcPr>
                  <w:tcW w:w="444" w:type="pct"/>
                  <w:tcMar>
                    <w:top w:w="0" w:type="dxa"/>
                    <w:left w:w="57" w:type="dxa"/>
                    <w:bottom w:w="0" w:type="dxa"/>
                    <w:right w:w="57" w:type="dxa"/>
                  </w:tcMar>
                  <w:vAlign w:val="center"/>
                </w:tcPr>
                <w:p w14:paraId="69FB392A">
                  <w:pPr>
                    <w:pStyle w:val="20"/>
                    <w:spacing w:before="31"/>
                    <w:rPr>
                      <w:b/>
                      <w:bCs/>
                      <w:color w:val="auto"/>
                      <w:highlight w:val="none"/>
                    </w:rPr>
                  </w:pPr>
                  <w:r>
                    <w:rPr>
                      <w:rFonts w:hint="eastAsia"/>
                      <w:b/>
                      <w:bCs/>
                      <w:color w:val="auto"/>
                      <w:highlight w:val="none"/>
                    </w:rPr>
                    <w:t>利用处置方式和去向</w:t>
                  </w:r>
                </w:p>
              </w:tc>
              <w:tc>
                <w:tcPr>
                  <w:tcW w:w="265" w:type="pct"/>
                  <w:tcMar>
                    <w:top w:w="0" w:type="dxa"/>
                    <w:left w:w="57" w:type="dxa"/>
                    <w:bottom w:w="0" w:type="dxa"/>
                    <w:right w:w="57" w:type="dxa"/>
                  </w:tcMar>
                  <w:vAlign w:val="center"/>
                </w:tcPr>
                <w:p w14:paraId="403BCB6C">
                  <w:pPr>
                    <w:pStyle w:val="20"/>
                    <w:spacing w:before="31"/>
                    <w:rPr>
                      <w:b/>
                      <w:bCs/>
                      <w:color w:val="auto"/>
                      <w:highlight w:val="none"/>
                    </w:rPr>
                  </w:pPr>
                  <w:r>
                    <w:rPr>
                      <w:rFonts w:hint="eastAsia"/>
                      <w:b/>
                      <w:bCs/>
                      <w:color w:val="auto"/>
                      <w:highlight w:val="none"/>
                    </w:rPr>
                    <w:t>利用或处置量</w:t>
                  </w:r>
                </w:p>
              </w:tc>
            </w:tr>
            <w:tr w14:paraId="455D0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62" w:type="pct"/>
                  <w:tcMar>
                    <w:top w:w="0" w:type="dxa"/>
                    <w:left w:w="57" w:type="dxa"/>
                    <w:bottom w:w="0" w:type="dxa"/>
                    <w:right w:w="57" w:type="dxa"/>
                  </w:tcMar>
                  <w:vAlign w:val="center"/>
                </w:tcPr>
                <w:p w14:paraId="39D13E85">
                  <w:pPr>
                    <w:pStyle w:val="20"/>
                    <w:spacing w:before="31"/>
                    <w:rPr>
                      <w:color w:val="auto"/>
                      <w:highlight w:val="none"/>
                    </w:rPr>
                  </w:pPr>
                  <w:r>
                    <w:rPr>
                      <w:rFonts w:hint="eastAsia"/>
                      <w:color w:val="auto"/>
                      <w:highlight w:val="none"/>
                    </w:rPr>
                    <w:t>1</w:t>
                  </w:r>
                </w:p>
              </w:tc>
              <w:tc>
                <w:tcPr>
                  <w:tcW w:w="361" w:type="pct"/>
                  <w:shd w:val="clear" w:color="auto" w:fill="auto"/>
                  <w:tcMar>
                    <w:top w:w="0" w:type="dxa"/>
                    <w:left w:w="57" w:type="dxa"/>
                    <w:bottom w:w="0" w:type="dxa"/>
                    <w:right w:w="57" w:type="dxa"/>
                  </w:tcMar>
                  <w:vAlign w:val="center"/>
                </w:tcPr>
                <w:p w14:paraId="190EF833">
                  <w:pPr>
                    <w:pStyle w:val="20"/>
                    <w:bidi w:val="0"/>
                    <w:rPr>
                      <w:rFonts w:hint="default"/>
                      <w:color w:val="auto"/>
                      <w:highlight w:val="none"/>
                      <w:lang w:val="en-US" w:eastAsia="zh-CN"/>
                    </w:rPr>
                  </w:pPr>
                  <w:r>
                    <w:rPr>
                      <w:rFonts w:hint="eastAsia"/>
                      <w:color w:val="auto"/>
                      <w:highlight w:val="none"/>
                      <w:lang w:val="en-US" w:eastAsia="zh-CN"/>
                    </w:rPr>
                    <w:t>废原料包装</w:t>
                  </w:r>
                </w:p>
              </w:tc>
              <w:tc>
                <w:tcPr>
                  <w:tcW w:w="283" w:type="pct"/>
                  <w:shd w:val="clear" w:color="auto" w:fill="auto"/>
                  <w:tcMar>
                    <w:top w:w="0" w:type="dxa"/>
                    <w:left w:w="57" w:type="dxa"/>
                    <w:bottom w:w="0" w:type="dxa"/>
                    <w:right w:w="57" w:type="dxa"/>
                  </w:tcMar>
                  <w:vAlign w:val="center"/>
                </w:tcPr>
                <w:p w14:paraId="65DBC5BF">
                  <w:pPr>
                    <w:pStyle w:val="20"/>
                    <w:bidi w:val="0"/>
                    <w:rPr>
                      <w:color w:val="auto"/>
                      <w:highlight w:val="none"/>
                      <w:lang w:val="en-US" w:eastAsia="zh-CN"/>
                    </w:rPr>
                  </w:pPr>
                  <w:r>
                    <w:rPr>
                      <w:rFonts w:hint="eastAsia"/>
                      <w:color w:val="auto"/>
                      <w:highlight w:val="none"/>
                    </w:rPr>
                    <w:t>原材料使用</w:t>
                  </w:r>
                </w:p>
              </w:tc>
              <w:tc>
                <w:tcPr>
                  <w:tcW w:w="225" w:type="pct"/>
                  <w:vMerge w:val="restart"/>
                  <w:tcMar>
                    <w:top w:w="0" w:type="dxa"/>
                    <w:left w:w="57" w:type="dxa"/>
                    <w:bottom w:w="0" w:type="dxa"/>
                    <w:right w:w="57" w:type="dxa"/>
                  </w:tcMar>
                  <w:vAlign w:val="center"/>
                </w:tcPr>
                <w:p w14:paraId="64487638">
                  <w:pPr>
                    <w:pStyle w:val="20"/>
                    <w:spacing w:before="31"/>
                    <w:rPr>
                      <w:color w:val="auto"/>
                      <w:highlight w:val="none"/>
                    </w:rPr>
                  </w:pPr>
                  <w:r>
                    <w:rPr>
                      <w:rFonts w:hint="eastAsia"/>
                      <w:color w:val="auto"/>
                      <w:highlight w:val="none"/>
                    </w:rPr>
                    <w:t>一般工</w:t>
                  </w:r>
                  <w:r>
                    <w:rPr>
                      <w:color w:val="auto"/>
                      <w:highlight w:val="none"/>
                    </w:rPr>
                    <w:t>业固体废物</w:t>
                  </w:r>
                </w:p>
              </w:tc>
              <w:tc>
                <w:tcPr>
                  <w:tcW w:w="466" w:type="pct"/>
                  <w:tcMar>
                    <w:top w:w="0" w:type="dxa"/>
                    <w:left w:w="57" w:type="dxa"/>
                    <w:bottom w:w="0" w:type="dxa"/>
                    <w:right w:w="57" w:type="dxa"/>
                  </w:tcMar>
                  <w:vAlign w:val="center"/>
                </w:tcPr>
                <w:p w14:paraId="382ECB17">
                  <w:pPr>
                    <w:pStyle w:val="20"/>
                    <w:spacing w:before="31"/>
                    <w:rPr>
                      <w:color w:val="auto"/>
                      <w:highlight w:val="none"/>
                    </w:rPr>
                  </w:pPr>
                  <w:r>
                    <w:rPr>
                      <w:rFonts w:hint="eastAsia"/>
                      <w:color w:val="auto"/>
                      <w:highlight w:val="none"/>
                    </w:rPr>
                    <w:t>900-005-S17</w:t>
                  </w:r>
                  <w:r>
                    <w:rPr>
                      <w:rFonts w:hint="eastAsia"/>
                      <w:color w:val="auto"/>
                      <w:highlight w:val="none"/>
                    </w:rPr>
                    <w:br w:type="textWrapping"/>
                  </w:r>
                  <w:r>
                    <w:rPr>
                      <w:rFonts w:hint="eastAsia"/>
                      <w:color w:val="auto"/>
                      <w:highlight w:val="none"/>
                      <w:lang w:eastAsia="zh-CN"/>
                    </w:rPr>
                    <w:t>900-003-S17</w:t>
                  </w:r>
                </w:p>
              </w:tc>
              <w:tc>
                <w:tcPr>
                  <w:tcW w:w="326" w:type="pct"/>
                  <w:tcMar>
                    <w:top w:w="0" w:type="dxa"/>
                    <w:left w:w="57" w:type="dxa"/>
                    <w:bottom w:w="0" w:type="dxa"/>
                    <w:right w:w="57" w:type="dxa"/>
                  </w:tcMar>
                  <w:vAlign w:val="center"/>
                </w:tcPr>
                <w:p w14:paraId="5DF2FC15">
                  <w:pPr>
                    <w:pStyle w:val="20"/>
                    <w:spacing w:before="31"/>
                    <w:rPr>
                      <w:color w:val="auto"/>
                      <w:highlight w:val="none"/>
                    </w:rPr>
                  </w:pPr>
                  <w:r>
                    <w:rPr>
                      <w:rFonts w:hint="eastAsia"/>
                      <w:color w:val="auto"/>
                      <w:highlight w:val="none"/>
                    </w:rPr>
                    <w:t>/</w:t>
                  </w:r>
                </w:p>
              </w:tc>
              <w:tc>
                <w:tcPr>
                  <w:tcW w:w="230" w:type="pct"/>
                  <w:tcMar>
                    <w:top w:w="0" w:type="dxa"/>
                    <w:left w:w="57" w:type="dxa"/>
                    <w:bottom w:w="0" w:type="dxa"/>
                    <w:right w:w="57" w:type="dxa"/>
                  </w:tcMar>
                  <w:vAlign w:val="center"/>
                </w:tcPr>
                <w:p w14:paraId="2B7DD981">
                  <w:pPr>
                    <w:pStyle w:val="20"/>
                    <w:spacing w:before="31"/>
                    <w:rPr>
                      <w:color w:val="auto"/>
                      <w:highlight w:val="none"/>
                    </w:rPr>
                  </w:pPr>
                  <w:r>
                    <w:rPr>
                      <w:rFonts w:hint="eastAsia"/>
                      <w:color w:val="auto"/>
                      <w:highlight w:val="none"/>
                    </w:rPr>
                    <w:t>固</w:t>
                  </w:r>
                </w:p>
              </w:tc>
              <w:tc>
                <w:tcPr>
                  <w:tcW w:w="328" w:type="pct"/>
                  <w:tcMar>
                    <w:top w:w="0" w:type="dxa"/>
                    <w:left w:w="57" w:type="dxa"/>
                    <w:bottom w:w="0" w:type="dxa"/>
                    <w:right w:w="57" w:type="dxa"/>
                  </w:tcMar>
                  <w:vAlign w:val="center"/>
                </w:tcPr>
                <w:p w14:paraId="6DEE36B6">
                  <w:pPr>
                    <w:pStyle w:val="20"/>
                    <w:spacing w:before="31"/>
                    <w:rPr>
                      <w:color w:val="auto"/>
                      <w:highlight w:val="none"/>
                    </w:rPr>
                  </w:pPr>
                  <w:r>
                    <w:rPr>
                      <w:rFonts w:hint="eastAsia"/>
                      <w:color w:val="auto"/>
                      <w:highlight w:val="none"/>
                    </w:rPr>
                    <w:t>/</w:t>
                  </w:r>
                </w:p>
              </w:tc>
              <w:tc>
                <w:tcPr>
                  <w:tcW w:w="357" w:type="pct"/>
                  <w:tcMar>
                    <w:top w:w="0" w:type="dxa"/>
                    <w:left w:w="57" w:type="dxa"/>
                    <w:bottom w:w="0" w:type="dxa"/>
                    <w:right w:w="57" w:type="dxa"/>
                  </w:tcMar>
                  <w:vAlign w:val="center"/>
                </w:tcPr>
                <w:p w14:paraId="47109A29">
                  <w:pPr>
                    <w:pStyle w:val="20"/>
                    <w:spacing w:before="31"/>
                    <w:rPr>
                      <w:color w:val="auto"/>
                      <w:highlight w:val="none"/>
                    </w:rPr>
                  </w:pPr>
                  <w:r>
                    <w:rPr>
                      <w:rFonts w:hint="eastAsia"/>
                      <w:color w:val="auto"/>
                      <w:highlight w:val="none"/>
                    </w:rPr>
                    <w:t>1</w:t>
                  </w:r>
                </w:p>
              </w:tc>
              <w:tc>
                <w:tcPr>
                  <w:tcW w:w="292" w:type="pct"/>
                  <w:tcMar>
                    <w:top w:w="0" w:type="dxa"/>
                    <w:left w:w="57" w:type="dxa"/>
                    <w:bottom w:w="0" w:type="dxa"/>
                    <w:right w:w="57" w:type="dxa"/>
                  </w:tcMar>
                  <w:vAlign w:val="center"/>
                </w:tcPr>
                <w:p w14:paraId="2309C1B7">
                  <w:pPr>
                    <w:pStyle w:val="20"/>
                    <w:spacing w:before="31"/>
                    <w:rPr>
                      <w:rFonts w:hint="eastAsia" w:eastAsia="宋体"/>
                      <w:color w:val="auto"/>
                      <w:highlight w:val="none"/>
                      <w:lang w:eastAsia="zh-CN"/>
                    </w:rPr>
                  </w:pPr>
                  <w:r>
                    <w:rPr>
                      <w:rFonts w:hint="eastAsia"/>
                      <w:color w:val="auto"/>
                      <w:highlight w:val="none"/>
                    </w:rPr>
                    <w:t>每天</w:t>
                  </w:r>
                </w:p>
              </w:tc>
              <w:tc>
                <w:tcPr>
                  <w:tcW w:w="299" w:type="pct"/>
                  <w:tcMar>
                    <w:top w:w="0" w:type="dxa"/>
                    <w:left w:w="57" w:type="dxa"/>
                    <w:bottom w:w="0" w:type="dxa"/>
                    <w:right w:w="57" w:type="dxa"/>
                  </w:tcMar>
                  <w:vAlign w:val="center"/>
                </w:tcPr>
                <w:p w14:paraId="2335B1F2">
                  <w:pPr>
                    <w:pStyle w:val="20"/>
                    <w:spacing w:before="31"/>
                    <w:rPr>
                      <w:color w:val="auto"/>
                      <w:highlight w:val="none"/>
                    </w:rPr>
                  </w:pPr>
                  <w:r>
                    <w:rPr>
                      <w:rFonts w:hint="eastAsia"/>
                      <w:color w:val="auto"/>
                      <w:highlight w:val="none"/>
                    </w:rPr>
                    <w:t>每月</w:t>
                  </w:r>
                </w:p>
              </w:tc>
              <w:tc>
                <w:tcPr>
                  <w:tcW w:w="337" w:type="pct"/>
                  <w:tcMar>
                    <w:top w:w="0" w:type="dxa"/>
                    <w:left w:w="57" w:type="dxa"/>
                    <w:bottom w:w="0" w:type="dxa"/>
                    <w:right w:w="57" w:type="dxa"/>
                  </w:tcMar>
                  <w:vAlign w:val="center"/>
                </w:tcPr>
                <w:p w14:paraId="1FF9DBF5">
                  <w:pPr>
                    <w:pStyle w:val="20"/>
                    <w:bidi w:val="0"/>
                    <w:rPr>
                      <w:color w:val="auto"/>
                      <w:highlight w:val="none"/>
                    </w:rPr>
                  </w:pPr>
                  <w:r>
                    <w:rPr>
                      <w:rFonts w:hint="eastAsia"/>
                      <w:color w:val="auto"/>
                      <w:highlight w:val="none"/>
                    </w:rPr>
                    <w:t>约0.083</w:t>
                  </w:r>
                </w:p>
              </w:tc>
              <w:tc>
                <w:tcPr>
                  <w:tcW w:w="618" w:type="pct"/>
                  <w:tcMar>
                    <w:top w:w="0" w:type="dxa"/>
                    <w:left w:w="57" w:type="dxa"/>
                    <w:bottom w:w="0" w:type="dxa"/>
                    <w:right w:w="57" w:type="dxa"/>
                  </w:tcMar>
                  <w:vAlign w:val="center"/>
                </w:tcPr>
                <w:p w14:paraId="02877D59">
                  <w:pPr>
                    <w:pStyle w:val="20"/>
                    <w:bidi w:val="0"/>
                    <w:rPr>
                      <w:color w:val="auto"/>
                      <w:highlight w:val="none"/>
                    </w:rPr>
                  </w:pPr>
                  <w:r>
                    <w:rPr>
                      <w:rFonts w:hint="eastAsia"/>
                      <w:color w:val="auto"/>
                      <w:highlight w:val="none"/>
                    </w:rPr>
                    <w:t>一般工业固废暂存间堆存</w:t>
                  </w:r>
                </w:p>
              </w:tc>
              <w:tc>
                <w:tcPr>
                  <w:tcW w:w="444" w:type="pct"/>
                  <w:vMerge w:val="restart"/>
                  <w:tcMar>
                    <w:top w:w="0" w:type="dxa"/>
                    <w:left w:w="57" w:type="dxa"/>
                    <w:bottom w:w="0" w:type="dxa"/>
                    <w:right w:w="57" w:type="dxa"/>
                  </w:tcMar>
                  <w:vAlign w:val="center"/>
                </w:tcPr>
                <w:p w14:paraId="29AE09DE">
                  <w:pPr>
                    <w:pStyle w:val="20"/>
                    <w:bidi w:val="0"/>
                    <w:rPr>
                      <w:color w:val="auto"/>
                      <w:highlight w:val="none"/>
                    </w:rPr>
                  </w:pPr>
                  <w:r>
                    <w:rPr>
                      <w:rFonts w:hint="eastAsia"/>
                      <w:color w:val="auto"/>
                      <w:highlight w:val="none"/>
                    </w:rPr>
                    <w:t>交物资回收单位处置</w:t>
                  </w:r>
                </w:p>
              </w:tc>
              <w:tc>
                <w:tcPr>
                  <w:tcW w:w="265" w:type="pct"/>
                  <w:shd w:val="clear" w:color="auto" w:fill="auto"/>
                  <w:tcMar>
                    <w:top w:w="0" w:type="dxa"/>
                    <w:left w:w="57" w:type="dxa"/>
                    <w:bottom w:w="0" w:type="dxa"/>
                    <w:right w:w="57" w:type="dxa"/>
                  </w:tcMar>
                  <w:vAlign w:val="center"/>
                </w:tcPr>
                <w:p w14:paraId="1B9F3B17">
                  <w:pPr>
                    <w:pStyle w:val="20"/>
                    <w:bidi w:val="0"/>
                    <w:rPr>
                      <w:color w:val="auto"/>
                      <w:highlight w:val="none"/>
                      <w:lang w:val="en-US" w:eastAsia="zh-CN"/>
                    </w:rPr>
                  </w:pPr>
                  <w:r>
                    <w:rPr>
                      <w:rFonts w:hint="eastAsia"/>
                      <w:color w:val="auto"/>
                      <w:highlight w:val="none"/>
                    </w:rPr>
                    <w:t>1</w:t>
                  </w:r>
                </w:p>
              </w:tc>
            </w:tr>
            <w:tr w14:paraId="4B6A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62" w:type="pct"/>
                  <w:tcMar>
                    <w:top w:w="0" w:type="dxa"/>
                    <w:left w:w="57" w:type="dxa"/>
                    <w:bottom w:w="0" w:type="dxa"/>
                    <w:right w:w="57" w:type="dxa"/>
                  </w:tcMar>
                  <w:vAlign w:val="center"/>
                </w:tcPr>
                <w:p w14:paraId="65987743">
                  <w:pPr>
                    <w:pStyle w:val="20"/>
                    <w:spacing w:before="31"/>
                    <w:rPr>
                      <w:color w:val="auto"/>
                      <w:highlight w:val="none"/>
                    </w:rPr>
                  </w:pPr>
                  <w:r>
                    <w:rPr>
                      <w:rFonts w:hint="eastAsia"/>
                      <w:color w:val="auto"/>
                      <w:highlight w:val="none"/>
                    </w:rPr>
                    <w:t>2</w:t>
                  </w:r>
                </w:p>
              </w:tc>
              <w:tc>
                <w:tcPr>
                  <w:tcW w:w="361" w:type="pct"/>
                  <w:shd w:val="clear" w:color="auto" w:fill="auto"/>
                  <w:tcMar>
                    <w:top w:w="0" w:type="dxa"/>
                    <w:left w:w="57" w:type="dxa"/>
                    <w:bottom w:w="0" w:type="dxa"/>
                    <w:right w:w="57" w:type="dxa"/>
                  </w:tcMar>
                  <w:vAlign w:val="center"/>
                </w:tcPr>
                <w:p w14:paraId="39E7F430">
                  <w:pPr>
                    <w:pStyle w:val="20"/>
                    <w:bidi w:val="0"/>
                    <w:rPr>
                      <w:rFonts w:hint="default"/>
                      <w:color w:val="auto"/>
                      <w:highlight w:val="none"/>
                      <w:lang w:val="en-US" w:eastAsia="zh-CN"/>
                    </w:rPr>
                  </w:pPr>
                  <w:r>
                    <w:rPr>
                      <w:rFonts w:hint="eastAsia"/>
                      <w:color w:val="auto"/>
                      <w:highlight w:val="none"/>
                      <w:lang w:val="en-US" w:eastAsia="zh-CN"/>
                    </w:rPr>
                    <w:t>废料</w:t>
                  </w:r>
                </w:p>
              </w:tc>
              <w:tc>
                <w:tcPr>
                  <w:tcW w:w="283" w:type="pct"/>
                  <w:shd w:val="clear" w:color="auto" w:fill="auto"/>
                  <w:tcMar>
                    <w:top w:w="0" w:type="dxa"/>
                    <w:left w:w="57" w:type="dxa"/>
                    <w:bottom w:w="0" w:type="dxa"/>
                    <w:right w:w="57" w:type="dxa"/>
                  </w:tcMar>
                  <w:vAlign w:val="center"/>
                </w:tcPr>
                <w:p w14:paraId="107B29E7">
                  <w:pPr>
                    <w:pStyle w:val="20"/>
                    <w:bidi w:val="0"/>
                    <w:rPr>
                      <w:rFonts w:hint="eastAsia"/>
                      <w:color w:val="auto"/>
                      <w:highlight w:val="none"/>
                      <w:lang w:val="en-US" w:eastAsia="zh-CN"/>
                    </w:rPr>
                  </w:pPr>
                  <w:r>
                    <w:rPr>
                      <w:rFonts w:hint="eastAsia"/>
                      <w:color w:val="auto"/>
                      <w:highlight w:val="none"/>
                      <w:lang w:val="en-US" w:eastAsia="zh-CN"/>
                    </w:rPr>
                    <w:t>注塑</w:t>
                  </w:r>
                </w:p>
              </w:tc>
              <w:tc>
                <w:tcPr>
                  <w:tcW w:w="225" w:type="pct"/>
                  <w:vMerge w:val="continue"/>
                  <w:tcMar>
                    <w:top w:w="0" w:type="dxa"/>
                    <w:left w:w="57" w:type="dxa"/>
                    <w:bottom w:w="0" w:type="dxa"/>
                    <w:right w:w="57" w:type="dxa"/>
                  </w:tcMar>
                  <w:vAlign w:val="center"/>
                </w:tcPr>
                <w:p w14:paraId="014298B3">
                  <w:pPr>
                    <w:pStyle w:val="20"/>
                    <w:spacing w:before="31"/>
                    <w:rPr>
                      <w:color w:val="auto"/>
                      <w:highlight w:val="none"/>
                    </w:rPr>
                  </w:pPr>
                </w:p>
              </w:tc>
              <w:tc>
                <w:tcPr>
                  <w:tcW w:w="466" w:type="pct"/>
                  <w:tcMar>
                    <w:top w:w="0" w:type="dxa"/>
                    <w:left w:w="57" w:type="dxa"/>
                    <w:bottom w:w="0" w:type="dxa"/>
                    <w:right w:w="57" w:type="dxa"/>
                  </w:tcMar>
                  <w:vAlign w:val="center"/>
                </w:tcPr>
                <w:p w14:paraId="3C314D9C">
                  <w:pPr>
                    <w:pStyle w:val="20"/>
                    <w:spacing w:before="31"/>
                    <w:rPr>
                      <w:color w:val="auto"/>
                      <w:highlight w:val="none"/>
                    </w:rPr>
                  </w:pPr>
                  <w:r>
                    <w:rPr>
                      <w:rFonts w:hint="eastAsia"/>
                      <w:color w:val="auto"/>
                      <w:highlight w:val="none"/>
                      <w:lang w:eastAsia="zh-CN"/>
                    </w:rPr>
                    <w:t>900-003-S17</w:t>
                  </w:r>
                </w:p>
              </w:tc>
              <w:tc>
                <w:tcPr>
                  <w:tcW w:w="326" w:type="pct"/>
                  <w:tcMar>
                    <w:top w:w="0" w:type="dxa"/>
                    <w:left w:w="57" w:type="dxa"/>
                    <w:bottom w:w="0" w:type="dxa"/>
                    <w:right w:w="57" w:type="dxa"/>
                  </w:tcMar>
                  <w:vAlign w:val="center"/>
                </w:tcPr>
                <w:p w14:paraId="09945185">
                  <w:pPr>
                    <w:pStyle w:val="20"/>
                    <w:spacing w:before="31"/>
                    <w:rPr>
                      <w:color w:val="auto"/>
                      <w:highlight w:val="none"/>
                    </w:rPr>
                  </w:pPr>
                  <w:r>
                    <w:rPr>
                      <w:rFonts w:hint="eastAsia"/>
                      <w:color w:val="auto"/>
                      <w:highlight w:val="none"/>
                    </w:rPr>
                    <w:t>/</w:t>
                  </w:r>
                </w:p>
              </w:tc>
              <w:tc>
                <w:tcPr>
                  <w:tcW w:w="230" w:type="pct"/>
                  <w:tcMar>
                    <w:top w:w="0" w:type="dxa"/>
                    <w:left w:w="57" w:type="dxa"/>
                    <w:bottom w:w="0" w:type="dxa"/>
                    <w:right w:w="57" w:type="dxa"/>
                  </w:tcMar>
                  <w:vAlign w:val="center"/>
                </w:tcPr>
                <w:p w14:paraId="76709831">
                  <w:pPr>
                    <w:pStyle w:val="20"/>
                    <w:spacing w:before="31"/>
                    <w:rPr>
                      <w:color w:val="auto"/>
                      <w:highlight w:val="none"/>
                    </w:rPr>
                  </w:pPr>
                  <w:r>
                    <w:rPr>
                      <w:rFonts w:hint="eastAsia"/>
                      <w:color w:val="auto"/>
                      <w:highlight w:val="none"/>
                    </w:rPr>
                    <w:t>固</w:t>
                  </w:r>
                </w:p>
              </w:tc>
              <w:tc>
                <w:tcPr>
                  <w:tcW w:w="328" w:type="pct"/>
                  <w:tcMar>
                    <w:top w:w="0" w:type="dxa"/>
                    <w:left w:w="57" w:type="dxa"/>
                    <w:bottom w:w="0" w:type="dxa"/>
                    <w:right w:w="57" w:type="dxa"/>
                  </w:tcMar>
                  <w:vAlign w:val="center"/>
                </w:tcPr>
                <w:p w14:paraId="7DCBD748">
                  <w:pPr>
                    <w:pStyle w:val="20"/>
                    <w:bidi w:val="0"/>
                    <w:rPr>
                      <w:color w:val="auto"/>
                      <w:highlight w:val="none"/>
                    </w:rPr>
                  </w:pPr>
                  <w:r>
                    <w:rPr>
                      <w:rFonts w:hint="eastAsia"/>
                      <w:color w:val="auto"/>
                      <w:highlight w:val="none"/>
                    </w:rPr>
                    <w:t>/</w:t>
                  </w:r>
                </w:p>
              </w:tc>
              <w:tc>
                <w:tcPr>
                  <w:tcW w:w="357" w:type="pct"/>
                  <w:tcMar>
                    <w:top w:w="0" w:type="dxa"/>
                    <w:left w:w="57" w:type="dxa"/>
                    <w:bottom w:w="0" w:type="dxa"/>
                    <w:right w:w="57" w:type="dxa"/>
                  </w:tcMar>
                  <w:vAlign w:val="center"/>
                </w:tcPr>
                <w:p w14:paraId="50C65994">
                  <w:pPr>
                    <w:pStyle w:val="20"/>
                    <w:bidi w:val="0"/>
                    <w:rPr>
                      <w:rFonts w:hint="default"/>
                      <w:color w:val="auto"/>
                      <w:highlight w:val="none"/>
                      <w:lang w:val="en-US" w:eastAsia="zh-CN"/>
                    </w:rPr>
                  </w:pPr>
                  <w:r>
                    <w:rPr>
                      <w:rFonts w:hint="eastAsia"/>
                      <w:color w:val="auto"/>
                      <w:highlight w:val="none"/>
                      <w:lang w:val="en-US" w:eastAsia="zh-CN"/>
                    </w:rPr>
                    <w:t>0.211</w:t>
                  </w:r>
                </w:p>
              </w:tc>
              <w:tc>
                <w:tcPr>
                  <w:tcW w:w="292" w:type="pct"/>
                  <w:tcMar>
                    <w:top w:w="0" w:type="dxa"/>
                    <w:left w:w="57" w:type="dxa"/>
                    <w:bottom w:w="0" w:type="dxa"/>
                    <w:right w:w="57" w:type="dxa"/>
                  </w:tcMar>
                  <w:vAlign w:val="center"/>
                </w:tcPr>
                <w:p w14:paraId="1CA67551">
                  <w:pPr>
                    <w:pStyle w:val="20"/>
                    <w:bidi w:val="0"/>
                    <w:rPr>
                      <w:color w:val="auto"/>
                      <w:highlight w:val="none"/>
                    </w:rPr>
                  </w:pPr>
                  <w:r>
                    <w:rPr>
                      <w:rFonts w:hint="eastAsia"/>
                      <w:color w:val="auto"/>
                      <w:highlight w:val="none"/>
                    </w:rPr>
                    <w:t>每天</w:t>
                  </w:r>
                </w:p>
              </w:tc>
              <w:tc>
                <w:tcPr>
                  <w:tcW w:w="299" w:type="pct"/>
                  <w:tcMar>
                    <w:top w:w="0" w:type="dxa"/>
                    <w:left w:w="57" w:type="dxa"/>
                    <w:bottom w:w="0" w:type="dxa"/>
                    <w:right w:w="57" w:type="dxa"/>
                  </w:tcMar>
                  <w:vAlign w:val="center"/>
                </w:tcPr>
                <w:p w14:paraId="76A55E91">
                  <w:pPr>
                    <w:pStyle w:val="20"/>
                    <w:bidi w:val="0"/>
                    <w:rPr>
                      <w:color w:val="auto"/>
                      <w:highlight w:val="none"/>
                    </w:rPr>
                  </w:pPr>
                  <w:r>
                    <w:rPr>
                      <w:rFonts w:hint="eastAsia"/>
                      <w:color w:val="auto"/>
                      <w:highlight w:val="none"/>
                    </w:rPr>
                    <w:t>每月</w:t>
                  </w:r>
                </w:p>
              </w:tc>
              <w:tc>
                <w:tcPr>
                  <w:tcW w:w="337" w:type="pct"/>
                  <w:tcMar>
                    <w:top w:w="0" w:type="dxa"/>
                    <w:left w:w="57" w:type="dxa"/>
                    <w:bottom w:w="0" w:type="dxa"/>
                    <w:right w:w="57" w:type="dxa"/>
                  </w:tcMar>
                  <w:vAlign w:val="center"/>
                </w:tcPr>
                <w:p w14:paraId="5CE49584">
                  <w:pPr>
                    <w:pStyle w:val="20"/>
                    <w:bidi w:val="0"/>
                    <w:rPr>
                      <w:color w:val="auto"/>
                      <w:highlight w:val="none"/>
                    </w:rPr>
                  </w:pPr>
                  <w:r>
                    <w:rPr>
                      <w:rFonts w:hint="eastAsia"/>
                      <w:color w:val="auto"/>
                      <w:highlight w:val="none"/>
                    </w:rPr>
                    <w:t>约</w:t>
                  </w:r>
                  <w:r>
                    <w:rPr>
                      <w:rFonts w:hint="eastAsia"/>
                      <w:color w:val="auto"/>
                      <w:highlight w:val="none"/>
                      <w:lang w:val="en-US" w:eastAsia="zh-CN"/>
                    </w:rPr>
                    <w:t>0.018</w:t>
                  </w:r>
                </w:p>
              </w:tc>
              <w:tc>
                <w:tcPr>
                  <w:tcW w:w="618" w:type="pct"/>
                  <w:tcMar>
                    <w:top w:w="0" w:type="dxa"/>
                    <w:left w:w="57" w:type="dxa"/>
                    <w:bottom w:w="0" w:type="dxa"/>
                    <w:right w:w="57" w:type="dxa"/>
                  </w:tcMar>
                  <w:vAlign w:val="center"/>
                </w:tcPr>
                <w:p w14:paraId="34938C4F">
                  <w:pPr>
                    <w:pStyle w:val="20"/>
                    <w:bidi w:val="0"/>
                    <w:rPr>
                      <w:color w:val="auto"/>
                      <w:highlight w:val="none"/>
                    </w:rPr>
                  </w:pPr>
                  <w:r>
                    <w:rPr>
                      <w:rFonts w:hint="eastAsia"/>
                      <w:color w:val="auto"/>
                      <w:highlight w:val="none"/>
                    </w:rPr>
                    <w:t>一般工业固废暂存间袋装堆存</w:t>
                  </w:r>
                </w:p>
              </w:tc>
              <w:tc>
                <w:tcPr>
                  <w:tcW w:w="444" w:type="pct"/>
                  <w:vMerge w:val="continue"/>
                  <w:tcMar>
                    <w:top w:w="0" w:type="dxa"/>
                    <w:left w:w="57" w:type="dxa"/>
                    <w:bottom w:w="0" w:type="dxa"/>
                    <w:right w:w="57" w:type="dxa"/>
                  </w:tcMar>
                  <w:vAlign w:val="center"/>
                </w:tcPr>
                <w:p w14:paraId="3421DACD">
                  <w:pPr>
                    <w:pStyle w:val="20"/>
                    <w:bidi w:val="0"/>
                    <w:rPr>
                      <w:color w:val="auto"/>
                      <w:highlight w:val="none"/>
                    </w:rPr>
                  </w:pPr>
                </w:p>
              </w:tc>
              <w:tc>
                <w:tcPr>
                  <w:tcW w:w="265" w:type="pct"/>
                  <w:shd w:val="clear" w:color="auto" w:fill="auto"/>
                  <w:tcMar>
                    <w:top w:w="0" w:type="dxa"/>
                    <w:left w:w="57" w:type="dxa"/>
                    <w:bottom w:w="0" w:type="dxa"/>
                    <w:right w:w="57" w:type="dxa"/>
                  </w:tcMar>
                  <w:vAlign w:val="center"/>
                </w:tcPr>
                <w:p w14:paraId="7EE9F7BF">
                  <w:pPr>
                    <w:pStyle w:val="20"/>
                    <w:bidi w:val="0"/>
                    <w:rPr>
                      <w:rFonts w:hint="default"/>
                      <w:color w:val="auto"/>
                      <w:highlight w:val="none"/>
                      <w:lang w:val="en-US" w:eastAsia="zh-CN"/>
                    </w:rPr>
                  </w:pPr>
                  <w:r>
                    <w:rPr>
                      <w:rFonts w:hint="eastAsia"/>
                      <w:color w:val="auto"/>
                      <w:highlight w:val="none"/>
                      <w:lang w:val="en-US" w:eastAsia="zh-CN"/>
                    </w:rPr>
                    <w:t>0.211</w:t>
                  </w:r>
                </w:p>
              </w:tc>
            </w:tr>
            <w:tr w14:paraId="2BE23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162" w:type="pct"/>
                  <w:tcMar>
                    <w:top w:w="0" w:type="dxa"/>
                    <w:left w:w="57" w:type="dxa"/>
                    <w:bottom w:w="0" w:type="dxa"/>
                    <w:right w:w="57" w:type="dxa"/>
                  </w:tcMar>
                  <w:vAlign w:val="center"/>
                </w:tcPr>
                <w:p w14:paraId="440EC05C">
                  <w:pPr>
                    <w:pStyle w:val="20"/>
                    <w:spacing w:before="31"/>
                    <w:rPr>
                      <w:color w:val="auto"/>
                      <w:highlight w:val="none"/>
                    </w:rPr>
                  </w:pPr>
                  <w:r>
                    <w:rPr>
                      <w:rFonts w:hint="eastAsia"/>
                      <w:color w:val="auto"/>
                      <w:highlight w:val="none"/>
                    </w:rPr>
                    <w:t>3</w:t>
                  </w:r>
                </w:p>
              </w:tc>
              <w:tc>
                <w:tcPr>
                  <w:tcW w:w="361" w:type="pct"/>
                  <w:shd w:val="clear" w:color="auto" w:fill="auto"/>
                  <w:tcMar>
                    <w:top w:w="0" w:type="dxa"/>
                    <w:left w:w="57" w:type="dxa"/>
                    <w:bottom w:w="0" w:type="dxa"/>
                    <w:right w:w="57" w:type="dxa"/>
                  </w:tcMar>
                  <w:vAlign w:val="center"/>
                </w:tcPr>
                <w:p w14:paraId="2752B2F4">
                  <w:pPr>
                    <w:pStyle w:val="20"/>
                    <w:bidi w:val="0"/>
                    <w:rPr>
                      <w:rFonts w:hint="default"/>
                      <w:color w:val="auto"/>
                      <w:highlight w:val="none"/>
                      <w:lang w:val="en-US" w:eastAsia="zh-CN"/>
                    </w:rPr>
                  </w:pPr>
                  <w:r>
                    <w:rPr>
                      <w:rFonts w:hint="eastAsia"/>
                      <w:color w:val="auto"/>
                      <w:highlight w:val="none"/>
                      <w:lang w:val="en-US" w:eastAsia="zh-CN"/>
                    </w:rPr>
                    <w:t>边角料</w:t>
                  </w:r>
                </w:p>
              </w:tc>
              <w:tc>
                <w:tcPr>
                  <w:tcW w:w="283" w:type="pct"/>
                  <w:shd w:val="clear" w:color="auto" w:fill="auto"/>
                  <w:tcMar>
                    <w:top w:w="0" w:type="dxa"/>
                    <w:left w:w="57" w:type="dxa"/>
                    <w:bottom w:w="0" w:type="dxa"/>
                    <w:right w:w="57" w:type="dxa"/>
                  </w:tcMar>
                  <w:vAlign w:val="center"/>
                </w:tcPr>
                <w:p w14:paraId="1CA4FD27">
                  <w:pPr>
                    <w:pStyle w:val="20"/>
                    <w:bidi w:val="0"/>
                    <w:rPr>
                      <w:rFonts w:hint="eastAsia"/>
                      <w:color w:val="auto"/>
                      <w:highlight w:val="none"/>
                      <w:lang w:val="en-US" w:eastAsia="zh-CN"/>
                    </w:rPr>
                  </w:pPr>
                  <w:r>
                    <w:rPr>
                      <w:rFonts w:hint="eastAsia"/>
                      <w:color w:val="auto"/>
                      <w:highlight w:val="none"/>
                      <w:lang w:val="en-US" w:eastAsia="zh-CN"/>
                    </w:rPr>
                    <w:t>注塑、修边</w:t>
                  </w:r>
                </w:p>
              </w:tc>
              <w:tc>
                <w:tcPr>
                  <w:tcW w:w="225" w:type="pct"/>
                  <w:vMerge w:val="continue"/>
                  <w:tcMar>
                    <w:top w:w="0" w:type="dxa"/>
                    <w:left w:w="57" w:type="dxa"/>
                    <w:bottom w:w="0" w:type="dxa"/>
                    <w:right w:w="57" w:type="dxa"/>
                  </w:tcMar>
                  <w:vAlign w:val="center"/>
                </w:tcPr>
                <w:p w14:paraId="30A90189">
                  <w:pPr>
                    <w:pStyle w:val="20"/>
                    <w:spacing w:before="31"/>
                    <w:rPr>
                      <w:color w:val="auto"/>
                      <w:highlight w:val="none"/>
                    </w:rPr>
                  </w:pPr>
                </w:p>
              </w:tc>
              <w:tc>
                <w:tcPr>
                  <w:tcW w:w="466" w:type="pct"/>
                  <w:tcMar>
                    <w:top w:w="0" w:type="dxa"/>
                    <w:left w:w="57" w:type="dxa"/>
                    <w:bottom w:w="0" w:type="dxa"/>
                    <w:right w:w="57" w:type="dxa"/>
                  </w:tcMar>
                  <w:vAlign w:val="center"/>
                </w:tcPr>
                <w:p w14:paraId="6388F6CE">
                  <w:pPr>
                    <w:pStyle w:val="20"/>
                    <w:spacing w:before="31"/>
                    <w:rPr>
                      <w:color w:val="auto"/>
                      <w:highlight w:val="none"/>
                    </w:rPr>
                  </w:pPr>
                  <w:r>
                    <w:rPr>
                      <w:rFonts w:hint="eastAsia"/>
                      <w:color w:val="auto"/>
                      <w:highlight w:val="none"/>
                      <w:lang w:eastAsia="zh-CN"/>
                    </w:rPr>
                    <w:t>900-003-S17</w:t>
                  </w:r>
                </w:p>
              </w:tc>
              <w:tc>
                <w:tcPr>
                  <w:tcW w:w="326" w:type="pct"/>
                  <w:tcMar>
                    <w:top w:w="0" w:type="dxa"/>
                    <w:left w:w="57" w:type="dxa"/>
                    <w:bottom w:w="0" w:type="dxa"/>
                    <w:right w:w="57" w:type="dxa"/>
                  </w:tcMar>
                  <w:vAlign w:val="center"/>
                </w:tcPr>
                <w:p w14:paraId="2E18510E">
                  <w:pPr>
                    <w:pStyle w:val="20"/>
                    <w:spacing w:before="31"/>
                    <w:rPr>
                      <w:color w:val="auto"/>
                      <w:highlight w:val="none"/>
                    </w:rPr>
                  </w:pPr>
                  <w:r>
                    <w:rPr>
                      <w:rFonts w:hint="eastAsia"/>
                      <w:color w:val="auto"/>
                      <w:highlight w:val="none"/>
                    </w:rPr>
                    <w:t>/</w:t>
                  </w:r>
                </w:p>
              </w:tc>
              <w:tc>
                <w:tcPr>
                  <w:tcW w:w="230" w:type="pct"/>
                  <w:tcMar>
                    <w:top w:w="0" w:type="dxa"/>
                    <w:left w:w="57" w:type="dxa"/>
                    <w:bottom w:w="0" w:type="dxa"/>
                    <w:right w:w="57" w:type="dxa"/>
                  </w:tcMar>
                  <w:vAlign w:val="center"/>
                </w:tcPr>
                <w:p w14:paraId="7C05FD84">
                  <w:pPr>
                    <w:pStyle w:val="20"/>
                    <w:spacing w:before="31"/>
                    <w:rPr>
                      <w:color w:val="auto"/>
                      <w:highlight w:val="none"/>
                    </w:rPr>
                  </w:pPr>
                  <w:r>
                    <w:rPr>
                      <w:rFonts w:hint="eastAsia"/>
                      <w:color w:val="auto"/>
                      <w:highlight w:val="none"/>
                    </w:rPr>
                    <w:t>固</w:t>
                  </w:r>
                </w:p>
              </w:tc>
              <w:tc>
                <w:tcPr>
                  <w:tcW w:w="328" w:type="pct"/>
                  <w:tcMar>
                    <w:top w:w="0" w:type="dxa"/>
                    <w:left w:w="57" w:type="dxa"/>
                    <w:bottom w:w="0" w:type="dxa"/>
                    <w:right w:w="57" w:type="dxa"/>
                  </w:tcMar>
                  <w:vAlign w:val="center"/>
                </w:tcPr>
                <w:p w14:paraId="35A83BD3">
                  <w:pPr>
                    <w:pStyle w:val="20"/>
                    <w:bidi w:val="0"/>
                    <w:rPr>
                      <w:color w:val="auto"/>
                      <w:highlight w:val="none"/>
                    </w:rPr>
                  </w:pPr>
                  <w:r>
                    <w:rPr>
                      <w:rFonts w:hint="eastAsia"/>
                      <w:color w:val="auto"/>
                      <w:highlight w:val="none"/>
                    </w:rPr>
                    <w:t>/</w:t>
                  </w:r>
                </w:p>
              </w:tc>
              <w:tc>
                <w:tcPr>
                  <w:tcW w:w="357" w:type="pct"/>
                  <w:tcMar>
                    <w:top w:w="0" w:type="dxa"/>
                    <w:left w:w="57" w:type="dxa"/>
                    <w:bottom w:w="0" w:type="dxa"/>
                    <w:right w:w="57" w:type="dxa"/>
                  </w:tcMar>
                  <w:vAlign w:val="center"/>
                </w:tcPr>
                <w:p w14:paraId="1603CA77">
                  <w:pPr>
                    <w:pStyle w:val="20"/>
                    <w:bidi w:val="0"/>
                    <w:rPr>
                      <w:rFonts w:hint="default"/>
                      <w:color w:val="auto"/>
                      <w:highlight w:val="none"/>
                      <w:lang w:val="en-US" w:eastAsia="zh-CN"/>
                    </w:rPr>
                  </w:pPr>
                  <w:r>
                    <w:rPr>
                      <w:rFonts w:hint="eastAsia"/>
                      <w:color w:val="auto"/>
                      <w:highlight w:val="none"/>
                      <w:lang w:val="en-US" w:eastAsia="zh-CN"/>
                    </w:rPr>
                    <w:t>35.05</w:t>
                  </w:r>
                </w:p>
              </w:tc>
              <w:tc>
                <w:tcPr>
                  <w:tcW w:w="292" w:type="pct"/>
                  <w:tcMar>
                    <w:top w:w="0" w:type="dxa"/>
                    <w:left w:w="57" w:type="dxa"/>
                    <w:bottom w:w="0" w:type="dxa"/>
                    <w:right w:w="57" w:type="dxa"/>
                  </w:tcMar>
                  <w:vAlign w:val="center"/>
                </w:tcPr>
                <w:p w14:paraId="78ABD707">
                  <w:pPr>
                    <w:pStyle w:val="20"/>
                    <w:bidi w:val="0"/>
                    <w:rPr>
                      <w:rFonts w:hint="eastAsia"/>
                      <w:color w:val="auto"/>
                      <w:highlight w:val="none"/>
                      <w:lang w:eastAsia="zh-CN"/>
                    </w:rPr>
                  </w:pPr>
                  <w:r>
                    <w:rPr>
                      <w:rFonts w:hint="eastAsia"/>
                      <w:color w:val="auto"/>
                      <w:highlight w:val="none"/>
                    </w:rPr>
                    <w:t>每天</w:t>
                  </w:r>
                </w:p>
              </w:tc>
              <w:tc>
                <w:tcPr>
                  <w:tcW w:w="299" w:type="pct"/>
                  <w:tcMar>
                    <w:top w:w="0" w:type="dxa"/>
                    <w:left w:w="57" w:type="dxa"/>
                    <w:bottom w:w="0" w:type="dxa"/>
                    <w:right w:w="57" w:type="dxa"/>
                  </w:tcMar>
                  <w:vAlign w:val="center"/>
                </w:tcPr>
                <w:p w14:paraId="3F3227DF">
                  <w:pPr>
                    <w:pStyle w:val="20"/>
                    <w:bidi w:val="0"/>
                    <w:rPr>
                      <w:rFonts w:hint="eastAsia"/>
                      <w:color w:val="auto"/>
                      <w:highlight w:val="none"/>
                      <w:lang w:eastAsia="zh-CN"/>
                    </w:rPr>
                  </w:pPr>
                  <w:r>
                    <w:rPr>
                      <w:rFonts w:hint="eastAsia"/>
                      <w:color w:val="auto"/>
                      <w:highlight w:val="none"/>
                      <w:lang w:val="en-US" w:eastAsia="zh-CN"/>
                    </w:rPr>
                    <w:t>每周</w:t>
                  </w:r>
                </w:p>
              </w:tc>
              <w:tc>
                <w:tcPr>
                  <w:tcW w:w="337" w:type="pct"/>
                  <w:tcMar>
                    <w:top w:w="0" w:type="dxa"/>
                    <w:left w:w="57" w:type="dxa"/>
                    <w:bottom w:w="0" w:type="dxa"/>
                    <w:right w:w="57" w:type="dxa"/>
                  </w:tcMar>
                  <w:vAlign w:val="center"/>
                </w:tcPr>
                <w:p w14:paraId="659854F1">
                  <w:pPr>
                    <w:pStyle w:val="20"/>
                    <w:bidi w:val="0"/>
                    <w:rPr>
                      <w:rFonts w:hint="default"/>
                      <w:color w:val="auto"/>
                      <w:highlight w:val="none"/>
                      <w:lang w:val="en-US" w:eastAsia="zh-CN"/>
                    </w:rPr>
                  </w:pPr>
                  <w:r>
                    <w:rPr>
                      <w:rFonts w:hint="eastAsia"/>
                      <w:color w:val="auto"/>
                      <w:highlight w:val="none"/>
                    </w:rPr>
                    <w:t>约</w:t>
                  </w:r>
                  <w:r>
                    <w:rPr>
                      <w:rFonts w:hint="eastAsia"/>
                      <w:color w:val="auto"/>
                      <w:highlight w:val="none"/>
                      <w:lang w:val="en-US" w:eastAsia="zh-CN"/>
                    </w:rPr>
                    <w:t>0.701</w:t>
                  </w:r>
                </w:p>
              </w:tc>
              <w:tc>
                <w:tcPr>
                  <w:tcW w:w="618" w:type="pct"/>
                  <w:vMerge w:val="restart"/>
                  <w:tcMar>
                    <w:top w:w="0" w:type="dxa"/>
                    <w:left w:w="57" w:type="dxa"/>
                    <w:bottom w:w="0" w:type="dxa"/>
                    <w:right w:w="57" w:type="dxa"/>
                  </w:tcMar>
                  <w:vAlign w:val="center"/>
                </w:tcPr>
                <w:p w14:paraId="761E4989">
                  <w:pPr>
                    <w:pStyle w:val="20"/>
                    <w:bidi w:val="0"/>
                    <w:rPr>
                      <w:color w:val="auto"/>
                      <w:highlight w:val="none"/>
                    </w:rPr>
                  </w:pPr>
                  <w:r>
                    <w:rPr>
                      <w:rFonts w:hint="eastAsia"/>
                      <w:color w:val="auto"/>
                      <w:highlight w:val="none"/>
                      <w:lang w:val="en-US" w:eastAsia="zh-CN"/>
                    </w:rPr>
                    <w:t>破碎间</w:t>
                  </w:r>
                  <w:r>
                    <w:rPr>
                      <w:rFonts w:hint="eastAsia"/>
                      <w:color w:val="auto"/>
                      <w:highlight w:val="none"/>
                    </w:rPr>
                    <w:t>袋装堆存</w:t>
                  </w:r>
                </w:p>
              </w:tc>
              <w:tc>
                <w:tcPr>
                  <w:tcW w:w="444" w:type="pct"/>
                  <w:vMerge w:val="restart"/>
                  <w:tcMar>
                    <w:top w:w="0" w:type="dxa"/>
                    <w:left w:w="57" w:type="dxa"/>
                    <w:bottom w:w="0" w:type="dxa"/>
                    <w:right w:w="57" w:type="dxa"/>
                  </w:tcMar>
                  <w:vAlign w:val="center"/>
                </w:tcPr>
                <w:p w14:paraId="0614C9B5">
                  <w:pPr>
                    <w:pStyle w:val="20"/>
                    <w:bidi w:val="0"/>
                    <w:rPr>
                      <w:rFonts w:hint="default"/>
                      <w:color w:val="auto"/>
                      <w:highlight w:val="none"/>
                      <w:lang w:val="en-US" w:eastAsia="zh-CN"/>
                    </w:rPr>
                  </w:pPr>
                  <w:r>
                    <w:rPr>
                      <w:rFonts w:hint="eastAsia"/>
                      <w:color w:val="auto"/>
                      <w:highlight w:val="none"/>
                      <w:lang w:val="en-US" w:eastAsia="zh-CN"/>
                    </w:rPr>
                    <w:t>破碎回用</w:t>
                  </w:r>
                </w:p>
              </w:tc>
              <w:tc>
                <w:tcPr>
                  <w:tcW w:w="265" w:type="pct"/>
                  <w:shd w:val="clear" w:color="auto" w:fill="auto"/>
                  <w:tcMar>
                    <w:top w:w="0" w:type="dxa"/>
                    <w:left w:w="57" w:type="dxa"/>
                    <w:bottom w:w="0" w:type="dxa"/>
                    <w:right w:w="57" w:type="dxa"/>
                  </w:tcMar>
                  <w:vAlign w:val="center"/>
                </w:tcPr>
                <w:p w14:paraId="5A98F6E4">
                  <w:pPr>
                    <w:pStyle w:val="20"/>
                    <w:bidi w:val="0"/>
                    <w:rPr>
                      <w:rFonts w:hint="default"/>
                      <w:color w:val="auto"/>
                      <w:highlight w:val="none"/>
                      <w:lang w:val="en-US" w:eastAsia="zh-CN"/>
                    </w:rPr>
                  </w:pPr>
                  <w:r>
                    <w:rPr>
                      <w:rFonts w:hint="eastAsia"/>
                      <w:color w:val="auto"/>
                      <w:highlight w:val="none"/>
                      <w:lang w:val="en-US" w:eastAsia="zh-CN"/>
                    </w:rPr>
                    <w:t>35.05</w:t>
                  </w:r>
                </w:p>
              </w:tc>
            </w:tr>
            <w:tr w14:paraId="28571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62" w:type="pct"/>
                  <w:tcMar>
                    <w:top w:w="0" w:type="dxa"/>
                    <w:left w:w="57" w:type="dxa"/>
                    <w:bottom w:w="0" w:type="dxa"/>
                    <w:right w:w="57" w:type="dxa"/>
                  </w:tcMar>
                  <w:vAlign w:val="center"/>
                </w:tcPr>
                <w:p w14:paraId="5A24F613">
                  <w:pPr>
                    <w:pStyle w:val="20"/>
                    <w:spacing w:before="31"/>
                    <w:rPr>
                      <w:color w:val="auto"/>
                      <w:highlight w:val="none"/>
                    </w:rPr>
                  </w:pPr>
                  <w:r>
                    <w:rPr>
                      <w:rFonts w:hint="eastAsia"/>
                      <w:color w:val="auto"/>
                      <w:highlight w:val="none"/>
                    </w:rPr>
                    <w:t>4</w:t>
                  </w:r>
                </w:p>
              </w:tc>
              <w:tc>
                <w:tcPr>
                  <w:tcW w:w="361" w:type="pct"/>
                  <w:shd w:val="clear" w:color="auto" w:fill="auto"/>
                  <w:tcMar>
                    <w:top w:w="0" w:type="dxa"/>
                    <w:left w:w="57" w:type="dxa"/>
                    <w:bottom w:w="0" w:type="dxa"/>
                    <w:right w:w="57" w:type="dxa"/>
                  </w:tcMar>
                  <w:vAlign w:val="center"/>
                </w:tcPr>
                <w:p w14:paraId="25D6376A">
                  <w:pPr>
                    <w:pStyle w:val="20"/>
                    <w:bidi w:val="0"/>
                    <w:rPr>
                      <w:rFonts w:hint="eastAsia"/>
                      <w:color w:val="auto"/>
                      <w:highlight w:val="none"/>
                      <w:lang w:val="en-US" w:eastAsia="zh-CN"/>
                    </w:rPr>
                  </w:pPr>
                  <w:r>
                    <w:rPr>
                      <w:rFonts w:hint="eastAsia"/>
                      <w:color w:val="auto"/>
                      <w:highlight w:val="none"/>
                      <w:lang w:val="en-US" w:eastAsia="zh-CN"/>
                    </w:rPr>
                    <w:t>不合格品</w:t>
                  </w:r>
                </w:p>
              </w:tc>
              <w:tc>
                <w:tcPr>
                  <w:tcW w:w="283" w:type="pct"/>
                  <w:shd w:val="clear" w:color="auto" w:fill="auto"/>
                  <w:tcMar>
                    <w:top w:w="0" w:type="dxa"/>
                    <w:left w:w="57" w:type="dxa"/>
                    <w:bottom w:w="0" w:type="dxa"/>
                    <w:right w:w="57" w:type="dxa"/>
                  </w:tcMar>
                  <w:vAlign w:val="center"/>
                </w:tcPr>
                <w:p w14:paraId="6BBD8966">
                  <w:pPr>
                    <w:pStyle w:val="20"/>
                    <w:bidi w:val="0"/>
                    <w:rPr>
                      <w:rFonts w:hint="eastAsia"/>
                      <w:color w:val="auto"/>
                      <w:highlight w:val="none"/>
                      <w:lang w:val="en-US" w:eastAsia="zh-CN"/>
                    </w:rPr>
                  </w:pPr>
                  <w:r>
                    <w:rPr>
                      <w:rFonts w:hint="eastAsia"/>
                      <w:color w:val="auto"/>
                      <w:highlight w:val="none"/>
                      <w:lang w:val="en-US" w:eastAsia="zh-CN"/>
                    </w:rPr>
                    <w:t>质检</w:t>
                  </w:r>
                </w:p>
              </w:tc>
              <w:tc>
                <w:tcPr>
                  <w:tcW w:w="225" w:type="pct"/>
                  <w:vMerge w:val="continue"/>
                  <w:tcMar>
                    <w:top w:w="0" w:type="dxa"/>
                    <w:left w:w="57" w:type="dxa"/>
                    <w:bottom w:w="0" w:type="dxa"/>
                    <w:right w:w="57" w:type="dxa"/>
                  </w:tcMar>
                  <w:vAlign w:val="center"/>
                </w:tcPr>
                <w:p w14:paraId="208F0B37">
                  <w:pPr>
                    <w:pStyle w:val="20"/>
                    <w:spacing w:before="31"/>
                    <w:rPr>
                      <w:color w:val="auto"/>
                      <w:highlight w:val="none"/>
                    </w:rPr>
                  </w:pPr>
                </w:p>
              </w:tc>
              <w:tc>
                <w:tcPr>
                  <w:tcW w:w="466" w:type="pct"/>
                  <w:tcMar>
                    <w:top w:w="0" w:type="dxa"/>
                    <w:left w:w="57" w:type="dxa"/>
                    <w:bottom w:w="0" w:type="dxa"/>
                    <w:right w:w="57" w:type="dxa"/>
                  </w:tcMar>
                  <w:vAlign w:val="center"/>
                </w:tcPr>
                <w:p w14:paraId="1308F09E">
                  <w:pPr>
                    <w:pStyle w:val="20"/>
                    <w:spacing w:before="31"/>
                    <w:rPr>
                      <w:color w:val="auto"/>
                      <w:highlight w:val="none"/>
                    </w:rPr>
                  </w:pPr>
                  <w:r>
                    <w:rPr>
                      <w:rFonts w:hint="eastAsia"/>
                      <w:color w:val="auto"/>
                      <w:highlight w:val="none"/>
                      <w:lang w:eastAsia="zh-CN"/>
                    </w:rPr>
                    <w:t>900-003-S17</w:t>
                  </w:r>
                </w:p>
              </w:tc>
              <w:tc>
                <w:tcPr>
                  <w:tcW w:w="326" w:type="pct"/>
                  <w:tcMar>
                    <w:top w:w="0" w:type="dxa"/>
                    <w:left w:w="57" w:type="dxa"/>
                    <w:bottom w:w="0" w:type="dxa"/>
                    <w:right w:w="57" w:type="dxa"/>
                  </w:tcMar>
                  <w:vAlign w:val="center"/>
                </w:tcPr>
                <w:p w14:paraId="0E8A6478">
                  <w:pPr>
                    <w:pStyle w:val="20"/>
                    <w:spacing w:before="31"/>
                    <w:rPr>
                      <w:color w:val="auto"/>
                      <w:highlight w:val="none"/>
                    </w:rPr>
                  </w:pPr>
                  <w:r>
                    <w:rPr>
                      <w:rFonts w:hint="eastAsia"/>
                      <w:color w:val="auto"/>
                      <w:highlight w:val="none"/>
                    </w:rPr>
                    <w:t>/</w:t>
                  </w:r>
                </w:p>
              </w:tc>
              <w:tc>
                <w:tcPr>
                  <w:tcW w:w="230" w:type="pct"/>
                  <w:tcMar>
                    <w:top w:w="0" w:type="dxa"/>
                    <w:left w:w="57" w:type="dxa"/>
                    <w:bottom w:w="0" w:type="dxa"/>
                    <w:right w:w="57" w:type="dxa"/>
                  </w:tcMar>
                  <w:vAlign w:val="center"/>
                </w:tcPr>
                <w:p w14:paraId="414A35CA">
                  <w:pPr>
                    <w:pStyle w:val="20"/>
                    <w:spacing w:before="31"/>
                    <w:rPr>
                      <w:color w:val="auto"/>
                      <w:highlight w:val="none"/>
                    </w:rPr>
                  </w:pPr>
                  <w:r>
                    <w:rPr>
                      <w:rFonts w:hint="eastAsia"/>
                      <w:color w:val="auto"/>
                      <w:highlight w:val="none"/>
                    </w:rPr>
                    <w:t>固</w:t>
                  </w:r>
                </w:p>
              </w:tc>
              <w:tc>
                <w:tcPr>
                  <w:tcW w:w="328" w:type="pct"/>
                  <w:tcMar>
                    <w:top w:w="0" w:type="dxa"/>
                    <w:left w:w="57" w:type="dxa"/>
                    <w:bottom w:w="0" w:type="dxa"/>
                    <w:right w:w="57" w:type="dxa"/>
                  </w:tcMar>
                  <w:vAlign w:val="center"/>
                </w:tcPr>
                <w:p w14:paraId="1CE78062">
                  <w:pPr>
                    <w:pStyle w:val="20"/>
                    <w:bidi w:val="0"/>
                    <w:rPr>
                      <w:color w:val="auto"/>
                      <w:highlight w:val="none"/>
                    </w:rPr>
                  </w:pPr>
                  <w:r>
                    <w:rPr>
                      <w:rFonts w:hint="eastAsia"/>
                      <w:color w:val="auto"/>
                      <w:highlight w:val="none"/>
                    </w:rPr>
                    <w:t>/</w:t>
                  </w:r>
                </w:p>
              </w:tc>
              <w:tc>
                <w:tcPr>
                  <w:tcW w:w="357" w:type="pct"/>
                  <w:tcMar>
                    <w:top w:w="0" w:type="dxa"/>
                    <w:left w:w="57" w:type="dxa"/>
                    <w:bottom w:w="0" w:type="dxa"/>
                    <w:right w:w="57" w:type="dxa"/>
                  </w:tcMar>
                  <w:vAlign w:val="center"/>
                </w:tcPr>
                <w:p w14:paraId="22FD637E">
                  <w:pPr>
                    <w:pStyle w:val="20"/>
                    <w:bidi w:val="0"/>
                    <w:rPr>
                      <w:rFonts w:hint="default"/>
                      <w:color w:val="auto"/>
                      <w:highlight w:val="none"/>
                      <w:lang w:val="en-US" w:eastAsia="zh-CN"/>
                    </w:rPr>
                  </w:pPr>
                  <w:r>
                    <w:rPr>
                      <w:rFonts w:hint="eastAsia"/>
                      <w:color w:val="auto"/>
                      <w:highlight w:val="none"/>
                      <w:lang w:val="en-US" w:eastAsia="zh-CN"/>
                    </w:rPr>
                    <w:t>21.575</w:t>
                  </w:r>
                </w:p>
              </w:tc>
              <w:tc>
                <w:tcPr>
                  <w:tcW w:w="292" w:type="pct"/>
                  <w:tcMar>
                    <w:top w:w="0" w:type="dxa"/>
                    <w:left w:w="57" w:type="dxa"/>
                    <w:bottom w:w="0" w:type="dxa"/>
                    <w:right w:w="57" w:type="dxa"/>
                  </w:tcMar>
                  <w:vAlign w:val="center"/>
                </w:tcPr>
                <w:p w14:paraId="589B1BA9">
                  <w:pPr>
                    <w:pStyle w:val="20"/>
                    <w:bidi w:val="0"/>
                    <w:rPr>
                      <w:color w:val="auto"/>
                      <w:highlight w:val="none"/>
                    </w:rPr>
                  </w:pPr>
                  <w:r>
                    <w:rPr>
                      <w:rFonts w:hint="eastAsia"/>
                      <w:color w:val="auto"/>
                      <w:highlight w:val="none"/>
                    </w:rPr>
                    <w:t>每天</w:t>
                  </w:r>
                </w:p>
              </w:tc>
              <w:tc>
                <w:tcPr>
                  <w:tcW w:w="299" w:type="pct"/>
                  <w:tcMar>
                    <w:top w:w="0" w:type="dxa"/>
                    <w:left w:w="57" w:type="dxa"/>
                    <w:bottom w:w="0" w:type="dxa"/>
                    <w:right w:w="57" w:type="dxa"/>
                  </w:tcMar>
                  <w:vAlign w:val="center"/>
                </w:tcPr>
                <w:p w14:paraId="55B30052">
                  <w:pPr>
                    <w:pStyle w:val="20"/>
                    <w:bidi w:val="0"/>
                    <w:rPr>
                      <w:color w:val="auto"/>
                      <w:highlight w:val="none"/>
                    </w:rPr>
                  </w:pPr>
                  <w:r>
                    <w:rPr>
                      <w:rFonts w:hint="eastAsia"/>
                      <w:color w:val="auto"/>
                      <w:highlight w:val="none"/>
                      <w:lang w:val="en-US" w:eastAsia="zh-CN"/>
                    </w:rPr>
                    <w:t>每周</w:t>
                  </w:r>
                </w:p>
              </w:tc>
              <w:tc>
                <w:tcPr>
                  <w:tcW w:w="337" w:type="pct"/>
                  <w:tcMar>
                    <w:top w:w="0" w:type="dxa"/>
                    <w:left w:w="57" w:type="dxa"/>
                    <w:bottom w:w="0" w:type="dxa"/>
                    <w:right w:w="57" w:type="dxa"/>
                  </w:tcMar>
                  <w:vAlign w:val="center"/>
                </w:tcPr>
                <w:p w14:paraId="13FF5EEE">
                  <w:pPr>
                    <w:pStyle w:val="20"/>
                    <w:bidi w:val="0"/>
                    <w:rPr>
                      <w:rFonts w:hint="default"/>
                      <w:color w:val="auto"/>
                      <w:highlight w:val="none"/>
                      <w:lang w:val="en-US" w:eastAsia="zh-CN"/>
                    </w:rPr>
                  </w:pPr>
                  <w:r>
                    <w:rPr>
                      <w:rFonts w:hint="eastAsia"/>
                      <w:color w:val="auto"/>
                      <w:highlight w:val="none"/>
                    </w:rPr>
                    <w:t>约0.</w:t>
                  </w:r>
                  <w:r>
                    <w:rPr>
                      <w:rFonts w:hint="eastAsia"/>
                      <w:color w:val="auto"/>
                      <w:highlight w:val="none"/>
                      <w:lang w:val="en-US" w:eastAsia="zh-CN"/>
                    </w:rPr>
                    <w:t>432</w:t>
                  </w:r>
                </w:p>
              </w:tc>
              <w:tc>
                <w:tcPr>
                  <w:tcW w:w="618" w:type="pct"/>
                  <w:vMerge w:val="continue"/>
                  <w:tcMar>
                    <w:top w:w="0" w:type="dxa"/>
                    <w:left w:w="57" w:type="dxa"/>
                    <w:bottom w:w="0" w:type="dxa"/>
                    <w:right w:w="57" w:type="dxa"/>
                  </w:tcMar>
                  <w:vAlign w:val="center"/>
                </w:tcPr>
                <w:p w14:paraId="1C9E4F79">
                  <w:pPr>
                    <w:pStyle w:val="20"/>
                    <w:bidi w:val="0"/>
                    <w:rPr>
                      <w:color w:val="auto"/>
                      <w:highlight w:val="none"/>
                    </w:rPr>
                  </w:pPr>
                </w:p>
              </w:tc>
              <w:tc>
                <w:tcPr>
                  <w:tcW w:w="444" w:type="pct"/>
                  <w:vMerge w:val="continue"/>
                  <w:tcMar>
                    <w:top w:w="0" w:type="dxa"/>
                    <w:left w:w="57" w:type="dxa"/>
                    <w:bottom w:w="0" w:type="dxa"/>
                    <w:right w:w="57" w:type="dxa"/>
                  </w:tcMar>
                  <w:vAlign w:val="center"/>
                </w:tcPr>
                <w:p w14:paraId="53440F4E">
                  <w:pPr>
                    <w:pStyle w:val="20"/>
                    <w:bidi w:val="0"/>
                    <w:rPr>
                      <w:color w:val="auto"/>
                      <w:highlight w:val="none"/>
                    </w:rPr>
                  </w:pPr>
                </w:p>
              </w:tc>
              <w:tc>
                <w:tcPr>
                  <w:tcW w:w="265" w:type="pct"/>
                  <w:shd w:val="clear" w:color="auto" w:fill="auto"/>
                  <w:tcMar>
                    <w:top w:w="0" w:type="dxa"/>
                    <w:left w:w="57" w:type="dxa"/>
                    <w:bottom w:w="0" w:type="dxa"/>
                    <w:right w:w="57" w:type="dxa"/>
                  </w:tcMar>
                  <w:vAlign w:val="center"/>
                </w:tcPr>
                <w:p w14:paraId="1EF4AD99">
                  <w:pPr>
                    <w:pStyle w:val="20"/>
                    <w:bidi w:val="0"/>
                    <w:rPr>
                      <w:rFonts w:hint="default"/>
                      <w:color w:val="auto"/>
                      <w:highlight w:val="none"/>
                      <w:lang w:val="en-US" w:eastAsia="zh-CN"/>
                    </w:rPr>
                  </w:pPr>
                  <w:r>
                    <w:rPr>
                      <w:rFonts w:hint="eastAsia"/>
                      <w:color w:val="auto"/>
                      <w:highlight w:val="none"/>
                      <w:lang w:val="en-US" w:eastAsia="zh-CN"/>
                    </w:rPr>
                    <w:t>21.575</w:t>
                  </w:r>
                </w:p>
              </w:tc>
            </w:tr>
            <w:tr w14:paraId="4BEE4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62" w:type="pct"/>
                  <w:tcMar>
                    <w:top w:w="0" w:type="dxa"/>
                    <w:left w:w="57" w:type="dxa"/>
                    <w:bottom w:w="0" w:type="dxa"/>
                    <w:right w:w="57" w:type="dxa"/>
                  </w:tcMar>
                  <w:vAlign w:val="center"/>
                </w:tcPr>
                <w:p w14:paraId="6E5870D3">
                  <w:pPr>
                    <w:pStyle w:val="20"/>
                    <w:spacing w:before="31"/>
                    <w:rPr>
                      <w:color w:val="auto"/>
                      <w:highlight w:val="none"/>
                    </w:rPr>
                  </w:pPr>
                  <w:r>
                    <w:rPr>
                      <w:rFonts w:hint="eastAsia"/>
                      <w:color w:val="auto"/>
                      <w:highlight w:val="none"/>
                    </w:rPr>
                    <w:t>5</w:t>
                  </w:r>
                </w:p>
              </w:tc>
              <w:tc>
                <w:tcPr>
                  <w:tcW w:w="361" w:type="pct"/>
                  <w:shd w:val="clear" w:color="auto" w:fill="auto"/>
                  <w:tcMar>
                    <w:top w:w="0" w:type="dxa"/>
                    <w:left w:w="57" w:type="dxa"/>
                    <w:bottom w:w="0" w:type="dxa"/>
                    <w:right w:w="57" w:type="dxa"/>
                  </w:tcMar>
                  <w:vAlign w:val="center"/>
                </w:tcPr>
                <w:p w14:paraId="466F5302">
                  <w:pPr>
                    <w:pStyle w:val="20"/>
                    <w:bidi w:val="0"/>
                    <w:rPr>
                      <w:rFonts w:hint="eastAsia"/>
                      <w:color w:val="auto"/>
                      <w:highlight w:val="none"/>
                      <w:lang w:val="en-US" w:eastAsia="zh-CN"/>
                    </w:rPr>
                  </w:pPr>
                  <w:r>
                    <w:rPr>
                      <w:rFonts w:hint="eastAsia"/>
                      <w:color w:val="auto"/>
                      <w:highlight w:val="none"/>
                      <w:lang w:val="en-US" w:eastAsia="zh-CN"/>
                    </w:rPr>
                    <w:t>废产品包装材料</w:t>
                  </w:r>
                </w:p>
              </w:tc>
              <w:tc>
                <w:tcPr>
                  <w:tcW w:w="283" w:type="pct"/>
                  <w:shd w:val="clear" w:color="auto" w:fill="auto"/>
                  <w:tcMar>
                    <w:top w:w="0" w:type="dxa"/>
                    <w:left w:w="57" w:type="dxa"/>
                    <w:bottom w:w="0" w:type="dxa"/>
                    <w:right w:w="57" w:type="dxa"/>
                  </w:tcMar>
                  <w:vAlign w:val="center"/>
                </w:tcPr>
                <w:p w14:paraId="3F5C393C">
                  <w:pPr>
                    <w:pStyle w:val="20"/>
                    <w:bidi w:val="0"/>
                    <w:rPr>
                      <w:rFonts w:hint="eastAsia"/>
                      <w:color w:val="auto"/>
                      <w:highlight w:val="none"/>
                      <w:lang w:val="en-US" w:eastAsia="zh-CN"/>
                    </w:rPr>
                  </w:pPr>
                  <w:r>
                    <w:rPr>
                      <w:rFonts w:hint="eastAsia"/>
                      <w:color w:val="auto"/>
                      <w:highlight w:val="none"/>
                      <w:lang w:val="en-US" w:eastAsia="zh-CN"/>
                    </w:rPr>
                    <w:t>包装</w:t>
                  </w:r>
                </w:p>
              </w:tc>
              <w:tc>
                <w:tcPr>
                  <w:tcW w:w="225" w:type="pct"/>
                  <w:vMerge w:val="continue"/>
                  <w:tcMar>
                    <w:top w:w="0" w:type="dxa"/>
                    <w:left w:w="57" w:type="dxa"/>
                    <w:bottom w:w="0" w:type="dxa"/>
                    <w:right w:w="57" w:type="dxa"/>
                  </w:tcMar>
                  <w:vAlign w:val="center"/>
                </w:tcPr>
                <w:p w14:paraId="762210AA">
                  <w:pPr>
                    <w:pStyle w:val="20"/>
                    <w:spacing w:before="31"/>
                    <w:rPr>
                      <w:color w:val="auto"/>
                      <w:highlight w:val="none"/>
                    </w:rPr>
                  </w:pPr>
                </w:p>
              </w:tc>
              <w:tc>
                <w:tcPr>
                  <w:tcW w:w="466" w:type="pct"/>
                  <w:tcMar>
                    <w:top w:w="0" w:type="dxa"/>
                    <w:left w:w="57" w:type="dxa"/>
                    <w:bottom w:w="0" w:type="dxa"/>
                    <w:right w:w="57" w:type="dxa"/>
                  </w:tcMar>
                  <w:vAlign w:val="center"/>
                </w:tcPr>
                <w:p w14:paraId="6EA32CF2">
                  <w:pPr>
                    <w:pStyle w:val="20"/>
                    <w:spacing w:before="31"/>
                    <w:rPr>
                      <w:color w:val="auto"/>
                      <w:highlight w:val="none"/>
                    </w:rPr>
                  </w:pPr>
                  <w:r>
                    <w:rPr>
                      <w:rFonts w:hint="eastAsia"/>
                      <w:color w:val="auto"/>
                      <w:highlight w:val="none"/>
                    </w:rPr>
                    <w:t>900-005-S17</w:t>
                  </w:r>
                  <w:r>
                    <w:rPr>
                      <w:rFonts w:hint="eastAsia"/>
                      <w:color w:val="auto"/>
                      <w:highlight w:val="none"/>
                    </w:rPr>
                    <w:br w:type="textWrapping"/>
                  </w:r>
                  <w:r>
                    <w:rPr>
                      <w:rFonts w:hint="eastAsia"/>
                      <w:color w:val="auto"/>
                      <w:highlight w:val="none"/>
                      <w:lang w:eastAsia="zh-CN"/>
                    </w:rPr>
                    <w:t>900-003-S17</w:t>
                  </w:r>
                </w:p>
              </w:tc>
              <w:tc>
                <w:tcPr>
                  <w:tcW w:w="326" w:type="pct"/>
                  <w:tcMar>
                    <w:top w:w="0" w:type="dxa"/>
                    <w:left w:w="57" w:type="dxa"/>
                    <w:bottom w:w="0" w:type="dxa"/>
                    <w:right w:w="57" w:type="dxa"/>
                  </w:tcMar>
                  <w:vAlign w:val="center"/>
                </w:tcPr>
                <w:p w14:paraId="2D96B545">
                  <w:pPr>
                    <w:pStyle w:val="20"/>
                    <w:spacing w:before="31"/>
                    <w:rPr>
                      <w:color w:val="auto"/>
                      <w:highlight w:val="none"/>
                    </w:rPr>
                  </w:pPr>
                  <w:r>
                    <w:rPr>
                      <w:rFonts w:hint="eastAsia"/>
                      <w:color w:val="auto"/>
                      <w:highlight w:val="none"/>
                    </w:rPr>
                    <w:t>/</w:t>
                  </w:r>
                </w:p>
              </w:tc>
              <w:tc>
                <w:tcPr>
                  <w:tcW w:w="230" w:type="pct"/>
                  <w:tcMar>
                    <w:top w:w="0" w:type="dxa"/>
                    <w:left w:w="57" w:type="dxa"/>
                    <w:bottom w:w="0" w:type="dxa"/>
                    <w:right w:w="57" w:type="dxa"/>
                  </w:tcMar>
                  <w:vAlign w:val="center"/>
                </w:tcPr>
                <w:p w14:paraId="48C4DCAC">
                  <w:pPr>
                    <w:pStyle w:val="20"/>
                    <w:spacing w:before="31"/>
                    <w:rPr>
                      <w:color w:val="auto"/>
                      <w:highlight w:val="none"/>
                    </w:rPr>
                  </w:pPr>
                  <w:r>
                    <w:rPr>
                      <w:rFonts w:hint="eastAsia"/>
                      <w:color w:val="auto"/>
                      <w:highlight w:val="none"/>
                    </w:rPr>
                    <w:t>固</w:t>
                  </w:r>
                </w:p>
              </w:tc>
              <w:tc>
                <w:tcPr>
                  <w:tcW w:w="328" w:type="pct"/>
                  <w:tcMar>
                    <w:top w:w="0" w:type="dxa"/>
                    <w:left w:w="57" w:type="dxa"/>
                    <w:bottom w:w="0" w:type="dxa"/>
                    <w:right w:w="57" w:type="dxa"/>
                  </w:tcMar>
                  <w:vAlign w:val="center"/>
                </w:tcPr>
                <w:p w14:paraId="7A1F3E66">
                  <w:pPr>
                    <w:pStyle w:val="20"/>
                    <w:spacing w:before="31"/>
                    <w:rPr>
                      <w:color w:val="auto"/>
                      <w:highlight w:val="none"/>
                    </w:rPr>
                  </w:pPr>
                  <w:r>
                    <w:rPr>
                      <w:rFonts w:hint="eastAsia"/>
                      <w:color w:val="auto"/>
                      <w:highlight w:val="none"/>
                    </w:rPr>
                    <w:t>/</w:t>
                  </w:r>
                </w:p>
              </w:tc>
              <w:tc>
                <w:tcPr>
                  <w:tcW w:w="357" w:type="pct"/>
                  <w:tcMar>
                    <w:top w:w="0" w:type="dxa"/>
                    <w:left w:w="57" w:type="dxa"/>
                    <w:bottom w:w="0" w:type="dxa"/>
                    <w:right w:w="57" w:type="dxa"/>
                  </w:tcMar>
                  <w:vAlign w:val="center"/>
                </w:tcPr>
                <w:p w14:paraId="201DE73C">
                  <w:pPr>
                    <w:pStyle w:val="20"/>
                    <w:spacing w:before="31"/>
                    <w:rPr>
                      <w:color w:val="auto"/>
                      <w:highlight w:val="none"/>
                    </w:rPr>
                  </w:pPr>
                  <w:r>
                    <w:rPr>
                      <w:rFonts w:hint="eastAsia"/>
                      <w:b w:val="0"/>
                      <w:bCs w:val="0"/>
                      <w:color w:val="auto"/>
                      <w:highlight w:val="none"/>
                      <w:lang w:val="en-US" w:eastAsia="zh-CN"/>
                    </w:rPr>
                    <w:t>2</w:t>
                  </w:r>
                </w:p>
              </w:tc>
              <w:tc>
                <w:tcPr>
                  <w:tcW w:w="292" w:type="pct"/>
                  <w:tcMar>
                    <w:top w:w="0" w:type="dxa"/>
                    <w:left w:w="57" w:type="dxa"/>
                    <w:bottom w:w="0" w:type="dxa"/>
                    <w:right w:w="57" w:type="dxa"/>
                  </w:tcMar>
                  <w:vAlign w:val="center"/>
                </w:tcPr>
                <w:p w14:paraId="245E3AA7">
                  <w:pPr>
                    <w:pStyle w:val="20"/>
                    <w:spacing w:before="31"/>
                    <w:rPr>
                      <w:rFonts w:hint="eastAsia" w:eastAsia="宋体"/>
                      <w:color w:val="auto"/>
                      <w:highlight w:val="none"/>
                      <w:lang w:eastAsia="zh-CN"/>
                    </w:rPr>
                  </w:pPr>
                  <w:r>
                    <w:rPr>
                      <w:rFonts w:hint="eastAsia"/>
                      <w:color w:val="auto"/>
                      <w:highlight w:val="none"/>
                    </w:rPr>
                    <w:t>每天</w:t>
                  </w:r>
                </w:p>
              </w:tc>
              <w:tc>
                <w:tcPr>
                  <w:tcW w:w="299" w:type="pct"/>
                  <w:tcMar>
                    <w:top w:w="0" w:type="dxa"/>
                    <w:left w:w="57" w:type="dxa"/>
                    <w:bottom w:w="0" w:type="dxa"/>
                    <w:right w:w="57" w:type="dxa"/>
                  </w:tcMar>
                  <w:vAlign w:val="center"/>
                </w:tcPr>
                <w:p w14:paraId="31C7BCAB">
                  <w:pPr>
                    <w:pStyle w:val="20"/>
                    <w:spacing w:before="31"/>
                    <w:rPr>
                      <w:color w:val="auto"/>
                      <w:highlight w:val="none"/>
                    </w:rPr>
                  </w:pPr>
                  <w:r>
                    <w:rPr>
                      <w:rFonts w:hint="eastAsia"/>
                      <w:color w:val="auto"/>
                      <w:highlight w:val="none"/>
                    </w:rPr>
                    <w:t>每月</w:t>
                  </w:r>
                </w:p>
              </w:tc>
              <w:tc>
                <w:tcPr>
                  <w:tcW w:w="337" w:type="pct"/>
                  <w:tcMar>
                    <w:top w:w="0" w:type="dxa"/>
                    <w:left w:w="57" w:type="dxa"/>
                    <w:bottom w:w="0" w:type="dxa"/>
                    <w:right w:w="57" w:type="dxa"/>
                  </w:tcMar>
                  <w:vAlign w:val="center"/>
                </w:tcPr>
                <w:p w14:paraId="3B712DB1">
                  <w:pPr>
                    <w:pStyle w:val="20"/>
                    <w:bidi w:val="0"/>
                    <w:rPr>
                      <w:rFonts w:hint="eastAsia"/>
                      <w:color w:val="auto"/>
                      <w:highlight w:val="none"/>
                      <w:lang w:val="en-US" w:eastAsia="zh-CN"/>
                    </w:rPr>
                  </w:pPr>
                  <w:r>
                    <w:rPr>
                      <w:rFonts w:hint="eastAsia"/>
                      <w:color w:val="auto"/>
                      <w:highlight w:val="none"/>
                    </w:rPr>
                    <w:t>约0.167</w:t>
                  </w:r>
                </w:p>
              </w:tc>
              <w:tc>
                <w:tcPr>
                  <w:tcW w:w="618" w:type="pct"/>
                  <w:tcMar>
                    <w:top w:w="0" w:type="dxa"/>
                    <w:left w:w="57" w:type="dxa"/>
                    <w:bottom w:w="0" w:type="dxa"/>
                    <w:right w:w="57" w:type="dxa"/>
                  </w:tcMar>
                  <w:vAlign w:val="center"/>
                </w:tcPr>
                <w:p w14:paraId="1B7DCF51">
                  <w:pPr>
                    <w:pStyle w:val="20"/>
                    <w:bidi w:val="0"/>
                    <w:rPr>
                      <w:color w:val="auto"/>
                      <w:highlight w:val="none"/>
                    </w:rPr>
                  </w:pPr>
                  <w:r>
                    <w:rPr>
                      <w:rFonts w:hint="eastAsia"/>
                      <w:color w:val="auto"/>
                      <w:highlight w:val="none"/>
                    </w:rPr>
                    <w:t>一般工业固废暂存间堆存</w:t>
                  </w:r>
                </w:p>
              </w:tc>
              <w:tc>
                <w:tcPr>
                  <w:tcW w:w="444" w:type="pct"/>
                  <w:tcMar>
                    <w:top w:w="0" w:type="dxa"/>
                    <w:left w:w="57" w:type="dxa"/>
                    <w:bottom w:w="0" w:type="dxa"/>
                    <w:right w:w="57" w:type="dxa"/>
                  </w:tcMar>
                  <w:vAlign w:val="center"/>
                </w:tcPr>
                <w:p w14:paraId="3B57ED06">
                  <w:pPr>
                    <w:pStyle w:val="20"/>
                    <w:bidi w:val="0"/>
                    <w:rPr>
                      <w:color w:val="auto"/>
                      <w:highlight w:val="none"/>
                    </w:rPr>
                  </w:pPr>
                  <w:r>
                    <w:rPr>
                      <w:rFonts w:hint="eastAsia"/>
                      <w:color w:val="auto"/>
                      <w:highlight w:val="none"/>
                    </w:rPr>
                    <w:t>交物资回收单位处置</w:t>
                  </w:r>
                </w:p>
              </w:tc>
              <w:tc>
                <w:tcPr>
                  <w:tcW w:w="265" w:type="pct"/>
                  <w:shd w:val="clear" w:color="auto" w:fill="auto"/>
                  <w:tcMar>
                    <w:top w:w="0" w:type="dxa"/>
                    <w:left w:w="57" w:type="dxa"/>
                    <w:bottom w:w="0" w:type="dxa"/>
                    <w:right w:w="57" w:type="dxa"/>
                  </w:tcMar>
                  <w:vAlign w:val="center"/>
                </w:tcPr>
                <w:p w14:paraId="714D1631">
                  <w:pPr>
                    <w:pStyle w:val="20"/>
                    <w:bidi w:val="0"/>
                    <w:rPr>
                      <w:color w:val="auto"/>
                      <w:highlight w:val="none"/>
                      <w:lang w:val="en-US" w:eastAsia="zh-CN"/>
                    </w:rPr>
                  </w:pPr>
                  <w:r>
                    <w:rPr>
                      <w:rFonts w:hint="eastAsia"/>
                      <w:color w:val="auto"/>
                      <w:highlight w:val="none"/>
                      <w:lang w:val="en-US" w:eastAsia="zh-CN"/>
                    </w:rPr>
                    <w:t>2</w:t>
                  </w:r>
                </w:p>
              </w:tc>
            </w:tr>
            <w:tr w14:paraId="107BC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62" w:type="pct"/>
                  <w:tcMar>
                    <w:top w:w="0" w:type="dxa"/>
                    <w:left w:w="57" w:type="dxa"/>
                    <w:bottom w:w="0" w:type="dxa"/>
                    <w:right w:w="57" w:type="dxa"/>
                  </w:tcMar>
                  <w:vAlign w:val="center"/>
                </w:tcPr>
                <w:p w14:paraId="4F25D133">
                  <w:pPr>
                    <w:pStyle w:val="20"/>
                    <w:spacing w:before="31"/>
                    <w:rPr>
                      <w:color w:val="auto"/>
                      <w:highlight w:val="none"/>
                    </w:rPr>
                  </w:pPr>
                  <w:r>
                    <w:rPr>
                      <w:rFonts w:hint="eastAsia"/>
                      <w:color w:val="auto"/>
                      <w:highlight w:val="none"/>
                    </w:rPr>
                    <w:t>6</w:t>
                  </w:r>
                </w:p>
              </w:tc>
              <w:tc>
                <w:tcPr>
                  <w:tcW w:w="361" w:type="pct"/>
                  <w:tcMar>
                    <w:top w:w="0" w:type="dxa"/>
                    <w:left w:w="57" w:type="dxa"/>
                    <w:bottom w:w="0" w:type="dxa"/>
                    <w:right w:w="57" w:type="dxa"/>
                  </w:tcMar>
                  <w:vAlign w:val="center"/>
                </w:tcPr>
                <w:p w14:paraId="7676803C">
                  <w:pPr>
                    <w:pStyle w:val="20"/>
                    <w:bidi w:val="0"/>
                    <w:rPr>
                      <w:rFonts w:hint="eastAsia" w:eastAsia="宋体"/>
                      <w:color w:val="auto"/>
                      <w:highlight w:val="none"/>
                      <w:lang w:eastAsia="zh-CN"/>
                    </w:rPr>
                  </w:pPr>
                  <w:r>
                    <w:rPr>
                      <w:rFonts w:hint="eastAsia"/>
                      <w:color w:val="auto"/>
                      <w:highlight w:val="none"/>
                    </w:rPr>
                    <w:t>废零件</w:t>
                  </w:r>
                  <w:r>
                    <w:rPr>
                      <w:rFonts w:hint="eastAsia"/>
                      <w:color w:val="auto"/>
                      <w:highlight w:val="none"/>
                      <w:lang w:eastAsia="zh-CN"/>
                    </w:rPr>
                    <w:t>（</w:t>
                  </w:r>
                  <w:r>
                    <w:rPr>
                      <w:rFonts w:hint="eastAsia"/>
                      <w:color w:val="auto"/>
                      <w:highlight w:val="none"/>
                      <w:lang w:val="en-US" w:eastAsia="zh-CN"/>
                    </w:rPr>
                    <w:t>未沾染油渍）</w:t>
                  </w:r>
                </w:p>
              </w:tc>
              <w:tc>
                <w:tcPr>
                  <w:tcW w:w="283" w:type="pct"/>
                  <w:tcMar>
                    <w:top w:w="0" w:type="dxa"/>
                    <w:left w:w="57" w:type="dxa"/>
                    <w:bottom w:w="0" w:type="dxa"/>
                    <w:right w:w="57" w:type="dxa"/>
                  </w:tcMar>
                  <w:vAlign w:val="center"/>
                </w:tcPr>
                <w:p w14:paraId="0C74E210">
                  <w:pPr>
                    <w:pStyle w:val="20"/>
                    <w:spacing w:before="31"/>
                    <w:rPr>
                      <w:color w:val="auto"/>
                      <w:highlight w:val="none"/>
                    </w:rPr>
                  </w:pPr>
                  <w:r>
                    <w:rPr>
                      <w:rFonts w:hint="eastAsia"/>
                      <w:color w:val="auto"/>
                      <w:highlight w:val="none"/>
                      <w:lang w:val="en-US" w:eastAsia="zh-CN"/>
                    </w:rPr>
                    <w:t>设备保养维护</w:t>
                  </w:r>
                </w:p>
              </w:tc>
              <w:tc>
                <w:tcPr>
                  <w:tcW w:w="225" w:type="pct"/>
                  <w:vMerge w:val="continue"/>
                  <w:tcMar>
                    <w:top w:w="0" w:type="dxa"/>
                    <w:left w:w="57" w:type="dxa"/>
                    <w:bottom w:w="0" w:type="dxa"/>
                    <w:right w:w="57" w:type="dxa"/>
                  </w:tcMar>
                  <w:vAlign w:val="center"/>
                </w:tcPr>
                <w:p w14:paraId="138D12B5">
                  <w:pPr>
                    <w:pStyle w:val="20"/>
                    <w:spacing w:before="31"/>
                    <w:rPr>
                      <w:color w:val="auto"/>
                      <w:highlight w:val="none"/>
                    </w:rPr>
                  </w:pPr>
                </w:p>
              </w:tc>
              <w:tc>
                <w:tcPr>
                  <w:tcW w:w="466" w:type="pct"/>
                  <w:tcMar>
                    <w:top w:w="0" w:type="dxa"/>
                    <w:left w:w="57" w:type="dxa"/>
                    <w:bottom w:w="0" w:type="dxa"/>
                    <w:right w:w="57" w:type="dxa"/>
                  </w:tcMar>
                  <w:vAlign w:val="center"/>
                </w:tcPr>
                <w:p w14:paraId="1B04ABDF">
                  <w:pPr>
                    <w:pStyle w:val="20"/>
                    <w:spacing w:before="31"/>
                    <w:rPr>
                      <w:color w:val="auto"/>
                      <w:highlight w:val="none"/>
                    </w:rPr>
                  </w:pPr>
                  <w:r>
                    <w:rPr>
                      <w:rFonts w:hint="eastAsia"/>
                      <w:color w:val="auto"/>
                      <w:highlight w:val="none"/>
                    </w:rPr>
                    <w:t>900-013-S17</w:t>
                  </w:r>
                </w:p>
              </w:tc>
              <w:tc>
                <w:tcPr>
                  <w:tcW w:w="326" w:type="pct"/>
                  <w:tcMar>
                    <w:top w:w="0" w:type="dxa"/>
                    <w:left w:w="57" w:type="dxa"/>
                    <w:bottom w:w="0" w:type="dxa"/>
                    <w:right w:w="57" w:type="dxa"/>
                  </w:tcMar>
                  <w:vAlign w:val="center"/>
                </w:tcPr>
                <w:p w14:paraId="76E7E2EF">
                  <w:pPr>
                    <w:pStyle w:val="20"/>
                    <w:spacing w:before="31"/>
                    <w:rPr>
                      <w:color w:val="auto"/>
                      <w:highlight w:val="none"/>
                    </w:rPr>
                  </w:pPr>
                  <w:r>
                    <w:rPr>
                      <w:rFonts w:hint="eastAsia"/>
                      <w:color w:val="auto"/>
                      <w:highlight w:val="none"/>
                    </w:rPr>
                    <w:t>/</w:t>
                  </w:r>
                </w:p>
              </w:tc>
              <w:tc>
                <w:tcPr>
                  <w:tcW w:w="230" w:type="pct"/>
                  <w:tcMar>
                    <w:top w:w="0" w:type="dxa"/>
                    <w:left w:w="57" w:type="dxa"/>
                    <w:bottom w:w="0" w:type="dxa"/>
                    <w:right w:w="57" w:type="dxa"/>
                  </w:tcMar>
                  <w:vAlign w:val="center"/>
                </w:tcPr>
                <w:p w14:paraId="38F84494">
                  <w:pPr>
                    <w:pStyle w:val="20"/>
                    <w:spacing w:before="31"/>
                    <w:rPr>
                      <w:color w:val="auto"/>
                      <w:highlight w:val="none"/>
                    </w:rPr>
                  </w:pPr>
                  <w:r>
                    <w:rPr>
                      <w:rFonts w:hint="eastAsia"/>
                      <w:color w:val="auto"/>
                      <w:highlight w:val="none"/>
                    </w:rPr>
                    <w:t>固</w:t>
                  </w:r>
                </w:p>
              </w:tc>
              <w:tc>
                <w:tcPr>
                  <w:tcW w:w="328" w:type="pct"/>
                  <w:tcMar>
                    <w:top w:w="0" w:type="dxa"/>
                    <w:left w:w="57" w:type="dxa"/>
                    <w:bottom w:w="0" w:type="dxa"/>
                    <w:right w:w="57" w:type="dxa"/>
                  </w:tcMar>
                  <w:vAlign w:val="center"/>
                </w:tcPr>
                <w:p w14:paraId="47150C21">
                  <w:pPr>
                    <w:pStyle w:val="20"/>
                    <w:spacing w:before="31"/>
                    <w:rPr>
                      <w:color w:val="auto"/>
                      <w:highlight w:val="none"/>
                    </w:rPr>
                  </w:pPr>
                  <w:r>
                    <w:rPr>
                      <w:rFonts w:hint="eastAsia"/>
                      <w:color w:val="auto"/>
                      <w:highlight w:val="none"/>
                    </w:rPr>
                    <w:t>/</w:t>
                  </w:r>
                </w:p>
              </w:tc>
              <w:tc>
                <w:tcPr>
                  <w:tcW w:w="357" w:type="pct"/>
                  <w:tcMar>
                    <w:top w:w="0" w:type="dxa"/>
                    <w:left w:w="57" w:type="dxa"/>
                    <w:bottom w:w="0" w:type="dxa"/>
                    <w:right w:w="57" w:type="dxa"/>
                  </w:tcMar>
                  <w:vAlign w:val="center"/>
                </w:tcPr>
                <w:p w14:paraId="6F7DEE62">
                  <w:pPr>
                    <w:pStyle w:val="20"/>
                    <w:spacing w:before="31"/>
                    <w:rPr>
                      <w:rFonts w:hint="default" w:eastAsia="宋体"/>
                      <w:color w:val="auto"/>
                      <w:highlight w:val="none"/>
                      <w:lang w:val="en-US" w:eastAsia="zh-CN"/>
                    </w:rPr>
                  </w:pPr>
                  <w:r>
                    <w:rPr>
                      <w:rFonts w:hint="eastAsia"/>
                      <w:color w:val="auto"/>
                      <w:highlight w:val="none"/>
                      <w:lang w:val="en-US" w:eastAsia="zh-CN"/>
                    </w:rPr>
                    <w:t>0.05</w:t>
                  </w:r>
                </w:p>
              </w:tc>
              <w:tc>
                <w:tcPr>
                  <w:tcW w:w="292" w:type="pct"/>
                  <w:tcMar>
                    <w:top w:w="0" w:type="dxa"/>
                    <w:left w:w="57" w:type="dxa"/>
                    <w:bottom w:w="0" w:type="dxa"/>
                    <w:right w:w="57" w:type="dxa"/>
                  </w:tcMar>
                  <w:vAlign w:val="center"/>
                </w:tcPr>
                <w:p w14:paraId="361EB0FE">
                  <w:pPr>
                    <w:pStyle w:val="20"/>
                    <w:spacing w:before="31"/>
                    <w:rPr>
                      <w:color w:val="auto"/>
                      <w:highlight w:val="none"/>
                    </w:rPr>
                  </w:pPr>
                  <w:r>
                    <w:rPr>
                      <w:rFonts w:hint="eastAsia"/>
                      <w:color w:val="auto"/>
                      <w:highlight w:val="none"/>
                    </w:rPr>
                    <w:t>每天</w:t>
                  </w:r>
                </w:p>
              </w:tc>
              <w:tc>
                <w:tcPr>
                  <w:tcW w:w="299" w:type="pct"/>
                  <w:tcMar>
                    <w:top w:w="0" w:type="dxa"/>
                    <w:left w:w="57" w:type="dxa"/>
                    <w:bottom w:w="0" w:type="dxa"/>
                    <w:right w:w="57" w:type="dxa"/>
                  </w:tcMar>
                  <w:vAlign w:val="center"/>
                </w:tcPr>
                <w:p w14:paraId="5AB57D54">
                  <w:pPr>
                    <w:pStyle w:val="20"/>
                    <w:spacing w:before="31"/>
                    <w:rPr>
                      <w:color w:val="auto"/>
                      <w:highlight w:val="none"/>
                    </w:rPr>
                  </w:pPr>
                  <w:r>
                    <w:rPr>
                      <w:rFonts w:hint="eastAsia"/>
                      <w:color w:val="auto"/>
                      <w:highlight w:val="none"/>
                    </w:rPr>
                    <w:t>每月</w:t>
                  </w:r>
                </w:p>
              </w:tc>
              <w:tc>
                <w:tcPr>
                  <w:tcW w:w="337" w:type="pct"/>
                  <w:tcMar>
                    <w:top w:w="0" w:type="dxa"/>
                    <w:left w:w="57" w:type="dxa"/>
                    <w:bottom w:w="0" w:type="dxa"/>
                    <w:right w:w="57" w:type="dxa"/>
                  </w:tcMar>
                  <w:vAlign w:val="center"/>
                </w:tcPr>
                <w:p w14:paraId="0C5CC635">
                  <w:pPr>
                    <w:pStyle w:val="20"/>
                    <w:bidi w:val="0"/>
                    <w:rPr>
                      <w:rFonts w:hint="default"/>
                      <w:color w:val="auto"/>
                      <w:highlight w:val="none"/>
                      <w:lang w:val="en-US" w:eastAsia="zh-CN"/>
                    </w:rPr>
                  </w:pPr>
                  <w:r>
                    <w:rPr>
                      <w:rFonts w:hint="eastAsia"/>
                      <w:color w:val="auto"/>
                      <w:highlight w:val="none"/>
                      <w:lang w:val="en-US" w:eastAsia="zh-CN"/>
                    </w:rPr>
                    <w:t>约0.004</w:t>
                  </w:r>
                </w:p>
              </w:tc>
              <w:tc>
                <w:tcPr>
                  <w:tcW w:w="618" w:type="pct"/>
                  <w:tcMar>
                    <w:top w:w="0" w:type="dxa"/>
                    <w:left w:w="57" w:type="dxa"/>
                    <w:bottom w:w="0" w:type="dxa"/>
                    <w:right w:w="57" w:type="dxa"/>
                  </w:tcMar>
                  <w:vAlign w:val="center"/>
                </w:tcPr>
                <w:p w14:paraId="7CE333BD">
                  <w:pPr>
                    <w:pStyle w:val="20"/>
                    <w:bidi w:val="0"/>
                    <w:rPr>
                      <w:rFonts w:hint="eastAsia"/>
                      <w:color w:val="auto"/>
                      <w:highlight w:val="none"/>
                      <w:lang w:eastAsia="zh-CN"/>
                    </w:rPr>
                  </w:pPr>
                  <w:r>
                    <w:rPr>
                      <w:rFonts w:hint="eastAsia"/>
                      <w:color w:val="auto"/>
                      <w:highlight w:val="none"/>
                    </w:rPr>
                    <w:t>一般工业固废暂存间袋装堆存</w:t>
                  </w:r>
                </w:p>
              </w:tc>
              <w:tc>
                <w:tcPr>
                  <w:tcW w:w="444" w:type="pct"/>
                  <w:tcMar>
                    <w:top w:w="0" w:type="dxa"/>
                    <w:left w:w="57" w:type="dxa"/>
                    <w:bottom w:w="0" w:type="dxa"/>
                    <w:right w:w="57" w:type="dxa"/>
                  </w:tcMar>
                  <w:vAlign w:val="center"/>
                </w:tcPr>
                <w:p w14:paraId="7A094B70">
                  <w:pPr>
                    <w:pStyle w:val="20"/>
                    <w:bidi w:val="0"/>
                    <w:rPr>
                      <w:color w:val="auto"/>
                      <w:highlight w:val="none"/>
                    </w:rPr>
                  </w:pPr>
                  <w:r>
                    <w:rPr>
                      <w:rFonts w:hint="eastAsia"/>
                      <w:color w:val="auto"/>
                      <w:highlight w:val="none"/>
                    </w:rPr>
                    <w:t>交物资回收单位处置</w:t>
                  </w:r>
                </w:p>
              </w:tc>
              <w:tc>
                <w:tcPr>
                  <w:tcW w:w="265" w:type="pct"/>
                  <w:shd w:val="clear" w:color="auto" w:fill="auto"/>
                  <w:tcMar>
                    <w:top w:w="0" w:type="dxa"/>
                    <w:left w:w="57" w:type="dxa"/>
                    <w:bottom w:w="0" w:type="dxa"/>
                    <w:right w:w="57" w:type="dxa"/>
                  </w:tcMar>
                  <w:vAlign w:val="center"/>
                </w:tcPr>
                <w:p w14:paraId="0B54095B">
                  <w:pPr>
                    <w:pStyle w:val="20"/>
                    <w:bidi w:val="0"/>
                    <w:rPr>
                      <w:rFonts w:hint="default"/>
                      <w:color w:val="auto"/>
                      <w:highlight w:val="none"/>
                      <w:lang w:val="en-US" w:eastAsia="zh-CN"/>
                    </w:rPr>
                  </w:pPr>
                  <w:r>
                    <w:rPr>
                      <w:rFonts w:hint="eastAsia"/>
                      <w:color w:val="auto"/>
                      <w:highlight w:val="none"/>
                      <w:lang w:val="en-US" w:eastAsia="zh-CN"/>
                    </w:rPr>
                    <w:t>0.05</w:t>
                  </w:r>
                </w:p>
              </w:tc>
            </w:tr>
            <w:tr w14:paraId="193CC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62" w:type="pct"/>
                  <w:tcMar>
                    <w:top w:w="0" w:type="dxa"/>
                    <w:left w:w="57" w:type="dxa"/>
                    <w:bottom w:w="0" w:type="dxa"/>
                    <w:right w:w="57" w:type="dxa"/>
                  </w:tcMar>
                  <w:vAlign w:val="center"/>
                </w:tcPr>
                <w:p w14:paraId="1A5E8EF9">
                  <w:pPr>
                    <w:pStyle w:val="20"/>
                    <w:spacing w:before="31"/>
                    <w:rPr>
                      <w:rFonts w:hint="eastAsia" w:eastAsia="宋体"/>
                      <w:color w:val="auto"/>
                      <w:highlight w:val="none"/>
                      <w:lang w:eastAsia="zh-CN"/>
                    </w:rPr>
                  </w:pPr>
                  <w:r>
                    <w:rPr>
                      <w:rFonts w:hint="eastAsia"/>
                      <w:color w:val="auto"/>
                      <w:highlight w:val="none"/>
                      <w:lang w:val="en-US" w:eastAsia="zh-CN"/>
                    </w:rPr>
                    <w:t>7</w:t>
                  </w:r>
                </w:p>
              </w:tc>
              <w:tc>
                <w:tcPr>
                  <w:tcW w:w="361" w:type="pct"/>
                  <w:shd w:val="clear" w:color="auto" w:fill="auto"/>
                  <w:tcMar>
                    <w:top w:w="0" w:type="dxa"/>
                    <w:left w:w="57" w:type="dxa"/>
                    <w:bottom w:w="0" w:type="dxa"/>
                    <w:right w:w="57" w:type="dxa"/>
                  </w:tcMar>
                  <w:vAlign w:val="center"/>
                </w:tcPr>
                <w:p w14:paraId="1C9AA342">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废润滑油</w:t>
                  </w:r>
                </w:p>
              </w:tc>
              <w:tc>
                <w:tcPr>
                  <w:tcW w:w="283" w:type="pct"/>
                  <w:tcMar>
                    <w:top w:w="0" w:type="dxa"/>
                    <w:left w:w="57" w:type="dxa"/>
                    <w:bottom w:w="0" w:type="dxa"/>
                    <w:right w:w="57" w:type="dxa"/>
                  </w:tcMar>
                  <w:vAlign w:val="center"/>
                </w:tcPr>
                <w:p w14:paraId="30AFDCCE">
                  <w:pPr>
                    <w:pStyle w:val="20"/>
                    <w:bidi w:val="0"/>
                    <w:rPr>
                      <w:color w:val="auto"/>
                      <w:highlight w:val="none"/>
                    </w:rPr>
                  </w:pPr>
                  <w:r>
                    <w:rPr>
                      <w:rFonts w:hint="eastAsia"/>
                      <w:color w:val="auto"/>
                      <w:highlight w:val="none"/>
                    </w:rPr>
                    <w:t>设备维护</w:t>
                  </w:r>
                </w:p>
              </w:tc>
              <w:tc>
                <w:tcPr>
                  <w:tcW w:w="225" w:type="pct"/>
                  <w:vMerge w:val="restart"/>
                  <w:tcMar>
                    <w:top w:w="0" w:type="dxa"/>
                    <w:left w:w="57" w:type="dxa"/>
                    <w:bottom w:w="0" w:type="dxa"/>
                    <w:right w:w="57" w:type="dxa"/>
                  </w:tcMar>
                  <w:vAlign w:val="center"/>
                </w:tcPr>
                <w:p w14:paraId="1CC9CBB0">
                  <w:pPr>
                    <w:pStyle w:val="20"/>
                    <w:spacing w:before="31"/>
                    <w:rPr>
                      <w:color w:val="auto"/>
                      <w:highlight w:val="none"/>
                    </w:rPr>
                  </w:pPr>
                  <w:r>
                    <w:rPr>
                      <w:rFonts w:hint="eastAsia"/>
                      <w:color w:val="auto"/>
                      <w:highlight w:val="none"/>
                    </w:rPr>
                    <w:t>危险废物</w:t>
                  </w:r>
                </w:p>
              </w:tc>
              <w:tc>
                <w:tcPr>
                  <w:tcW w:w="466" w:type="pct"/>
                  <w:tcMar>
                    <w:top w:w="0" w:type="dxa"/>
                    <w:left w:w="57" w:type="dxa"/>
                    <w:bottom w:w="0" w:type="dxa"/>
                    <w:right w:w="57" w:type="dxa"/>
                  </w:tcMar>
                  <w:vAlign w:val="center"/>
                </w:tcPr>
                <w:p w14:paraId="0C186ED0">
                  <w:pPr>
                    <w:pStyle w:val="20"/>
                    <w:spacing w:before="31"/>
                    <w:rPr>
                      <w:color w:val="auto"/>
                      <w:highlight w:val="none"/>
                    </w:rPr>
                  </w:pPr>
                  <w:r>
                    <w:rPr>
                      <w:rFonts w:hint="eastAsia"/>
                      <w:color w:val="auto"/>
                      <w:highlight w:val="none"/>
                    </w:rPr>
                    <w:t>HW08</w:t>
                  </w:r>
                </w:p>
                <w:p w14:paraId="6E390E96">
                  <w:pPr>
                    <w:pStyle w:val="20"/>
                    <w:spacing w:before="31"/>
                    <w:rPr>
                      <w:color w:val="auto"/>
                      <w:highlight w:val="none"/>
                    </w:rPr>
                  </w:pPr>
                  <w:r>
                    <w:rPr>
                      <w:rFonts w:hint="eastAsia"/>
                      <w:color w:val="auto"/>
                      <w:highlight w:val="none"/>
                    </w:rPr>
                    <w:t>900-2</w:t>
                  </w:r>
                  <w:r>
                    <w:rPr>
                      <w:rFonts w:hint="eastAsia"/>
                      <w:color w:val="auto"/>
                      <w:highlight w:val="none"/>
                      <w:lang w:val="en-US" w:eastAsia="zh-CN"/>
                    </w:rPr>
                    <w:t>17</w:t>
                  </w:r>
                  <w:r>
                    <w:rPr>
                      <w:rFonts w:hint="eastAsia"/>
                      <w:color w:val="auto"/>
                      <w:highlight w:val="none"/>
                    </w:rPr>
                    <w:t>-08</w:t>
                  </w:r>
                </w:p>
              </w:tc>
              <w:tc>
                <w:tcPr>
                  <w:tcW w:w="326" w:type="pct"/>
                  <w:tcMar>
                    <w:top w:w="0" w:type="dxa"/>
                    <w:left w:w="57" w:type="dxa"/>
                    <w:bottom w:w="0" w:type="dxa"/>
                    <w:right w:w="57" w:type="dxa"/>
                  </w:tcMar>
                  <w:vAlign w:val="center"/>
                </w:tcPr>
                <w:p w14:paraId="291E5A11">
                  <w:pPr>
                    <w:pStyle w:val="20"/>
                    <w:spacing w:before="31"/>
                    <w:rPr>
                      <w:color w:val="auto"/>
                      <w:highlight w:val="none"/>
                    </w:rPr>
                  </w:pPr>
                  <w:r>
                    <w:rPr>
                      <w:rFonts w:hint="eastAsia"/>
                      <w:color w:val="auto"/>
                      <w:highlight w:val="none"/>
                    </w:rPr>
                    <w:t>矿物油等</w:t>
                  </w:r>
                </w:p>
              </w:tc>
              <w:tc>
                <w:tcPr>
                  <w:tcW w:w="230" w:type="pct"/>
                  <w:tcMar>
                    <w:top w:w="0" w:type="dxa"/>
                    <w:left w:w="57" w:type="dxa"/>
                    <w:bottom w:w="0" w:type="dxa"/>
                    <w:right w:w="57" w:type="dxa"/>
                  </w:tcMar>
                  <w:vAlign w:val="center"/>
                </w:tcPr>
                <w:p w14:paraId="1B90DF18">
                  <w:pPr>
                    <w:pStyle w:val="20"/>
                    <w:spacing w:before="31"/>
                    <w:rPr>
                      <w:color w:val="auto"/>
                      <w:highlight w:val="none"/>
                    </w:rPr>
                  </w:pPr>
                  <w:r>
                    <w:rPr>
                      <w:rFonts w:hint="eastAsia"/>
                      <w:color w:val="auto"/>
                      <w:highlight w:val="none"/>
                    </w:rPr>
                    <w:t>液</w:t>
                  </w:r>
                </w:p>
              </w:tc>
              <w:tc>
                <w:tcPr>
                  <w:tcW w:w="328" w:type="pct"/>
                  <w:tcMar>
                    <w:top w:w="0" w:type="dxa"/>
                    <w:left w:w="57" w:type="dxa"/>
                    <w:bottom w:w="0" w:type="dxa"/>
                    <w:right w:w="57" w:type="dxa"/>
                  </w:tcMar>
                  <w:vAlign w:val="center"/>
                </w:tcPr>
                <w:p w14:paraId="3F9A1196">
                  <w:pPr>
                    <w:pStyle w:val="20"/>
                    <w:spacing w:before="31"/>
                    <w:rPr>
                      <w:color w:val="auto"/>
                      <w:highlight w:val="none"/>
                    </w:rPr>
                  </w:pPr>
                  <w:r>
                    <w:rPr>
                      <w:rFonts w:hint="eastAsia"/>
                      <w:color w:val="auto"/>
                      <w:highlight w:val="none"/>
                    </w:rPr>
                    <w:t>T，I</w:t>
                  </w:r>
                </w:p>
              </w:tc>
              <w:tc>
                <w:tcPr>
                  <w:tcW w:w="357" w:type="pct"/>
                  <w:tcMar>
                    <w:top w:w="0" w:type="dxa"/>
                    <w:left w:w="57" w:type="dxa"/>
                    <w:bottom w:w="0" w:type="dxa"/>
                    <w:right w:w="57" w:type="dxa"/>
                  </w:tcMar>
                  <w:vAlign w:val="center"/>
                </w:tcPr>
                <w:p w14:paraId="40932387">
                  <w:pPr>
                    <w:pStyle w:val="20"/>
                    <w:spacing w:before="31"/>
                    <w:rPr>
                      <w:rFonts w:hint="default" w:eastAsia="宋体"/>
                      <w:color w:val="auto"/>
                      <w:highlight w:val="none"/>
                      <w:lang w:val="en-US" w:eastAsia="zh-CN"/>
                    </w:rPr>
                  </w:pPr>
                  <w:r>
                    <w:rPr>
                      <w:rFonts w:hint="eastAsia"/>
                      <w:color w:val="auto"/>
                      <w:highlight w:val="none"/>
                      <w:lang w:val="en-US" w:eastAsia="zh-CN"/>
                    </w:rPr>
                    <w:t>0.2</w:t>
                  </w:r>
                </w:p>
              </w:tc>
              <w:tc>
                <w:tcPr>
                  <w:tcW w:w="292" w:type="pct"/>
                  <w:tcMar>
                    <w:top w:w="0" w:type="dxa"/>
                    <w:left w:w="57" w:type="dxa"/>
                    <w:bottom w:w="0" w:type="dxa"/>
                    <w:right w:w="57" w:type="dxa"/>
                  </w:tcMar>
                  <w:vAlign w:val="center"/>
                </w:tcPr>
                <w:p w14:paraId="44738B9A">
                  <w:pPr>
                    <w:pStyle w:val="20"/>
                    <w:spacing w:before="31"/>
                    <w:rPr>
                      <w:color w:val="auto"/>
                      <w:highlight w:val="none"/>
                    </w:rPr>
                  </w:pPr>
                  <w:r>
                    <w:rPr>
                      <w:rFonts w:hint="eastAsia"/>
                      <w:color w:val="auto"/>
                      <w:highlight w:val="none"/>
                      <w:lang w:val="en-US" w:eastAsia="zh-CN"/>
                    </w:rPr>
                    <w:t>/</w:t>
                  </w:r>
                </w:p>
              </w:tc>
              <w:tc>
                <w:tcPr>
                  <w:tcW w:w="299" w:type="pct"/>
                  <w:tcMar>
                    <w:top w:w="0" w:type="dxa"/>
                    <w:left w:w="57" w:type="dxa"/>
                    <w:bottom w:w="0" w:type="dxa"/>
                    <w:right w:w="57" w:type="dxa"/>
                  </w:tcMar>
                  <w:vAlign w:val="center"/>
                </w:tcPr>
                <w:p w14:paraId="694D4988">
                  <w:pPr>
                    <w:pStyle w:val="20"/>
                    <w:spacing w:before="31"/>
                    <w:rPr>
                      <w:color w:val="auto"/>
                      <w:highlight w:val="none"/>
                    </w:rPr>
                  </w:pPr>
                  <w:r>
                    <w:rPr>
                      <w:rFonts w:hint="eastAsia"/>
                      <w:color w:val="auto"/>
                      <w:highlight w:val="none"/>
                    </w:rPr>
                    <w:t>每半年</w:t>
                  </w:r>
                </w:p>
              </w:tc>
              <w:tc>
                <w:tcPr>
                  <w:tcW w:w="337" w:type="pct"/>
                  <w:tcMar>
                    <w:top w:w="0" w:type="dxa"/>
                    <w:left w:w="57" w:type="dxa"/>
                    <w:bottom w:w="0" w:type="dxa"/>
                    <w:right w:w="57" w:type="dxa"/>
                  </w:tcMar>
                  <w:vAlign w:val="center"/>
                </w:tcPr>
                <w:p w14:paraId="4F2BBEE0">
                  <w:pPr>
                    <w:pStyle w:val="20"/>
                    <w:spacing w:before="31"/>
                    <w:rPr>
                      <w:rFonts w:hint="default" w:eastAsia="宋体"/>
                      <w:color w:val="auto"/>
                      <w:highlight w:val="none"/>
                      <w:lang w:val="en-US" w:eastAsia="zh-CN"/>
                    </w:rPr>
                  </w:pPr>
                  <w:r>
                    <w:rPr>
                      <w:rFonts w:hint="eastAsia"/>
                      <w:color w:val="auto"/>
                      <w:highlight w:val="none"/>
                      <w:lang w:val="en-US" w:eastAsia="zh-CN"/>
                    </w:rPr>
                    <w:t>0.1</w:t>
                  </w:r>
                </w:p>
              </w:tc>
              <w:tc>
                <w:tcPr>
                  <w:tcW w:w="618" w:type="pct"/>
                  <w:tcMar>
                    <w:top w:w="0" w:type="dxa"/>
                    <w:left w:w="57" w:type="dxa"/>
                    <w:bottom w:w="0" w:type="dxa"/>
                    <w:right w:w="57" w:type="dxa"/>
                  </w:tcMar>
                  <w:vAlign w:val="center"/>
                </w:tcPr>
                <w:p w14:paraId="4D1F2EF0">
                  <w:pPr>
                    <w:pStyle w:val="20"/>
                    <w:spacing w:before="31"/>
                    <w:rPr>
                      <w:color w:val="auto"/>
                      <w:highlight w:val="none"/>
                    </w:rPr>
                  </w:pPr>
                  <w:r>
                    <w:rPr>
                      <w:rFonts w:hint="eastAsia"/>
                      <w:color w:val="auto"/>
                      <w:highlight w:val="none"/>
                      <w:lang w:eastAsia="zh-CN"/>
                    </w:rPr>
                    <w:t>危险废物贮存点</w:t>
                  </w:r>
                  <w:r>
                    <w:rPr>
                      <w:rFonts w:hint="eastAsia"/>
                      <w:color w:val="auto"/>
                      <w:highlight w:val="none"/>
                    </w:rPr>
                    <w:t>桶装堆存</w:t>
                  </w:r>
                </w:p>
              </w:tc>
              <w:tc>
                <w:tcPr>
                  <w:tcW w:w="444" w:type="pct"/>
                  <w:tcMar>
                    <w:top w:w="0" w:type="dxa"/>
                    <w:left w:w="57" w:type="dxa"/>
                    <w:bottom w:w="0" w:type="dxa"/>
                    <w:right w:w="57" w:type="dxa"/>
                  </w:tcMar>
                  <w:vAlign w:val="center"/>
                </w:tcPr>
                <w:p w14:paraId="245D6737">
                  <w:pPr>
                    <w:pStyle w:val="20"/>
                    <w:spacing w:before="31"/>
                    <w:rPr>
                      <w:color w:val="auto"/>
                      <w:highlight w:val="none"/>
                    </w:rPr>
                  </w:pPr>
                  <w:r>
                    <w:rPr>
                      <w:rFonts w:hint="eastAsia"/>
                      <w:color w:val="auto"/>
                      <w:highlight w:val="none"/>
                    </w:rPr>
                    <w:t>交有资质单位处置</w:t>
                  </w:r>
                </w:p>
              </w:tc>
              <w:tc>
                <w:tcPr>
                  <w:tcW w:w="265" w:type="pct"/>
                  <w:shd w:val="clear" w:color="auto" w:fill="auto"/>
                  <w:tcMar>
                    <w:top w:w="0" w:type="dxa"/>
                    <w:left w:w="57" w:type="dxa"/>
                    <w:bottom w:w="0" w:type="dxa"/>
                    <w:right w:w="57" w:type="dxa"/>
                  </w:tcMar>
                  <w:vAlign w:val="center"/>
                </w:tcPr>
                <w:p w14:paraId="72BC798D">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0.2</w:t>
                  </w:r>
                </w:p>
              </w:tc>
            </w:tr>
            <w:tr w14:paraId="233C5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62" w:type="pct"/>
                  <w:tcMar>
                    <w:top w:w="0" w:type="dxa"/>
                    <w:left w:w="57" w:type="dxa"/>
                    <w:bottom w:w="0" w:type="dxa"/>
                    <w:right w:w="57" w:type="dxa"/>
                  </w:tcMar>
                  <w:vAlign w:val="center"/>
                </w:tcPr>
                <w:p w14:paraId="7546C20B">
                  <w:pPr>
                    <w:pStyle w:val="20"/>
                    <w:spacing w:before="31"/>
                    <w:rPr>
                      <w:rFonts w:hint="eastAsia" w:eastAsia="宋体"/>
                      <w:color w:val="auto"/>
                      <w:highlight w:val="none"/>
                      <w:lang w:eastAsia="zh-CN"/>
                    </w:rPr>
                  </w:pPr>
                  <w:r>
                    <w:rPr>
                      <w:rFonts w:hint="eastAsia"/>
                      <w:color w:val="auto"/>
                      <w:highlight w:val="none"/>
                      <w:lang w:val="en-US" w:eastAsia="zh-CN"/>
                    </w:rPr>
                    <w:t>8</w:t>
                  </w:r>
                </w:p>
              </w:tc>
              <w:tc>
                <w:tcPr>
                  <w:tcW w:w="361" w:type="pct"/>
                  <w:shd w:val="clear" w:color="auto" w:fill="auto"/>
                  <w:tcMar>
                    <w:top w:w="0" w:type="dxa"/>
                    <w:left w:w="57" w:type="dxa"/>
                    <w:bottom w:w="0" w:type="dxa"/>
                    <w:right w:w="57" w:type="dxa"/>
                  </w:tcMar>
                  <w:vAlign w:val="center"/>
                </w:tcPr>
                <w:p w14:paraId="40CBB61F">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废油桶</w:t>
                  </w:r>
                </w:p>
              </w:tc>
              <w:tc>
                <w:tcPr>
                  <w:tcW w:w="283" w:type="pct"/>
                  <w:tcMar>
                    <w:top w:w="0" w:type="dxa"/>
                    <w:left w:w="57" w:type="dxa"/>
                    <w:bottom w:w="0" w:type="dxa"/>
                    <w:right w:w="57" w:type="dxa"/>
                  </w:tcMar>
                  <w:vAlign w:val="center"/>
                </w:tcPr>
                <w:p w14:paraId="1A860DDC">
                  <w:pPr>
                    <w:pStyle w:val="20"/>
                    <w:bidi w:val="0"/>
                    <w:rPr>
                      <w:color w:val="auto"/>
                      <w:highlight w:val="none"/>
                    </w:rPr>
                  </w:pPr>
                  <w:r>
                    <w:rPr>
                      <w:rFonts w:hint="eastAsia"/>
                      <w:color w:val="auto"/>
                      <w:highlight w:val="none"/>
                    </w:rPr>
                    <w:t>设备维护</w:t>
                  </w:r>
                </w:p>
              </w:tc>
              <w:tc>
                <w:tcPr>
                  <w:tcW w:w="225" w:type="pct"/>
                  <w:vMerge w:val="continue"/>
                  <w:tcMar>
                    <w:top w:w="0" w:type="dxa"/>
                    <w:left w:w="57" w:type="dxa"/>
                    <w:bottom w:w="0" w:type="dxa"/>
                    <w:right w:w="57" w:type="dxa"/>
                  </w:tcMar>
                  <w:vAlign w:val="center"/>
                </w:tcPr>
                <w:p w14:paraId="504D143C">
                  <w:pPr>
                    <w:pStyle w:val="20"/>
                    <w:spacing w:before="31"/>
                    <w:rPr>
                      <w:color w:val="auto"/>
                      <w:highlight w:val="none"/>
                    </w:rPr>
                  </w:pPr>
                </w:p>
              </w:tc>
              <w:tc>
                <w:tcPr>
                  <w:tcW w:w="466" w:type="pct"/>
                  <w:tcMar>
                    <w:top w:w="0" w:type="dxa"/>
                    <w:left w:w="57" w:type="dxa"/>
                    <w:bottom w:w="0" w:type="dxa"/>
                    <w:right w:w="57" w:type="dxa"/>
                  </w:tcMar>
                  <w:vAlign w:val="center"/>
                </w:tcPr>
                <w:p w14:paraId="5686975A">
                  <w:pPr>
                    <w:pStyle w:val="20"/>
                    <w:spacing w:before="31"/>
                    <w:rPr>
                      <w:color w:val="auto"/>
                      <w:highlight w:val="none"/>
                    </w:rPr>
                  </w:pPr>
                  <w:r>
                    <w:rPr>
                      <w:rFonts w:hint="eastAsia"/>
                      <w:color w:val="auto"/>
                      <w:highlight w:val="none"/>
                    </w:rPr>
                    <w:t>HW08</w:t>
                  </w:r>
                </w:p>
                <w:p w14:paraId="27F6D8D3">
                  <w:pPr>
                    <w:pStyle w:val="20"/>
                    <w:spacing w:before="31"/>
                    <w:rPr>
                      <w:color w:val="auto"/>
                      <w:highlight w:val="none"/>
                    </w:rPr>
                  </w:pPr>
                  <w:r>
                    <w:rPr>
                      <w:rFonts w:hint="eastAsia"/>
                      <w:color w:val="auto"/>
                      <w:highlight w:val="none"/>
                    </w:rPr>
                    <w:t>900-249-08</w:t>
                  </w:r>
                </w:p>
              </w:tc>
              <w:tc>
                <w:tcPr>
                  <w:tcW w:w="326" w:type="pct"/>
                  <w:tcMar>
                    <w:top w:w="0" w:type="dxa"/>
                    <w:left w:w="57" w:type="dxa"/>
                    <w:bottom w:w="0" w:type="dxa"/>
                    <w:right w:w="57" w:type="dxa"/>
                  </w:tcMar>
                  <w:vAlign w:val="center"/>
                </w:tcPr>
                <w:p w14:paraId="74A227DC">
                  <w:pPr>
                    <w:pStyle w:val="20"/>
                    <w:spacing w:before="31"/>
                    <w:rPr>
                      <w:color w:val="auto"/>
                      <w:highlight w:val="none"/>
                    </w:rPr>
                  </w:pPr>
                  <w:r>
                    <w:rPr>
                      <w:rFonts w:hint="eastAsia"/>
                      <w:color w:val="auto"/>
                      <w:highlight w:val="none"/>
                    </w:rPr>
                    <w:t>矿物油等</w:t>
                  </w:r>
                </w:p>
              </w:tc>
              <w:tc>
                <w:tcPr>
                  <w:tcW w:w="230" w:type="pct"/>
                  <w:tcMar>
                    <w:top w:w="0" w:type="dxa"/>
                    <w:left w:w="57" w:type="dxa"/>
                    <w:bottom w:w="0" w:type="dxa"/>
                    <w:right w:w="57" w:type="dxa"/>
                  </w:tcMar>
                  <w:vAlign w:val="center"/>
                </w:tcPr>
                <w:p w14:paraId="6A3837EA">
                  <w:pPr>
                    <w:pStyle w:val="20"/>
                    <w:spacing w:before="31"/>
                    <w:rPr>
                      <w:rFonts w:hint="eastAsia" w:eastAsia="宋体"/>
                      <w:color w:val="auto"/>
                      <w:highlight w:val="none"/>
                      <w:lang w:eastAsia="zh-CN"/>
                    </w:rPr>
                  </w:pPr>
                  <w:r>
                    <w:rPr>
                      <w:rFonts w:hint="eastAsia"/>
                      <w:color w:val="auto"/>
                      <w:highlight w:val="none"/>
                      <w:lang w:val="en-US" w:eastAsia="zh-CN"/>
                    </w:rPr>
                    <w:t>固</w:t>
                  </w:r>
                </w:p>
              </w:tc>
              <w:tc>
                <w:tcPr>
                  <w:tcW w:w="328" w:type="pct"/>
                  <w:tcMar>
                    <w:top w:w="0" w:type="dxa"/>
                    <w:left w:w="57" w:type="dxa"/>
                    <w:bottom w:w="0" w:type="dxa"/>
                    <w:right w:w="57" w:type="dxa"/>
                  </w:tcMar>
                  <w:vAlign w:val="center"/>
                </w:tcPr>
                <w:p w14:paraId="12BCAC9A">
                  <w:pPr>
                    <w:pStyle w:val="20"/>
                    <w:spacing w:before="31"/>
                    <w:rPr>
                      <w:color w:val="auto"/>
                      <w:highlight w:val="none"/>
                    </w:rPr>
                  </w:pPr>
                  <w:r>
                    <w:rPr>
                      <w:rFonts w:hint="eastAsia"/>
                      <w:color w:val="auto"/>
                      <w:highlight w:val="none"/>
                    </w:rPr>
                    <w:t>T，I</w:t>
                  </w:r>
                </w:p>
              </w:tc>
              <w:tc>
                <w:tcPr>
                  <w:tcW w:w="357" w:type="pct"/>
                  <w:tcMar>
                    <w:top w:w="0" w:type="dxa"/>
                    <w:left w:w="57" w:type="dxa"/>
                    <w:bottom w:w="0" w:type="dxa"/>
                    <w:right w:w="57" w:type="dxa"/>
                  </w:tcMar>
                  <w:vAlign w:val="center"/>
                </w:tcPr>
                <w:p w14:paraId="47E7D335">
                  <w:pPr>
                    <w:pStyle w:val="20"/>
                    <w:spacing w:before="31"/>
                    <w:rPr>
                      <w:rFonts w:hint="default" w:eastAsia="宋体"/>
                      <w:color w:val="auto"/>
                      <w:highlight w:val="none"/>
                      <w:lang w:val="en-US" w:eastAsia="zh-CN"/>
                    </w:rPr>
                  </w:pPr>
                  <w:r>
                    <w:rPr>
                      <w:rFonts w:hint="eastAsia"/>
                      <w:color w:val="auto"/>
                      <w:highlight w:val="none"/>
                      <w:lang w:val="en-US" w:eastAsia="zh-CN"/>
                    </w:rPr>
                    <w:t>0.1</w:t>
                  </w:r>
                </w:p>
              </w:tc>
              <w:tc>
                <w:tcPr>
                  <w:tcW w:w="292" w:type="pct"/>
                  <w:tcMar>
                    <w:top w:w="0" w:type="dxa"/>
                    <w:left w:w="57" w:type="dxa"/>
                    <w:bottom w:w="0" w:type="dxa"/>
                    <w:right w:w="57" w:type="dxa"/>
                  </w:tcMar>
                  <w:vAlign w:val="center"/>
                </w:tcPr>
                <w:p w14:paraId="15CCE925">
                  <w:pPr>
                    <w:pStyle w:val="20"/>
                    <w:spacing w:before="31"/>
                    <w:rPr>
                      <w:rFonts w:hint="eastAsia" w:eastAsia="宋体"/>
                      <w:color w:val="auto"/>
                      <w:highlight w:val="none"/>
                      <w:lang w:eastAsia="zh-CN"/>
                    </w:rPr>
                  </w:pPr>
                  <w:r>
                    <w:rPr>
                      <w:rFonts w:hint="eastAsia"/>
                      <w:color w:val="auto"/>
                      <w:highlight w:val="none"/>
                      <w:lang w:val="en-US" w:eastAsia="zh-CN"/>
                    </w:rPr>
                    <w:t>/</w:t>
                  </w:r>
                </w:p>
              </w:tc>
              <w:tc>
                <w:tcPr>
                  <w:tcW w:w="299" w:type="pct"/>
                  <w:tcMar>
                    <w:top w:w="0" w:type="dxa"/>
                    <w:left w:w="57" w:type="dxa"/>
                    <w:bottom w:w="0" w:type="dxa"/>
                    <w:right w:w="57" w:type="dxa"/>
                  </w:tcMar>
                  <w:vAlign w:val="center"/>
                </w:tcPr>
                <w:p w14:paraId="2CE28CD1">
                  <w:pPr>
                    <w:pStyle w:val="20"/>
                    <w:spacing w:before="31"/>
                    <w:rPr>
                      <w:color w:val="auto"/>
                      <w:highlight w:val="none"/>
                    </w:rPr>
                  </w:pPr>
                  <w:r>
                    <w:rPr>
                      <w:rFonts w:hint="eastAsia"/>
                      <w:color w:val="auto"/>
                      <w:highlight w:val="none"/>
                    </w:rPr>
                    <w:t>每半年</w:t>
                  </w:r>
                </w:p>
              </w:tc>
              <w:tc>
                <w:tcPr>
                  <w:tcW w:w="337" w:type="pct"/>
                  <w:tcMar>
                    <w:top w:w="0" w:type="dxa"/>
                    <w:left w:w="57" w:type="dxa"/>
                    <w:bottom w:w="0" w:type="dxa"/>
                    <w:right w:w="57" w:type="dxa"/>
                  </w:tcMar>
                  <w:vAlign w:val="center"/>
                </w:tcPr>
                <w:p w14:paraId="6EAF1193">
                  <w:pPr>
                    <w:pStyle w:val="20"/>
                    <w:spacing w:before="31"/>
                    <w:rPr>
                      <w:rFonts w:hint="default" w:eastAsia="宋体"/>
                      <w:color w:val="auto"/>
                      <w:highlight w:val="none"/>
                      <w:lang w:val="en-US" w:eastAsia="zh-CN"/>
                    </w:rPr>
                  </w:pPr>
                  <w:r>
                    <w:rPr>
                      <w:rFonts w:hint="eastAsia"/>
                      <w:color w:val="auto"/>
                      <w:highlight w:val="none"/>
                      <w:lang w:val="en-US" w:eastAsia="zh-CN"/>
                    </w:rPr>
                    <w:t>0.05</w:t>
                  </w:r>
                </w:p>
              </w:tc>
              <w:tc>
                <w:tcPr>
                  <w:tcW w:w="618" w:type="pct"/>
                  <w:tcMar>
                    <w:top w:w="0" w:type="dxa"/>
                    <w:left w:w="57" w:type="dxa"/>
                    <w:bottom w:w="0" w:type="dxa"/>
                    <w:right w:w="57" w:type="dxa"/>
                  </w:tcMar>
                  <w:vAlign w:val="center"/>
                </w:tcPr>
                <w:p w14:paraId="0ECF38F2">
                  <w:pPr>
                    <w:pStyle w:val="20"/>
                    <w:spacing w:before="31"/>
                    <w:rPr>
                      <w:color w:val="auto"/>
                      <w:highlight w:val="none"/>
                    </w:rPr>
                  </w:pPr>
                  <w:r>
                    <w:rPr>
                      <w:rFonts w:hint="eastAsia"/>
                      <w:color w:val="auto"/>
                      <w:highlight w:val="none"/>
                      <w:lang w:eastAsia="zh-CN"/>
                    </w:rPr>
                    <w:t>危险废物贮存点</w:t>
                  </w:r>
                  <w:r>
                    <w:rPr>
                      <w:rFonts w:hint="eastAsia"/>
                      <w:color w:val="auto"/>
                      <w:highlight w:val="none"/>
                    </w:rPr>
                    <w:t>堆存</w:t>
                  </w:r>
                </w:p>
              </w:tc>
              <w:tc>
                <w:tcPr>
                  <w:tcW w:w="444" w:type="pct"/>
                  <w:tcMar>
                    <w:top w:w="0" w:type="dxa"/>
                    <w:left w:w="57" w:type="dxa"/>
                    <w:bottom w:w="0" w:type="dxa"/>
                    <w:right w:w="57" w:type="dxa"/>
                  </w:tcMar>
                  <w:vAlign w:val="center"/>
                </w:tcPr>
                <w:p w14:paraId="43DA818E">
                  <w:pPr>
                    <w:pStyle w:val="20"/>
                    <w:spacing w:before="31"/>
                    <w:rPr>
                      <w:color w:val="auto"/>
                      <w:highlight w:val="none"/>
                    </w:rPr>
                  </w:pPr>
                  <w:r>
                    <w:rPr>
                      <w:rFonts w:hint="eastAsia"/>
                      <w:color w:val="auto"/>
                      <w:highlight w:val="none"/>
                    </w:rPr>
                    <w:t>交有资质单位处置</w:t>
                  </w:r>
                </w:p>
              </w:tc>
              <w:tc>
                <w:tcPr>
                  <w:tcW w:w="265" w:type="pct"/>
                  <w:shd w:val="clear" w:color="auto" w:fill="auto"/>
                  <w:tcMar>
                    <w:top w:w="0" w:type="dxa"/>
                    <w:left w:w="57" w:type="dxa"/>
                    <w:bottom w:w="0" w:type="dxa"/>
                    <w:right w:w="57" w:type="dxa"/>
                  </w:tcMar>
                  <w:vAlign w:val="center"/>
                </w:tcPr>
                <w:p w14:paraId="01A8E5B9">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0.1</w:t>
                  </w:r>
                </w:p>
              </w:tc>
            </w:tr>
            <w:tr w14:paraId="5F59C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62" w:type="pct"/>
                  <w:tcMar>
                    <w:top w:w="0" w:type="dxa"/>
                    <w:left w:w="57" w:type="dxa"/>
                    <w:bottom w:w="0" w:type="dxa"/>
                    <w:right w:w="57" w:type="dxa"/>
                  </w:tcMar>
                  <w:vAlign w:val="center"/>
                </w:tcPr>
                <w:p w14:paraId="791EFF3C">
                  <w:pPr>
                    <w:pStyle w:val="20"/>
                    <w:spacing w:before="31"/>
                    <w:rPr>
                      <w:rFonts w:hint="eastAsia" w:eastAsia="宋体"/>
                      <w:color w:val="auto"/>
                      <w:highlight w:val="none"/>
                      <w:lang w:val="en-US" w:eastAsia="zh-CN"/>
                    </w:rPr>
                  </w:pPr>
                  <w:r>
                    <w:rPr>
                      <w:rFonts w:hint="eastAsia"/>
                      <w:color w:val="auto"/>
                      <w:highlight w:val="none"/>
                      <w:lang w:val="en-US" w:eastAsia="zh-CN"/>
                    </w:rPr>
                    <w:t>9</w:t>
                  </w:r>
                </w:p>
              </w:tc>
              <w:tc>
                <w:tcPr>
                  <w:tcW w:w="361" w:type="pct"/>
                  <w:shd w:val="clear" w:color="auto" w:fill="auto"/>
                  <w:tcMar>
                    <w:top w:w="0" w:type="dxa"/>
                    <w:left w:w="57" w:type="dxa"/>
                    <w:bottom w:w="0" w:type="dxa"/>
                    <w:right w:w="57" w:type="dxa"/>
                  </w:tcMar>
                  <w:vAlign w:val="center"/>
                </w:tcPr>
                <w:p w14:paraId="2D80D85A">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废含油棉纱及手套</w:t>
                  </w:r>
                </w:p>
              </w:tc>
              <w:tc>
                <w:tcPr>
                  <w:tcW w:w="283" w:type="pct"/>
                  <w:tcMar>
                    <w:top w:w="0" w:type="dxa"/>
                    <w:left w:w="57" w:type="dxa"/>
                    <w:bottom w:w="0" w:type="dxa"/>
                    <w:right w:w="57" w:type="dxa"/>
                  </w:tcMar>
                  <w:vAlign w:val="center"/>
                </w:tcPr>
                <w:p w14:paraId="153FC71A">
                  <w:pPr>
                    <w:pStyle w:val="20"/>
                    <w:bidi w:val="0"/>
                    <w:rPr>
                      <w:color w:val="auto"/>
                      <w:highlight w:val="none"/>
                    </w:rPr>
                  </w:pPr>
                  <w:r>
                    <w:rPr>
                      <w:rFonts w:hint="eastAsia"/>
                      <w:color w:val="auto"/>
                      <w:highlight w:val="none"/>
                    </w:rPr>
                    <w:t>设备维护</w:t>
                  </w:r>
                </w:p>
              </w:tc>
              <w:tc>
                <w:tcPr>
                  <w:tcW w:w="225" w:type="pct"/>
                  <w:vMerge w:val="continue"/>
                  <w:tcMar>
                    <w:top w:w="0" w:type="dxa"/>
                    <w:left w:w="57" w:type="dxa"/>
                    <w:bottom w:w="0" w:type="dxa"/>
                    <w:right w:w="57" w:type="dxa"/>
                  </w:tcMar>
                  <w:vAlign w:val="center"/>
                </w:tcPr>
                <w:p w14:paraId="26354B01">
                  <w:pPr>
                    <w:pStyle w:val="20"/>
                    <w:spacing w:before="31"/>
                    <w:rPr>
                      <w:color w:val="auto"/>
                      <w:highlight w:val="none"/>
                    </w:rPr>
                  </w:pPr>
                </w:p>
              </w:tc>
              <w:tc>
                <w:tcPr>
                  <w:tcW w:w="466" w:type="pct"/>
                  <w:tcMar>
                    <w:top w:w="0" w:type="dxa"/>
                    <w:left w:w="57" w:type="dxa"/>
                    <w:bottom w:w="0" w:type="dxa"/>
                    <w:right w:w="57" w:type="dxa"/>
                  </w:tcMar>
                  <w:vAlign w:val="center"/>
                </w:tcPr>
                <w:p w14:paraId="37B17E77">
                  <w:pPr>
                    <w:pStyle w:val="20"/>
                    <w:spacing w:before="31"/>
                    <w:rPr>
                      <w:color w:val="auto"/>
                      <w:highlight w:val="none"/>
                    </w:rPr>
                  </w:pPr>
                  <w:r>
                    <w:rPr>
                      <w:rFonts w:hint="eastAsia"/>
                      <w:color w:val="auto"/>
                      <w:highlight w:val="none"/>
                    </w:rPr>
                    <w:t>HW49</w:t>
                  </w:r>
                </w:p>
                <w:p w14:paraId="14092FA6">
                  <w:pPr>
                    <w:pStyle w:val="20"/>
                    <w:spacing w:before="31"/>
                    <w:rPr>
                      <w:color w:val="auto"/>
                      <w:highlight w:val="none"/>
                    </w:rPr>
                  </w:pPr>
                  <w:r>
                    <w:rPr>
                      <w:rFonts w:hint="eastAsia"/>
                      <w:color w:val="auto"/>
                      <w:highlight w:val="none"/>
                    </w:rPr>
                    <w:t>900-041-49</w:t>
                  </w:r>
                </w:p>
              </w:tc>
              <w:tc>
                <w:tcPr>
                  <w:tcW w:w="326" w:type="pct"/>
                  <w:tcMar>
                    <w:top w:w="0" w:type="dxa"/>
                    <w:left w:w="57" w:type="dxa"/>
                    <w:bottom w:w="0" w:type="dxa"/>
                    <w:right w:w="57" w:type="dxa"/>
                  </w:tcMar>
                  <w:vAlign w:val="center"/>
                </w:tcPr>
                <w:p w14:paraId="28DF5A7D">
                  <w:pPr>
                    <w:pStyle w:val="20"/>
                    <w:spacing w:before="31"/>
                    <w:rPr>
                      <w:color w:val="auto"/>
                      <w:highlight w:val="none"/>
                    </w:rPr>
                  </w:pPr>
                  <w:r>
                    <w:rPr>
                      <w:rFonts w:hint="eastAsia"/>
                      <w:color w:val="auto"/>
                      <w:highlight w:val="none"/>
                    </w:rPr>
                    <w:t>矿物油等</w:t>
                  </w:r>
                </w:p>
              </w:tc>
              <w:tc>
                <w:tcPr>
                  <w:tcW w:w="230" w:type="pct"/>
                  <w:tcMar>
                    <w:top w:w="0" w:type="dxa"/>
                    <w:left w:w="57" w:type="dxa"/>
                    <w:bottom w:w="0" w:type="dxa"/>
                    <w:right w:w="57" w:type="dxa"/>
                  </w:tcMar>
                  <w:vAlign w:val="center"/>
                </w:tcPr>
                <w:p w14:paraId="39E5A57B">
                  <w:pPr>
                    <w:pStyle w:val="20"/>
                    <w:spacing w:before="31"/>
                    <w:rPr>
                      <w:color w:val="auto"/>
                      <w:highlight w:val="none"/>
                    </w:rPr>
                  </w:pPr>
                  <w:r>
                    <w:rPr>
                      <w:rFonts w:hint="eastAsia"/>
                      <w:color w:val="auto"/>
                      <w:highlight w:val="none"/>
                      <w:lang w:val="en-US" w:eastAsia="zh-CN"/>
                    </w:rPr>
                    <w:t>固</w:t>
                  </w:r>
                </w:p>
              </w:tc>
              <w:tc>
                <w:tcPr>
                  <w:tcW w:w="328" w:type="pct"/>
                  <w:tcMar>
                    <w:top w:w="0" w:type="dxa"/>
                    <w:left w:w="57" w:type="dxa"/>
                    <w:bottom w:w="0" w:type="dxa"/>
                    <w:right w:w="57" w:type="dxa"/>
                  </w:tcMar>
                  <w:vAlign w:val="center"/>
                </w:tcPr>
                <w:p w14:paraId="443FDE96">
                  <w:pPr>
                    <w:pStyle w:val="20"/>
                    <w:spacing w:before="31"/>
                    <w:rPr>
                      <w:color w:val="auto"/>
                      <w:highlight w:val="none"/>
                    </w:rPr>
                  </w:pPr>
                  <w:r>
                    <w:rPr>
                      <w:rFonts w:hint="eastAsia"/>
                      <w:color w:val="auto"/>
                      <w:highlight w:val="none"/>
                    </w:rPr>
                    <w:t>T</w:t>
                  </w:r>
                </w:p>
              </w:tc>
              <w:tc>
                <w:tcPr>
                  <w:tcW w:w="357" w:type="pct"/>
                  <w:tcMar>
                    <w:top w:w="0" w:type="dxa"/>
                    <w:left w:w="57" w:type="dxa"/>
                    <w:bottom w:w="0" w:type="dxa"/>
                    <w:right w:w="57" w:type="dxa"/>
                  </w:tcMar>
                  <w:vAlign w:val="center"/>
                </w:tcPr>
                <w:p w14:paraId="5E34609C">
                  <w:pPr>
                    <w:pStyle w:val="20"/>
                    <w:spacing w:before="31"/>
                    <w:rPr>
                      <w:rFonts w:hint="default" w:eastAsia="宋体"/>
                      <w:color w:val="auto"/>
                      <w:highlight w:val="none"/>
                      <w:lang w:val="en-US" w:eastAsia="zh-CN"/>
                    </w:rPr>
                  </w:pPr>
                  <w:r>
                    <w:rPr>
                      <w:rFonts w:hint="eastAsia"/>
                      <w:color w:val="auto"/>
                      <w:highlight w:val="none"/>
                      <w:lang w:val="en-US" w:eastAsia="zh-CN"/>
                    </w:rPr>
                    <w:t>0.05</w:t>
                  </w:r>
                </w:p>
              </w:tc>
              <w:tc>
                <w:tcPr>
                  <w:tcW w:w="292" w:type="pct"/>
                  <w:tcMar>
                    <w:top w:w="0" w:type="dxa"/>
                    <w:left w:w="57" w:type="dxa"/>
                    <w:bottom w:w="0" w:type="dxa"/>
                    <w:right w:w="57" w:type="dxa"/>
                  </w:tcMar>
                  <w:vAlign w:val="center"/>
                </w:tcPr>
                <w:p w14:paraId="20E4F1D4">
                  <w:pPr>
                    <w:pStyle w:val="20"/>
                    <w:spacing w:before="31"/>
                    <w:rPr>
                      <w:rFonts w:hint="eastAsia" w:eastAsia="宋体"/>
                      <w:color w:val="auto"/>
                      <w:highlight w:val="none"/>
                      <w:lang w:eastAsia="zh-CN"/>
                    </w:rPr>
                  </w:pPr>
                  <w:r>
                    <w:rPr>
                      <w:rFonts w:hint="eastAsia"/>
                      <w:color w:val="auto"/>
                      <w:highlight w:val="none"/>
                      <w:lang w:val="en-US" w:eastAsia="zh-CN"/>
                    </w:rPr>
                    <w:t>/</w:t>
                  </w:r>
                </w:p>
              </w:tc>
              <w:tc>
                <w:tcPr>
                  <w:tcW w:w="299" w:type="pct"/>
                  <w:tcMar>
                    <w:top w:w="0" w:type="dxa"/>
                    <w:left w:w="57" w:type="dxa"/>
                    <w:bottom w:w="0" w:type="dxa"/>
                    <w:right w:w="57" w:type="dxa"/>
                  </w:tcMar>
                  <w:vAlign w:val="center"/>
                </w:tcPr>
                <w:p w14:paraId="14622997">
                  <w:pPr>
                    <w:pStyle w:val="20"/>
                    <w:spacing w:before="31"/>
                    <w:rPr>
                      <w:color w:val="auto"/>
                      <w:highlight w:val="none"/>
                    </w:rPr>
                  </w:pPr>
                  <w:r>
                    <w:rPr>
                      <w:rFonts w:hint="eastAsia"/>
                      <w:color w:val="auto"/>
                      <w:highlight w:val="none"/>
                    </w:rPr>
                    <w:t>每半年</w:t>
                  </w:r>
                </w:p>
              </w:tc>
              <w:tc>
                <w:tcPr>
                  <w:tcW w:w="337" w:type="pct"/>
                  <w:tcMar>
                    <w:top w:w="0" w:type="dxa"/>
                    <w:left w:w="57" w:type="dxa"/>
                    <w:bottom w:w="0" w:type="dxa"/>
                    <w:right w:w="57" w:type="dxa"/>
                  </w:tcMar>
                  <w:vAlign w:val="center"/>
                </w:tcPr>
                <w:p w14:paraId="2C8B8EB1">
                  <w:pPr>
                    <w:pStyle w:val="20"/>
                    <w:spacing w:before="31"/>
                    <w:rPr>
                      <w:rFonts w:hint="default" w:eastAsia="宋体"/>
                      <w:color w:val="auto"/>
                      <w:highlight w:val="none"/>
                      <w:lang w:val="en-US" w:eastAsia="zh-CN"/>
                    </w:rPr>
                  </w:pPr>
                  <w:r>
                    <w:rPr>
                      <w:rFonts w:hint="eastAsia"/>
                      <w:color w:val="auto"/>
                      <w:highlight w:val="none"/>
                      <w:lang w:val="en-US" w:eastAsia="zh-CN"/>
                    </w:rPr>
                    <w:t>0.025</w:t>
                  </w:r>
                </w:p>
              </w:tc>
              <w:tc>
                <w:tcPr>
                  <w:tcW w:w="618" w:type="pct"/>
                  <w:tcMar>
                    <w:top w:w="0" w:type="dxa"/>
                    <w:left w:w="57" w:type="dxa"/>
                    <w:bottom w:w="0" w:type="dxa"/>
                    <w:right w:w="57" w:type="dxa"/>
                  </w:tcMar>
                  <w:vAlign w:val="center"/>
                </w:tcPr>
                <w:p w14:paraId="41321694">
                  <w:pPr>
                    <w:pStyle w:val="20"/>
                    <w:spacing w:before="31"/>
                    <w:rPr>
                      <w:color w:val="auto"/>
                      <w:highlight w:val="none"/>
                    </w:rPr>
                  </w:pPr>
                  <w:r>
                    <w:rPr>
                      <w:rFonts w:hint="eastAsia"/>
                      <w:color w:val="auto"/>
                      <w:highlight w:val="none"/>
                      <w:lang w:eastAsia="zh-CN"/>
                    </w:rPr>
                    <w:t>危险废物贮存点</w:t>
                  </w:r>
                  <w:r>
                    <w:rPr>
                      <w:rFonts w:hint="eastAsia"/>
                      <w:color w:val="auto"/>
                      <w:highlight w:val="none"/>
                    </w:rPr>
                    <w:t>袋装堆存</w:t>
                  </w:r>
                </w:p>
              </w:tc>
              <w:tc>
                <w:tcPr>
                  <w:tcW w:w="444" w:type="pct"/>
                  <w:tcMar>
                    <w:top w:w="0" w:type="dxa"/>
                    <w:left w:w="57" w:type="dxa"/>
                    <w:bottom w:w="0" w:type="dxa"/>
                    <w:right w:w="57" w:type="dxa"/>
                  </w:tcMar>
                  <w:vAlign w:val="center"/>
                </w:tcPr>
                <w:p w14:paraId="05E5CBB1">
                  <w:pPr>
                    <w:pStyle w:val="20"/>
                    <w:spacing w:before="31"/>
                    <w:rPr>
                      <w:color w:val="auto"/>
                      <w:highlight w:val="none"/>
                    </w:rPr>
                  </w:pPr>
                  <w:r>
                    <w:rPr>
                      <w:rFonts w:hint="eastAsia"/>
                      <w:color w:val="auto"/>
                      <w:highlight w:val="none"/>
                    </w:rPr>
                    <w:t>交有资质单位处置</w:t>
                  </w:r>
                </w:p>
              </w:tc>
              <w:tc>
                <w:tcPr>
                  <w:tcW w:w="265" w:type="pct"/>
                  <w:shd w:val="clear" w:color="auto" w:fill="auto"/>
                  <w:tcMar>
                    <w:top w:w="0" w:type="dxa"/>
                    <w:left w:w="57" w:type="dxa"/>
                    <w:bottom w:w="0" w:type="dxa"/>
                    <w:right w:w="57" w:type="dxa"/>
                  </w:tcMar>
                  <w:vAlign w:val="center"/>
                </w:tcPr>
                <w:p w14:paraId="1EE1B97D">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0.05</w:t>
                  </w:r>
                </w:p>
              </w:tc>
            </w:tr>
            <w:tr w14:paraId="09EC3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62" w:type="pct"/>
                  <w:tcMar>
                    <w:top w:w="0" w:type="dxa"/>
                    <w:left w:w="57" w:type="dxa"/>
                    <w:bottom w:w="0" w:type="dxa"/>
                    <w:right w:w="57" w:type="dxa"/>
                  </w:tcMar>
                  <w:vAlign w:val="center"/>
                </w:tcPr>
                <w:p w14:paraId="6F3AAC76">
                  <w:pPr>
                    <w:pStyle w:val="20"/>
                    <w:spacing w:before="31"/>
                    <w:rPr>
                      <w:rFonts w:hint="eastAsia" w:eastAsia="宋体"/>
                      <w:color w:val="auto"/>
                      <w:highlight w:val="none"/>
                      <w:lang w:val="en-US" w:eastAsia="zh-CN"/>
                    </w:rPr>
                  </w:pPr>
                  <w:r>
                    <w:rPr>
                      <w:rFonts w:hint="eastAsia"/>
                      <w:color w:val="auto"/>
                      <w:highlight w:val="none"/>
                    </w:rPr>
                    <w:t>1</w:t>
                  </w:r>
                  <w:r>
                    <w:rPr>
                      <w:rFonts w:hint="eastAsia"/>
                      <w:color w:val="auto"/>
                      <w:highlight w:val="none"/>
                      <w:lang w:val="en-US" w:eastAsia="zh-CN"/>
                    </w:rPr>
                    <w:t>0</w:t>
                  </w:r>
                </w:p>
              </w:tc>
              <w:tc>
                <w:tcPr>
                  <w:tcW w:w="361" w:type="pct"/>
                  <w:shd w:val="clear" w:color="auto" w:fill="auto"/>
                  <w:tcMar>
                    <w:top w:w="0" w:type="dxa"/>
                    <w:left w:w="57" w:type="dxa"/>
                    <w:bottom w:w="0" w:type="dxa"/>
                    <w:right w:w="57" w:type="dxa"/>
                  </w:tcMar>
                  <w:vAlign w:val="center"/>
                </w:tcPr>
                <w:p w14:paraId="3404D533">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废液压油</w:t>
                  </w:r>
                </w:p>
              </w:tc>
              <w:tc>
                <w:tcPr>
                  <w:tcW w:w="283" w:type="pct"/>
                  <w:tcMar>
                    <w:top w:w="0" w:type="dxa"/>
                    <w:left w:w="57" w:type="dxa"/>
                    <w:bottom w:w="0" w:type="dxa"/>
                    <w:right w:w="57" w:type="dxa"/>
                  </w:tcMar>
                  <w:vAlign w:val="center"/>
                </w:tcPr>
                <w:p w14:paraId="46725B9E">
                  <w:pPr>
                    <w:pStyle w:val="20"/>
                    <w:bidi w:val="0"/>
                    <w:rPr>
                      <w:color w:val="auto"/>
                      <w:highlight w:val="none"/>
                    </w:rPr>
                  </w:pPr>
                  <w:r>
                    <w:rPr>
                      <w:rFonts w:hint="eastAsia"/>
                      <w:color w:val="auto"/>
                      <w:highlight w:val="none"/>
                    </w:rPr>
                    <w:t>设备维护</w:t>
                  </w:r>
                </w:p>
              </w:tc>
              <w:tc>
                <w:tcPr>
                  <w:tcW w:w="225" w:type="pct"/>
                  <w:vMerge w:val="continue"/>
                  <w:tcMar>
                    <w:top w:w="0" w:type="dxa"/>
                    <w:left w:w="57" w:type="dxa"/>
                    <w:bottom w:w="0" w:type="dxa"/>
                    <w:right w:w="57" w:type="dxa"/>
                  </w:tcMar>
                  <w:vAlign w:val="center"/>
                </w:tcPr>
                <w:p w14:paraId="2A533471">
                  <w:pPr>
                    <w:pStyle w:val="20"/>
                    <w:spacing w:before="31"/>
                    <w:rPr>
                      <w:color w:val="auto"/>
                      <w:highlight w:val="none"/>
                    </w:rPr>
                  </w:pPr>
                </w:p>
              </w:tc>
              <w:tc>
                <w:tcPr>
                  <w:tcW w:w="466" w:type="pct"/>
                  <w:tcMar>
                    <w:top w:w="0" w:type="dxa"/>
                    <w:left w:w="57" w:type="dxa"/>
                    <w:bottom w:w="0" w:type="dxa"/>
                    <w:right w:w="57" w:type="dxa"/>
                  </w:tcMar>
                  <w:vAlign w:val="center"/>
                </w:tcPr>
                <w:p w14:paraId="381688B6">
                  <w:pPr>
                    <w:pStyle w:val="20"/>
                    <w:spacing w:before="31"/>
                    <w:rPr>
                      <w:color w:val="auto"/>
                      <w:highlight w:val="none"/>
                    </w:rPr>
                  </w:pPr>
                  <w:r>
                    <w:rPr>
                      <w:rFonts w:hint="eastAsia"/>
                      <w:color w:val="auto"/>
                      <w:highlight w:val="none"/>
                    </w:rPr>
                    <w:t>HW08</w:t>
                  </w:r>
                </w:p>
                <w:p w14:paraId="3F95031A">
                  <w:pPr>
                    <w:pStyle w:val="20"/>
                    <w:spacing w:before="31"/>
                    <w:rPr>
                      <w:color w:val="auto"/>
                      <w:highlight w:val="none"/>
                    </w:rPr>
                  </w:pPr>
                  <w:r>
                    <w:rPr>
                      <w:rFonts w:hint="eastAsia"/>
                      <w:color w:val="auto"/>
                      <w:highlight w:val="none"/>
                    </w:rPr>
                    <w:t>900-</w:t>
                  </w:r>
                  <w:r>
                    <w:rPr>
                      <w:rFonts w:hint="eastAsia"/>
                      <w:color w:val="auto"/>
                      <w:highlight w:val="none"/>
                      <w:lang w:val="en-US" w:eastAsia="zh-CN"/>
                    </w:rPr>
                    <w:t>218-</w:t>
                  </w:r>
                  <w:r>
                    <w:rPr>
                      <w:rFonts w:hint="eastAsia"/>
                      <w:color w:val="auto"/>
                      <w:highlight w:val="none"/>
                    </w:rPr>
                    <w:t>08</w:t>
                  </w:r>
                </w:p>
              </w:tc>
              <w:tc>
                <w:tcPr>
                  <w:tcW w:w="326" w:type="pct"/>
                  <w:tcMar>
                    <w:top w:w="0" w:type="dxa"/>
                    <w:left w:w="57" w:type="dxa"/>
                    <w:bottom w:w="0" w:type="dxa"/>
                    <w:right w:w="57" w:type="dxa"/>
                  </w:tcMar>
                  <w:vAlign w:val="center"/>
                </w:tcPr>
                <w:p w14:paraId="104223F4">
                  <w:pPr>
                    <w:pStyle w:val="20"/>
                    <w:spacing w:before="31"/>
                    <w:rPr>
                      <w:color w:val="auto"/>
                      <w:highlight w:val="none"/>
                    </w:rPr>
                  </w:pPr>
                  <w:r>
                    <w:rPr>
                      <w:rFonts w:hint="eastAsia"/>
                      <w:color w:val="auto"/>
                      <w:highlight w:val="none"/>
                    </w:rPr>
                    <w:t>矿物油等</w:t>
                  </w:r>
                </w:p>
              </w:tc>
              <w:tc>
                <w:tcPr>
                  <w:tcW w:w="230" w:type="pct"/>
                  <w:tcMar>
                    <w:top w:w="0" w:type="dxa"/>
                    <w:left w:w="57" w:type="dxa"/>
                    <w:bottom w:w="0" w:type="dxa"/>
                    <w:right w:w="57" w:type="dxa"/>
                  </w:tcMar>
                  <w:vAlign w:val="center"/>
                </w:tcPr>
                <w:p w14:paraId="4C740F0B">
                  <w:pPr>
                    <w:pStyle w:val="20"/>
                    <w:spacing w:before="31"/>
                    <w:rPr>
                      <w:color w:val="auto"/>
                      <w:highlight w:val="none"/>
                    </w:rPr>
                  </w:pPr>
                  <w:r>
                    <w:rPr>
                      <w:rFonts w:hint="eastAsia"/>
                      <w:color w:val="auto"/>
                      <w:highlight w:val="none"/>
                    </w:rPr>
                    <w:t>液</w:t>
                  </w:r>
                </w:p>
              </w:tc>
              <w:tc>
                <w:tcPr>
                  <w:tcW w:w="328" w:type="pct"/>
                  <w:tcMar>
                    <w:top w:w="0" w:type="dxa"/>
                    <w:left w:w="57" w:type="dxa"/>
                    <w:bottom w:w="0" w:type="dxa"/>
                    <w:right w:w="57" w:type="dxa"/>
                  </w:tcMar>
                  <w:vAlign w:val="center"/>
                </w:tcPr>
                <w:p w14:paraId="6DC80438">
                  <w:pPr>
                    <w:pStyle w:val="20"/>
                    <w:spacing w:before="31"/>
                    <w:rPr>
                      <w:color w:val="auto"/>
                      <w:highlight w:val="none"/>
                    </w:rPr>
                  </w:pPr>
                  <w:r>
                    <w:rPr>
                      <w:rFonts w:hint="eastAsia"/>
                      <w:color w:val="auto"/>
                      <w:highlight w:val="none"/>
                    </w:rPr>
                    <w:t>T，I</w:t>
                  </w:r>
                </w:p>
              </w:tc>
              <w:tc>
                <w:tcPr>
                  <w:tcW w:w="357" w:type="pct"/>
                  <w:tcMar>
                    <w:top w:w="0" w:type="dxa"/>
                    <w:left w:w="57" w:type="dxa"/>
                    <w:bottom w:w="0" w:type="dxa"/>
                    <w:right w:w="57" w:type="dxa"/>
                  </w:tcMar>
                  <w:vAlign w:val="center"/>
                </w:tcPr>
                <w:p w14:paraId="23873A64">
                  <w:pPr>
                    <w:pStyle w:val="20"/>
                    <w:spacing w:before="31"/>
                    <w:rPr>
                      <w:rFonts w:hint="default" w:eastAsia="宋体"/>
                      <w:color w:val="auto"/>
                      <w:highlight w:val="none"/>
                      <w:lang w:val="en-US" w:eastAsia="zh-CN"/>
                    </w:rPr>
                  </w:pPr>
                  <w:r>
                    <w:rPr>
                      <w:rFonts w:hint="eastAsia"/>
                      <w:color w:val="auto"/>
                      <w:highlight w:val="none"/>
                      <w:lang w:val="en-US" w:eastAsia="zh-CN"/>
                    </w:rPr>
                    <w:t>0.75</w:t>
                  </w:r>
                </w:p>
              </w:tc>
              <w:tc>
                <w:tcPr>
                  <w:tcW w:w="292" w:type="pct"/>
                  <w:tcMar>
                    <w:top w:w="0" w:type="dxa"/>
                    <w:left w:w="57" w:type="dxa"/>
                    <w:bottom w:w="0" w:type="dxa"/>
                    <w:right w:w="57" w:type="dxa"/>
                  </w:tcMar>
                  <w:vAlign w:val="center"/>
                </w:tcPr>
                <w:p w14:paraId="6F0906E5">
                  <w:pPr>
                    <w:pStyle w:val="20"/>
                    <w:spacing w:before="31"/>
                    <w:rPr>
                      <w:rFonts w:hint="eastAsia" w:eastAsia="宋体"/>
                      <w:color w:val="auto"/>
                      <w:highlight w:val="none"/>
                      <w:lang w:val="en-US" w:eastAsia="zh-CN"/>
                    </w:rPr>
                  </w:pPr>
                  <w:r>
                    <w:rPr>
                      <w:rFonts w:hint="eastAsia"/>
                      <w:color w:val="auto"/>
                      <w:highlight w:val="none"/>
                      <w:lang w:val="en-US" w:eastAsia="zh-CN"/>
                    </w:rPr>
                    <w:t>/</w:t>
                  </w:r>
                </w:p>
              </w:tc>
              <w:tc>
                <w:tcPr>
                  <w:tcW w:w="299" w:type="pct"/>
                  <w:tcMar>
                    <w:top w:w="0" w:type="dxa"/>
                    <w:left w:w="57" w:type="dxa"/>
                    <w:bottom w:w="0" w:type="dxa"/>
                    <w:right w:w="57" w:type="dxa"/>
                  </w:tcMar>
                  <w:vAlign w:val="center"/>
                </w:tcPr>
                <w:p w14:paraId="0BFB7174">
                  <w:pPr>
                    <w:pStyle w:val="20"/>
                    <w:spacing w:before="31"/>
                    <w:rPr>
                      <w:color w:val="auto"/>
                      <w:highlight w:val="none"/>
                    </w:rPr>
                  </w:pPr>
                  <w:r>
                    <w:rPr>
                      <w:rFonts w:hint="eastAsia"/>
                      <w:color w:val="auto"/>
                      <w:highlight w:val="none"/>
                    </w:rPr>
                    <w:t>每半年</w:t>
                  </w:r>
                </w:p>
              </w:tc>
              <w:tc>
                <w:tcPr>
                  <w:tcW w:w="337" w:type="pct"/>
                  <w:tcMar>
                    <w:top w:w="0" w:type="dxa"/>
                    <w:left w:w="57" w:type="dxa"/>
                    <w:bottom w:w="0" w:type="dxa"/>
                    <w:right w:w="57" w:type="dxa"/>
                  </w:tcMar>
                  <w:vAlign w:val="center"/>
                </w:tcPr>
                <w:p w14:paraId="6CCE1F37">
                  <w:pPr>
                    <w:pStyle w:val="20"/>
                    <w:spacing w:before="31"/>
                    <w:rPr>
                      <w:rFonts w:hint="default"/>
                      <w:color w:val="auto"/>
                      <w:highlight w:val="none"/>
                      <w:lang w:val="en-US" w:eastAsia="zh-CN"/>
                    </w:rPr>
                  </w:pPr>
                  <w:r>
                    <w:rPr>
                      <w:rFonts w:hint="eastAsia"/>
                      <w:color w:val="auto"/>
                      <w:highlight w:val="none"/>
                      <w:lang w:val="en-US" w:eastAsia="zh-CN"/>
                    </w:rPr>
                    <w:t>0.375</w:t>
                  </w:r>
                </w:p>
              </w:tc>
              <w:tc>
                <w:tcPr>
                  <w:tcW w:w="618" w:type="pct"/>
                  <w:tcMar>
                    <w:top w:w="0" w:type="dxa"/>
                    <w:left w:w="57" w:type="dxa"/>
                    <w:bottom w:w="0" w:type="dxa"/>
                    <w:right w:w="57" w:type="dxa"/>
                  </w:tcMar>
                  <w:vAlign w:val="center"/>
                </w:tcPr>
                <w:p w14:paraId="43889E89">
                  <w:pPr>
                    <w:pStyle w:val="20"/>
                    <w:spacing w:before="31"/>
                    <w:rPr>
                      <w:color w:val="auto"/>
                      <w:highlight w:val="none"/>
                    </w:rPr>
                  </w:pPr>
                  <w:r>
                    <w:rPr>
                      <w:rFonts w:hint="eastAsia"/>
                      <w:color w:val="auto"/>
                      <w:highlight w:val="none"/>
                      <w:lang w:eastAsia="zh-CN"/>
                    </w:rPr>
                    <w:t>危险废物贮存点</w:t>
                  </w:r>
                  <w:r>
                    <w:rPr>
                      <w:rFonts w:hint="eastAsia"/>
                      <w:color w:val="auto"/>
                      <w:highlight w:val="none"/>
                    </w:rPr>
                    <w:t>堆存</w:t>
                  </w:r>
                </w:p>
              </w:tc>
              <w:tc>
                <w:tcPr>
                  <w:tcW w:w="444" w:type="pct"/>
                  <w:tcMar>
                    <w:top w:w="0" w:type="dxa"/>
                    <w:left w:w="57" w:type="dxa"/>
                    <w:bottom w:w="0" w:type="dxa"/>
                    <w:right w:w="57" w:type="dxa"/>
                  </w:tcMar>
                  <w:vAlign w:val="center"/>
                </w:tcPr>
                <w:p w14:paraId="7C6171B5">
                  <w:pPr>
                    <w:pStyle w:val="20"/>
                    <w:spacing w:before="31"/>
                    <w:rPr>
                      <w:color w:val="auto"/>
                      <w:highlight w:val="none"/>
                    </w:rPr>
                  </w:pPr>
                  <w:r>
                    <w:rPr>
                      <w:rFonts w:hint="eastAsia"/>
                      <w:color w:val="auto"/>
                      <w:highlight w:val="none"/>
                    </w:rPr>
                    <w:t>交有资质单位处置</w:t>
                  </w:r>
                </w:p>
              </w:tc>
              <w:tc>
                <w:tcPr>
                  <w:tcW w:w="265" w:type="pct"/>
                  <w:shd w:val="clear" w:color="auto" w:fill="auto"/>
                  <w:tcMar>
                    <w:top w:w="0" w:type="dxa"/>
                    <w:left w:w="57" w:type="dxa"/>
                    <w:bottom w:w="0" w:type="dxa"/>
                    <w:right w:w="57" w:type="dxa"/>
                  </w:tcMar>
                  <w:vAlign w:val="center"/>
                </w:tcPr>
                <w:p w14:paraId="22F578D7">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0.75</w:t>
                  </w:r>
                </w:p>
              </w:tc>
            </w:tr>
            <w:tr w14:paraId="1E464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62" w:type="pct"/>
                  <w:shd w:val="clear" w:color="auto" w:fill="auto"/>
                  <w:tcMar>
                    <w:top w:w="0" w:type="dxa"/>
                    <w:left w:w="57" w:type="dxa"/>
                    <w:bottom w:w="0" w:type="dxa"/>
                    <w:right w:w="57" w:type="dxa"/>
                  </w:tcMar>
                  <w:vAlign w:val="center"/>
                </w:tcPr>
                <w:p w14:paraId="2AEB03E6">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leftChars="0" w:right="0" w:rightChars="0"/>
                    <w:textAlignment w:val="auto"/>
                    <w:rPr>
                      <w:rFonts w:hint="default" w:ascii="Times New Roman" w:hAnsi="Times New Roman" w:eastAsia="宋体" w:cs="宋体"/>
                      <w:b w:val="0"/>
                      <w:bCs w:val="0"/>
                      <w:color w:val="auto"/>
                      <w:kern w:val="2"/>
                      <w:sz w:val="21"/>
                      <w:szCs w:val="21"/>
                      <w:highlight w:val="none"/>
                      <w:lang w:val="en-US" w:eastAsia="zh-CN" w:bidi="ar-SA"/>
                    </w:rPr>
                  </w:pPr>
                  <w:r>
                    <w:rPr>
                      <w:rFonts w:hint="eastAsia" w:cs="宋体"/>
                      <w:b w:val="0"/>
                      <w:bCs w:val="0"/>
                      <w:color w:val="auto"/>
                      <w:kern w:val="2"/>
                      <w:sz w:val="21"/>
                      <w:szCs w:val="21"/>
                      <w:highlight w:val="none"/>
                      <w:lang w:val="en-US" w:eastAsia="zh-CN" w:bidi="ar-SA"/>
                    </w:rPr>
                    <w:t>11</w:t>
                  </w:r>
                </w:p>
              </w:tc>
              <w:tc>
                <w:tcPr>
                  <w:tcW w:w="361" w:type="pct"/>
                  <w:tcMar>
                    <w:top w:w="0" w:type="dxa"/>
                    <w:left w:w="57" w:type="dxa"/>
                    <w:bottom w:w="0" w:type="dxa"/>
                    <w:right w:w="57" w:type="dxa"/>
                  </w:tcMar>
                  <w:vAlign w:val="center"/>
                </w:tcPr>
                <w:p w14:paraId="7F687441">
                  <w:pPr>
                    <w:pStyle w:val="20"/>
                    <w:spacing w:before="31"/>
                    <w:rPr>
                      <w:color w:val="auto"/>
                      <w:highlight w:val="none"/>
                    </w:rPr>
                  </w:pPr>
                  <w:r>
                    <w:rPr>
                      <w:rFonts w:hint="eastAsia"/>
                      <w:color w:val="auto"/>
                      <w:highlight w:val="none"/>
                      <w:lang w:val="en-US" w:eastAsia="zh-CN"/>
                    </w:rPr>
                    <w:t>废零件（沾有油渍）</w:t>
                  </w:r>
                </w:p>
              </w:tc>
              <w:tc>
                <w:tcPr>
                  <w:tcW w:w="283" w:type="pct"/>
                  <w:tcMar>
                    <w:top w:w="0" w:type="dxa"/>
                    <w:left w:w="57" w:type="dxa"/>
                    <w:bottom w:w="0" w:type="dxa"/>
                    <w:right w:w="57" w:type="dxa"/>
                  </w:tcMar>
                  <w:vAlign w:val="center"/>
                </w:tcPr>
                <w:p w14:paraId="74B34629">
                  <w:pPr>
                    <w:pStyle w:val="20"/>
                    <w:spacing w:before="31"/>
                    <w:rPr>
                      <w:color w:val="auto"/>
                      <w:highlight w:val="none"/>
                    </w:rPr>
                  </w:pPr>
                  <w:r>
                    <w:rPr>
                      <w:rFonts w:hint="eastAsia"/>
                      <w:color w:val="auto"/>
                      <w:highlight w:val="none"/>
                    </w:rPr>
                    <w:t>设备维护</w:t>
                  </w:r>
                </w:p>
              </w:tc>
              <w:tc>
                <w:tcPr>
                  <w:tcW w:w="225" w:type="pct"/>
                  <w:vMerge w:val="continue"/>
                  <w:tcMar>
                    <w:top w:w="0" w:type="dxa"/>
                    <w:left w:w="57" w:type="dxa"/>
                    <w:bottom w:w="0" w:type="dxa"/>
                    <w:right w:w="57" w:type="dxa"/>
                  </w:tcMar>
                  <w:vAlign w:val="center"/>
                </w:tcPr>
                <w:p w14:paraId="2AD933E0">
                  <w:pPr>
                    <w:pStyle w:val="20"/>
                    <w:spacing w:before="31"/>
                    <w:rPr>
                      <w:color w:val="auto"/>
                      <w:highlight w:val="none"/>
                    </w:rPr>
                  </w:pPr>
                </w:p>
              </w:tc>
              <w:tc>
                <w:tcPr>
                  <w:tcW w:w="466" w:type="pct"/>
                  <w:tcMar>
                    <w:top w:w="0" w:type="dxa"/>
                    <w:left w:w="57" w:type="dxa"/>
                    <w:bottom w:w="0" w:type="dxa"/>
                    <w:right w:w="57" w:type="dxa"/>
                  </w:tcMar>
                  <w:vAlign w:val="center"/>
                </w:tcPr>
                <w:p w14:paraId="2E2B1C56">
                  <w:pPr>
                    <w:pStyle w:val="20"/>
                    <w:spacing w:before="31"/>
                    <w:rPr>
                      <w:color w:val="auto"/>
                      <w:highlight w:val="none"/>
                    </w:rPr>
                  </w:pPr>
                  <w:r>
                    <w:rPr>
                      <w:rFonts w:hint="eastAsia"/>
                      <w:color w:val="auto"/>
                      <w:highlight w:val="none"/>
                    </w:rPr>
                    <w:t>HW49</w:t>
                  </w:r>
                </w:p>
                <w:p w14:paraId="14FBD082">
                  <w:pPr>
                    <w:pStyle w:val="20"/>
                    <w:spacing w:before="31"/>
                    <w:rPr>
                      <w:color w:val="auto"/>
                      <w:highlight w:val="none"/>
                    </w:rPr>
                  </w:pPr>
                  <w:r>
                    <w:rPr>
                      <w:rFonts w:hint="eastAsia"/>
                      <w:color w:val="auto"/>
                      <w:highlight w:val="none"/>
                    </w:rPr>
                    <w:t>900-041-49</w:t>
                  </w:r>
                </w:p>
              </w:tc>
              <w:tc>
                <w:tcPr>
                  <w:tcW w:w="326" w:type="pct"/>
                  <w:tcMar>
                    <w:top w:w="0" w:type="dxa"/>
                    <w:left w:w="57" w:type="dxa"/>
                    <w:bottom w:w="0" w:type="dxa"/>
                    <w:right w:w="57" w:type="dxa"/>
                  </w:tcMar>
                  <w:vAlign w:val="center"/>
                </w:tcPr>
                <w:p w14:paraId="6389AA77">
                  <w:pPr>
                    <w:pStyle w:val="20"/>
                    <w:spacing w:before="31"/>
                    <w:rPr>
                      <w:color w:val="auto"/>
                      <w:highlight w:val="none"/>
                    </w:rPr>
                  </w:pPr>
                  <w:r>
                    <w:rPr>
                      <w:rFonts w:hint="eastAsia"/>
                      <w:color w:val="auto"/>
                      <w:highlight w:val="none"/>
                    </w:rPr>
                    <w:t>矿物油等</w:t>
                  </w:r>
                </w:p>
              </w:tc>
              <w:tc>
                <w:tcPr>
                  <w:tcW w:w="230" w:type="pct"/>
                  <w:tcMar>
                    <w:top w:w="0" w:type="dxa"/>
                    <w:left w:w="57" w:type="dxa"/>
                    <w:bottom w:w="0" w:type="dxa"/>
                    <w:right w:w="57" w:type="dxa"/>
                  </w:tcMar>
                  <w:vAlign w:val="center"/>
                </w:tcPr>
                <w:p w14:paraId="30D7C5E4">
                  <w:pPr>
                    <w:pStyle w:val="20"/>
                    <w:spacing w:before="31"/>
                    <w:rPr>
                      <w:color w:val="auto"/>
                      <w:highlight w:val="none"/>
                    </w:rPr>
                  </w:pPr>
                  <w:r>
                    <w:rPr>
                      <w:rFonts w:hint="eastAsia"/>
                      <w:color w:val="auto"/>
                      <w:highlight w:val="none"/>
                    </w:rPr>
                    <w:t>固</w:t>
                  </w:r>
                </w:p>
              </w:tc>
              <w:tc>
                <w:tcPr>
                  <w:tcW w:w="328" w:type="pct"/>
                  <w:tcMar>
                    <w:top w:w="0" w:type="dxa"/>
                    <w:left w:w="57" w:type="dxa"/>
                    <w:bottom w:w="0" w:type="dxa"/>
                    <w:right w:w="57" w:type="dxa"/>
                  </w:tcMar>
                  <w:vAlign w:val="center"/>
                </w:tcPr>
                <w:p w14:paraId="0CE90787">
                  <w:pPr>
                    <w:pStyle w:val="20"/>
                    <w:spacing w:before="31"/>
                    <w:rPr>
                      <w:color w:val="auto"/>
                      <w:highlight w:val="none"/>
                    </w:rPr>
                  </w:pPr>
                  <w:r>
                    <w:rPr>
                      <w:rFonts w:hint="eastAsia"/>
                      <w:color w:val="auto"/>
                      <w:highlight w:val="none"/>
                    </w:rPr>
                    <w:t>T</w:t>
                  </w:r>
                </w:p>
              </w:tc>
              <w:tc>
                <w:tcPr>
                  <w:tcW w:w="357" w:type="pct"/>
                  <w:tcMar>
                    <w:top w:w="0" w:type="dxa"/>
                    <w:left w:w="57" w:type="dxa"/>
                    <w:bottom w:w="0" w:type="dxa"/>
                    <w:right w:w="57" w:type="dxa"/>
                  </w:tcMar>
                  <w:vAlign w:val="center"/>
                </w:tcPr>
                <w:p w14:paraId="7A5AAB85">
                  <w:pPr>
                    <w:pStyle w:val="20"/>
                    <w:spacing w:before="31"/>
                    <w:rPr>
                      <w:color w:val="auto"/>
                      <w:highlight w:val="none"/>
                    </w:rPr>
                  </w:pPr>
                  <w:r>
                    <w:rPr>
                      <w:rFonts w:hint="eastAsia"/>
                      <w:color w:val="auto"/>
                      <w:highlight w:val="none"/>
                    </w:rPr>
                    <w:t>0.05</w:t>
                  </w:r>
                </w:p>
              </w:tc>
              <w:tc>
                <w:tcPr>
                  <w:tcW w:w="292" w:type="pct"/>
                  <w:tcMar>
                    <w:top w:w="0" w:type="dxa"/>
                    <w:left w:w="57" w:type="dxa"/>
                    <w:bottom w:w="0" w:type="dxa"/>
                    <w:right w:w="57" w:type="dxa"/>
                  </w:tcMar>
                  <w:vAlign w:val="center"/>
                </w:tcPr>
                <w:p w14:paraId="20CF182E">
                  <w:pPr>
                    <w:pStyle w:val="20"/>
                    <w:spacing w:before="31"/>
                    <w:rPr>
                      <w:color w:val="auto"/>
                      <w:highlight w:val="none"/>
                    </w:rPr>
                  </w:pPr>
                  <w:r>
                    <w:rPr>
                      <w:rFonts w:hint="eastAsia"/>
                      <w:color w:val="auto"/>
                      <w:highlight w:val="none"/>
                    </w:rPr>
                    <w:t>/</w:t>
                  </w:r>
                </w:p>
              </w:tc>
              <w:tc>
                <w:tcPr>
                  <w:tcW w:w="299" w:type="pct"/>
                  <w:tcMar>
                    <w:top w:w="0" w:type="dxa"/>
                    <w:left w:w="57" w:type="dxa"/>
                    <w:bottom w:w="0" w:type="dxa"/>
                    <w:right w:w="57" w:type="dxa"/>
                  </w:tcMar>
                  <w:vAlign w:val="center"/>
                </w:tcPr>
                <w:p w14:paraId="6815809E">
                  <w:pPr>
                    <w:pStyle w:val="20"/>
                    <w:spacing w:before="31"/>
                    <w:rPr>
                      <w:color w:val="auto"/>
                      <w:highlight w:val="none"/>
                    </w:rPr>
                  </w:pPr>
                  <w:r>
                    <w:rPr>
                      <w:rFonts w:hint="eastAsia"/>
                      <w:color w:val="auto"/>
                      <w:highlight w:val="none"/>
                    </w:rPr>
                    <w:t>每半年</w:t>
                  </w:r>
                </w:p>
              </w:tc>
              <w:tc>
                <w:tcPr>
                  <w:tcW w:w="337" w:type="pct"/>
                  <w:tcMar>
                    <w:top w:w="0" w:type="dxa"/>
                    <w:left w:w="57" w:type="dxa"/>
                    <w:bottom w:w="0" w:type="dxa"/>
                    <w:right w:w="57" w:type="dxa"/>
                  </w:tcMar>
                  <w:vAlign w:val="center"/>
                </w:tcPr>
                <w:p w14:paraId="1C0C72FD">
                  <w:pPr>
                    <w:pStyle w:val="20"/>
                    <w:spacing w:before="31"/>
                    <w:rPr>
                      <w:rFonts w:hint="default" w:eastAsia="宋体"/>
                      <w:color w:val="auto"/>
                      <w:highlight w:val="none"/>
                      <w:lang w:val="en-US" w:eastAsia="zh-CN"/>
                    </w:rPr>
                  </w:pPr>
                  <w:r>
                    <w:rPr>
                      <w:rFonts w:hint="eastAsia"/>
                      <w:color w:val="auto"/>
                      <w:highlight w:val="none"/>
                      <w:lang w:val="en-US" w:eastAsia="zh-CN"/>
                    </w:rPr>
                    <w:t>0.025</w:t>
                  </w:r>
                </w:p>
              </w:tc>
              <w:tc>
                <w:tcPr>
                  <w:tcW w:w="618" w:type="pct"/>
                  <w:tcMar>
                    <w:top w:w="0" w:type="dxa"/>
                    <w:left w:w="57" w:type="dxa"/>
                    <w:bottom w:w="0" w:type="dxa"/>
                    <w:right w:w="57" w:type="dxa"/>
                  </w:tcMar>
                  <w:vAlign w:val="center"/>
                </w:tcPr>
                <w:p w14:paraId="6DA70077">
                  <w:pPr>
                    <w:pStyle w:val="20"/>
                    <w:spacing w:before="31"/>
                    <w:rPr>
                      <w:color w:val="auto"/>
                      <w:highlight w:val="none"/>
                    </w:rPr>
                  </w:pPr>
                  <w:r>
                    <w:rPr>
                      <w:rFonts w:hint="eastAsia"/>
                      <w:color w:val="auto"/>
                      <w:highlight w:val="none"/>
                      <w:lang w:eastAsia="zh-CN"/>
                    </w:rPr>
                    <w:t>危险废物贮存点</w:t>
                  </w:r>
                  <w:r>
                    <w:rPr>
                      <w:rFonts w:hint="eastAsia"/>
                      <w:color w:val="auto"/>
                      <w:highlight w:val="none"/>
                    </w:rPr>
                    <w:t>袋装堆存</w:t>
                  </w:r>
                </w:p>
              </w:tc>
              <w:tc>
                <w:tcPr>
                  <w:tcW w:w="444" w:type="pct"/>
                  <w:tcMar>
                    <w:top w:w="0" w:type="dxa"/>
                    <w:left w:w="57" w:type="dxa"/>
                    <w:bottom w:w="0" w:type="dxa"/>
                    <w:right w:w="57" w:type="dxa"/>
                  </w:tcMar>
                  <w:vAlign w:val="center"/>
                </w:tcPr>
                <w:p w14:paraId="6D24DF9A">
                  <w:pPr>
                    <w:pStyle w:val="20"/>
                    <w:spacing w:before="31"/>
                    <w:rPr>
                      <w:color w:val="auto"/>
                      <w:highlight w:val="none"/>
                    </w:rPr>
                  </w:pPr>
                  <w:r>
                    <w:rPr>
                      <w:rFonts w:hint="eastAsia"/>
                      <w:color w:val="auto"/>
                      <w:highlight w:val="none"/>
                    </w:rPr>
                    <w:t>交有资质单位处置</w:t>
                  </w:r>
                </w:p>
              </w:tc>
              <w:tc>
                <w:tcPr>
                  <w:tcW w:w="265" w:type="pct"/>
                  <w:shd w:val="clear" w:color="auto" w:fill="auto"/>
                  <w:tcMar>
                    <w:top w:w="0" w:type="dxa"/>
                    <w:left w:w="57" w:type="dxa"/>
                    <w:bottom w:w="0" w:type="dxa"/>
                    <w:right w:w="57" w:type="dxa"/>
                  </w:tcMar>
                  <w:vAlign w:val="center"/>
                </w:tcPr>
                <w:p w14:paraId="1BBB3157">
                  <w:pPr>
                    <w:pStyle w:val="20"/>
                    <w:spacing w:before="31"/>
                    <w:rPr>
                      <w:rFonts w:ascii="Times New Roman" w:hAnsi="Times New Roman" w:eastAsia="宋体" w:cs="宋体"/>
                      <w:color w:val="auto"/>
                      <w:kern w:val="2"/>
                      <w:sz w:val="21"/>
                      <w:szCs w:val="21"/>
                      <w:highlight w:val="none"/>
                      <w:lang w:val="en-US" w:eastAsia="zh-CN" w:bidi="ar-SA"/>
                    </w:rPr>
                  </w:pPr>
                  <w:r>
                    <w:rPr>
                      <w:rFonts w:hint="eastAsia"/>
                      <w:color w:val="auto"/>
                      <w:highlight w:val="none"/>
                    </w:rPr>
                    <w:t>0.05</w:t>
                  </w:r>
                </w:p>
              </w:tc>
            </w:tr>
            <w:tr w14:paraId="29F48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62" w:type="pct"/>
                  <w:shd w:val="clear" w:color="auto" w:fill="auto"/>
                  <w:tcMar>
                    <w:top w:w="0" w:type="dxa"/>
                    <w:left w:w="57" w:type="dxa"/>
                    <w:bottom w:w="0" w:type="dxa"/>
                    <w:right w:w="57" w:type="dxa"/>
                  </w:tcMar>
                  <w:vAlign w:val="center"/>
                </w:tcPr>
                <w:p w14:paraId="2864D17B">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leftChars="0" w:right="0" w:rightChars="0"/>
                    <w:textAlignment w:val="auto"/>
                    <w:rPr>
                      <w:rFonts w:hint="default" w:ascii="Times New Roman" w:hAnsi="Times New Roman" w:eastAsia="宋体" w:cs="宋体"/>
                      <w:b w:val="0"/>
                      <w:bCs w:val="0"/>
                      <w:color w:val="auto"/>
                      <w:kern w:val="2"/>
                      <w:sz w:val="21"/>
                      <w:szCs w:val="21"/>
                      <w:highlight w:val="none"/>
                      <w:lang w:val="en-US" w:eastAsia="zh-CN" w:bidi="ar-SA"/>
                    </w:rPr>
                  </w:pPr>
                  <w:r>
                    <w:rPr>
                      <w:rFonts w:hint="eastAsia" w:cs="宋体"/>
                      <w:b w:val="0"/>
                      <w:bCs w:val="0"/>
                      <w:color w:val="auto"/>
                      <w:kern w:val="2"/>
                      <w:sz w:val="21"/>
                      <w:szCs w:val="21"/>
                      <w:highlight w:val="none"/>
                      <w:lang w:val="en-US" w:eastAsia="zh-CN" w:bidi="ar-SA"/>
                    </w:rPr>
                    <w:t>12</w:t>
                  </w:r>
                </w:p>
              </w:tc>
              <w:tc>
                <w:tcPr>
                  <w:tcW w:w="361" w:type="pct"/>
                  <w:shd w:val="clear" w:color="auto" w:fill="auto"/>
                  <w:tcMar>
                    <w:top w:w="0" w:type="dxa"/>
                    <w:left w:w="57" w:type="dxa"/>
                    <w:bottom w:w="0" w:type="dxa"/>
                    <w:right w:w="57" w:type="dxa"/>
                  </w:tcMar>
                  <w:vAlign w:val="center"/>
                </w:tcPr>
                <w:p w14:paraId="38E6318C">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废</w:t>
                  </w:r>
                  <w:r>
                    <w:rPr>
                      <w:rFonts w:hint="eastAsia"/>
                      <w:color w:val="auto"/>
                      <w:highlight w:val="none"/>
                      <w:lang w:val="en-US" w:eastAsia="zh-CN"/>
                    </w:rPr>
                    <w:t>脱模</w:t>
                  </w:r>
                  <w:r>
                    <w:rPr>
                      <w:rFonts w:hint="eastAsia"/>
                      <w:color w:val="auto"/>
                      <w:highlight w:val="none"/>
                    </w:rPr>
                    <w:t>清洗剂瓶</w:t>
                  </w:r>
                </w:p>
              </w:tc>
              <w:tc>
                <w:tcPr>
                  <w:tcW w:w="283" w:type="pct"/>
                  <w:tcMar>
                    <w:top w:w="0" w:type="dxa"/>
                    <w:left w:w="57" w:type="dxa"/>
                    <w:bottom w:w="0" w:type="dxa"/>
                    <w:right w:w="57" w:type="dxa"/>
                  </w:tcMar>
                  <w:vAlign w:val="center"/>
                </w:tcPr>
                <w:p w14:paraId="69EBF147">
                  <w:pPr>
                    <w:pStyle w:val="20"/>
                    <w:spacing w:before="31"/>
                    <w:rPr>
                      <w:color w:val="auto"/>
                      <w:highlight w:val="none"/>
                    </w:rPr>
                  </w:pPr>
                  <w:r>
                    <w:rPr>
                      <w:rFonts w:hint="eastAsia"/>
                      <w:color w:val="auto"/>
                      <w:highlight w:val="none"/>
                    </w:rPr>
                    <w:t>设备维护</w:t>
                  </w:r>
                </w:p>
              </w:tc>
              <w:tc>
                <w:tcPr>
                  <w:tcW w:w="225" w:type="pct"/>
                  <w:vMerge w:val="continue"/>
                  <w:tcMar>
                    <w:top w:w="0" w:type="dxa"/>
                    <w:left w:w="57" w:type="dxa"/>
                    <w:bottom w:w="0" w:type="dxa"/>
                    <w:right w:w="57" w:type="dxa"/>
                  </w:tcMar>
                  <w:vAlign w:val="center"/>
                </w:tcPr>
                <w:p w14:paraId="36CD4114">
                  <w:pPr>
                    <w:pStyle w:val="20"/>
                    <w:spacing w:before="31"/>
                    <w:rPr>
                      <w:color w:val="auto"/>
                      <w:highlight w:val="none"/>
                    </w:rPr>
                  </w:pPr>
                </w:p>
              </w:tc>
              <w:tc>
                <w:tcPr>
                  <w:tcW w:w="466" w:type="pct"/>
                  <w:tcMar>
                    <w:top w:w="0" w:type="dxa"/>
                    <w:left w:w="57" w:type="dxa"/>
                    <w:bottom w:w="0" w:type="dxa"/>
                    <w:right w:w="57" w:type="dxa"/>
                  </w:tcMar>
                  <w:vAlign w:val="center"/>
                </w:tcPr>
                <w:p w14:paraId="6C95EB82">
                  <w:pPr>
                    <w:pStyle w:val="20"/>
                    <w:spacing w:before="31"/>
                    <w:rPr>
                      <w:color w:val="auto"/>
                      <w:highlight w:val="none"/>
                    </w:rPr>
                  </w:pPr>
                  <w:r>
                    <w:rPr>
                      <w:rFonts w:hint="eastAsia"/>
                      <w:color w:val="auto"/>
                      <w:highlight w:val="none"/>
                    </w:rPr>
                    <w:t>HW49</w:t>
                  </w:r>
                </w:p>
                <w:p w14:paraId="3CCDC7E8">
                  <w:pPr>
                    <w:pStyle w:val="20"/>
                    <w:spacing w:before="31"/>
                    <w:rPr>
                      <w:color w:val="auto"/>
                      <w:highlight w:val="none"/>
                    </w:rPr>
                  </w:pPr>
                  <w:r>
                    <w:rPr>
                      <w:rFonts w:hint="eastAsia"/>
                      <w:color w:val="auto"/>
                      <w:highlight w:val="none"/>
                    </w:rPr>
                    <w:t>900-041-49</w:t>
                  </w:r>
                </w:p>
              </w:tc>
              <w:tc>
                <w:tcPr>
                  <w:tcW w:w="326" w:type="pct"/>
                  <w:tcMar>
                    <w:top w:w="0" w:type="dxa"/>
                    <w:left w:w="57" w:type="dxa"/>
                    <w:bottom w:w="0" w:type="dxa"/>
                    <w:right w:w="57" w:type="dxa"/>
                  </w:tcMar>
                  <w:vAlign w:val="center"/>
                </w:tcPr>
                <w:p w14:paraId="44FCDC46">
                  <w:pPr>
                    <w:pStyle w:val="20"/>
                    <w:spacing w:before="31"/>
                    <w:rPr>
                      <w:rFonts w:hint="eastAsia" w:eastAsia="宋体"/>
                      <w:color w:val="auto"/>
                      <w:highlight w:val="none"/>
                      <w:lang w:val="en-US" w:eastAsia="zh-CN"/>
                    </w:rPr>
                  </w:pPr>
                  <w:r>
                    <w:rPr>
                      <w:rFonts w:hint="eastAsia"/>
                      <w:color w:val="auto"/>
                      <w:highlight w:val="none"/>
                      <w:lang w:val="en-US" w:eastAsia="zh-CN"/>
                    </w:rPr>
                    <w:t>残留清洗剂、脱模剂等</w:t>
                  </w:r>
                </w:p>
              </w:tc>
              <w:tc>
                <w:tcPr>
                  <w:tcW w:w="230" w:type="pct"/>
                  <w:tcMar>
                    <w:top w:w="0" w:type="dxa"/>
                    <w:left w:w="57" w:type="dxa"/>
                    <w:bottom w:w="0" w:type="dxa"/>
                    <w:right w:w="57" w:type="dxa"/>
                  </w:tcMar>
                  <w:vAlign w:val="center"/>
                </w:tcPr>
                <w:p w14:paraId="235A777C">
                  <w:pPr>
                    <w:pStyle w:val="20"/>
                    <w:spacing w:before="31"/>
                    <w:rPr>
                      <w:color w:val="auto"/>
                      <w:highlight w:val="none"/>
                    </w:rPr>
                  </w:pPr>
                  <w:r>
                    <w:rPr>
                      <w:rFonts w:hint="eastAsia"/>
                      <w:color w:val="auto"/>
                      <w:highlight w:val="none"/>
                    </w:rPr>
                    <w:t>固</w:t>
                  </w:r>
                </w:p>
              </w:tc>
              <w:tc>
                <w:tcPr>
                  <w:tcW w:w="328" w:type="pct"/>
                  <w:tcMar>
                    <w:top w:w="0" w:type="dxa"/>
                    <w:left w:w="57" w:type="dxa"/>
                    <w:bottom w:w="0" w:type="dxa"/>
                    <w:right w:w="57" w:type="dxa"/>
                  </w:tcMar>
                  <w:vAlign w:val="center"/>
                </w:tcPr>
                <w:p w14:paraId="440F0F29">
                  <w:pPr>
                    <w:pStyle w:val="20"/>
                    <w:spacing w:before="31"/>
                    <w:rPr>
                      <w:color w:val="auto"/>
                      <w:highlight w:val="none"/>
                    </w:rPr>
                  </w:pPr>
                  <w:r>
                    <w:rPr>
                      <w:rFonts w:hint="eastAsia"/>
                      <w:color w:val="auto"/>
                      <w:highlight w:val="none"/>
                    </w:rPr>
                    <w:t>T</w:t>
                  </w:r>
                </w:p>
              </w:tc>
              <w:tc>
                <w:tcPr>
                  <w:tcW w:w="357" w:type="pct"/>
                  <w:tcMar>
                    <w:top w:w="0" w:type="dxa"/>
                    <w:left w:w="57" w:type="dxa"/>
                    <w:bottom w:w="0" w:type="dxa"/>
                    <w:right w:w="57" w:type="dxa"/>
                  </w:tcMar>
                  <w:vAlign w:val="center"/>
                </w:tcPr>
                <w:p w14:paraId="45A70D08">
                  <w:pPr>
                    <w:pStyle w:val="20"/>
                    <w:spacing w:before="31"/>
                    <w:rPr>
                      <w:rFonts w:hint="default" w:eastAsia="宋体"/>
                      <w:color w:val="auto"/>
                      <w:highlight w:val="none"/>
                      <w:lang w:val="en-US" w:eastAsia="zh-CN"/>
                    </w:rPr>
                  </w:pPr>
                  <w:r>
                    <w:rPr>
                      <w:rFonts w:hint="eastAsia"/>
                      <w:color w:val="auto"/>
                      <w:highlight w:val="none"/>
                      <w:lang w:val="en-US" w:eastAsia="zh-CN"/>
                    </w:rPr>
                    <w:t>0.018</w:t>
                  </w:r>
                </w:p>
              </w:tc>
              <w:tc>
                <w:tcPr>
                  <w:tcW w:w="292" w:type="pct"/>
                  <w:tcMar>
                    <w:top w:w="0" w:type="dxa"/>
                    <w:left w:w="57" w:type="dxa"/>
                    <w:bottom w:w="0" w:type="dxa"/>
                    <w:right w:w="57" w:type="dxa"/>
                  </w:tcMar>
                  <w:vAlign w:val="center"/>
                </w:tcPr>
                <w:p w14:paraId="372107AA">
                  <w:pPr>
                    <w:pStyle w:val="20"/>
                    <w:spacing w:before="31"/>
                    <w:rPr>
                      <w:rFonts w:hint="eastAsia" w:eastAsia="宋体"/>
                      <w:color w:val="auto"/>
                      <w:highlight w:val="none"/>
                      <w:lang w:eastAsia="zh-CN"/>
                    </w:rPr>
                  </w:pPr>
                  <w:r>
                    <w:rPr>
                      <w:rFonts w:hint="eastAsia"/>
                      <w:color w:val="auto"/>
                      <w:highlight w:val="none"/>
                      <w:lang w:val="en-US" w:eastAsia="zh-CN"/>
                    </w:rPr>
                    <w:t>每天</w:t>
                  </w:r>
                </w:p>
              </w:tc>
              <w:tc>
                <w:tcPr>
                  <w:tcW w:w="299" w:type="pct"/>
                  <w:tcMar>
                    <w:top w:w="0" w:type="dxa"/>
                    <w:left w:w="57" w:type="dxa"/>
                    <w:bottom w:w="0" w:type="dxa"/>
                    <w:right w:w="57" w:type="dxa"/>
                  </w:tcMar>
                  <w:vAlign w:val="center"/>
                </w:tcPr>
                <w:p w14:paraId="6FEEFD7D">
                  <w:pPr>
                    <w:pStyle w:val="20"/>
                    <w:spacing w:before="31"/>
                    <w:rPr>
                      <w:color w:val="auto"/>
                      <w:highlight w:val="none"/>
                    </w:rPr>
                  </w:pPr>
                  <w:r>
                    <w:rPr>
                      <w:rFonts w:hint="eastAsia"/>
                      <w:color w:val="auto"/>
                      <w:highlight w:val="none"/>
                    </w:rPr>
                    <w:t>每半年</w:t>
                  </w:r>
                </w:p>
              </w:tc>
              <w:tc>
                <w:tcPr>
                  <w:tcW w:w="337" w:type="pct"/>
                  <w:tcMar>
                    <w:top w:w="0" w:type="dxa"/>
                    <w:left w:w="57" w:type="dxa"/>
                    <w:bottom w:w="0" w:type="dxa"/>
                    <w:right w:w="57" w:type="dxa"/>
                  </w:tcMar>
                  <w:vAlign w:val="center"/>
                </w:tcPr>
                <w:p w14:paraId="616C7CAC">
                  <w:pPr>
                    <w:pStyle w:val="20"/>
                    <w:spacing w:before="31"/>
                    <w:rPr>
                      <w:rFonts w:hint="default" w:eastAsia="宋体"/>
                      <w:color w:val="auto"/>
                      <w:highlight w:val="none"/>
                      <w:lang w:val="en-US" w:eastAsia="zh-CN"/>
                    </w:rPr>
                  </w:pPr>
                  <w:r>
                    <w:rPr>
                      <w:rFonts w:hint="eastAsia"/>
                      <w:color w:val="auto"/>
                      <w:highlight w:val="none"/>
                      <w:lang w:val="en-US" w:eastAsia="zh-CN"/>
                    </w:rPr>
                    <w:t>0.009</w:t>
                  </w:r>
                </w:p>
              </w:tc>
              <w:tc>
                <w:tcPr>
                  <w:tcW w:w="618" w:type="pct"/>
                  <w:tcMar>
                    <w:top w:w="0" w:type="dxa"/>
                    <w:left w:w="57" w:type="dxa"/>
                    <w:bottom w:w="0" w:type="dxa"/>
                    <w:right w:w="57" w:type="dxa"/>
                  </w:tcMar>
                  <w:vAlign w:val="center"/>
                </w:tcPr>
                <w:p w14:paraId="5856CCB7">
                  <w:pPr>
                    <w:pStyle w:val="20"/>
                    <w:spacing w:before="31"/>
                    <w:rPr>
                      <w:color w:val="auto"/>
                      <w:highlight w:val="none"/>
                    </w:rPr>
                  </w:pPr>
                  <w:r>
                    <w:rPr>
                      <w:rFonts w:hint="eastAsia"/>
                      <w:color w:val="auto"/>
                      <w:highlight w:val="none"/>
                      <w:lang w:eastAsia="zh-CN"/>
                    </w:rPr>
                    <w:t>危险废物贮存点</w:t>
                  </w:r>
                  <w:r>
                    <w:rPr>
                      <w:rFonts w:hint="eastAsia"/>
                      <w:color w:val="auto"/>
                      <w:highlight w:val="none"/>
                    </w:rPr>
                    <w:t>袋装堆存</w:t>
                  </w:r>
                </w:p>
              </w:tc>
              <w:tc>
                <w:tcPr>
                  <w:tcW w:w="444" w:type="pct"/>
                  <w:tcMar>
                    <w:top w:w="0" w:type="dxa"/>
                    <w:left w:w="57" w:type="dxa"/>
                    <w:bottom w:w="0" w:type="dxa"/>
                    <w:right w:w="57" w:type="dxa"/>
                  </w:tcMar>
                  <w:vAlign w:val="center"/>
                </w:tcPr>
                <w:p w14:paraId="2517B7A7">
                  <w:pPr>
                    <w:pStyle w:val="20"/>
                    <w:spacing w:before="31"/>
                    <w:rPr>
                      <w:color w:val="auto"/>
                      <w:highlight w:val="none"/>
                    </w:rPr>
                  </w:pPr>
                  <w:r>
                    <w:rPr>
                      <w:rFonts w:hint="eastAsia"/>
                      <w:color w:val="auto"/>
                      <w:highlight w:val="none"/>
                    </w:rPr>
                    <w:t>交有资质单位处置</w:t>
                  </w:r>
                </w:p>
              </w:tc>
              <w:tc>
                <w:tcPr>
                  <w:tcW w:w="265" w:type="pct"/>
                  <w:shd w:val="clear" w:color="auto" w:fill="auto"/>
                  <w:tcMar>
                    <w:top w:w="0" w:type="dxa"/>
                    <w:left w:w="57" w:type="dxa"/>
                    <w:bottom w:w="0" w:type="dxa"/>
                    <w:right w:w="57" w:type="dxa"/>
                  </w:tcMar>
                  <w:vAlign w:val="center"/>
                </w:tcPr>
                <w:p w14:paraId="12A22252">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0.018</w:t>
                  </w:r>
                </w:p>
              </w:tc>
            </w:tr>
            <w:tr w14:paraId="70EC1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62" w:type="pct"/>
                  <w:shd w:val="clear" w:color="auto" w:fill="auto"/>
                  <w:tcMar>
                    <w:top w:w="0" w:type="dxa"/>
                    <w:left w:w="57" w:type="dxa"/>
                    <w:bottom w:w="0" w:type="dxa"/>
                    <w:right w:w="57" w:type="dxa"/>
                  </w:tcMar>
                  <w:vAlign w:val="center"/>
                </w:tcPr>
                <w:p w14:paraId="457D8CE1">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leftChars="0" w:right="0" w:rightChars="0"/>
                    <w:textAlignment w:val="auto"/>
                    <w:rPr>
                      <w:rFonts w:hint="default" w:ascii="Times New Roman" w:hAnsi="Times New Roman" w:eastAsia="宋体" w:cs="宋体"/>
                      <w:b w:val="0"/>
                      <w:bCs w:val="0"/>
                      <w:color w:val="auto"/>
                      <w:kern w:val="2"/>
                      <w:sz w:val="21"/>
                      <w:szCs w:val="21"/>
                      <w:highlight w:val="none"/>
                      <w:lang w:val="en-US" w:eastAsia="zh-CN" w:bidi="ar-SA"/>
                    </w:rPr>
                  </w:pPr>
                  <w:r>
                    <w:rPr>
                      <w:rFonts w:hint="eastAsia" w:cs="宋体"/>
                      <w:b w:val="0"/>
                      <w:bCs w:val="0"/>
                      <w:color w:val="auto"/>
                      <w:kern w:val="2"/>
                      <w:sz w:val="21"/>
                      <w:szCs w:val="21"/>
                      <w:highlight w:val="none"/>
                      <w:lang w:val="en-US" w:eastAsia="zh-CN" w:bidi="ar-SA"/>
                    </w:rPr>
                    <w:t>13</w:t>
                  </w:r>
                </w:p>
              </w:tc>
              <w:tc>
                <w:tcPr>
                  <w:tcW w:w="361" w:type="pct"/>
                  <w:shd w:val="clear" w:color="auto" w:fill="auto"/>
                  <w:tcMar>
                    <w:top w:w="0" w:type="dxa"/>
                    <w:left w:w="57" w:type="dxa"/>
                    <w:bottom w:w="0" w:type="dxa"/>
                    <w:right w:w="57" w:type="dxa"/>
                  </w:tcMar>
                  <w:vAlign w:val="center"/>
                </w:tcPr>
                <w:p w14:paraId="12D1821B">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空压机废油</w:t>
                  </w:r>
                </w:p>
              </w:tc>
              <w:tc>
                <w:tcPr>
                  <w:tcW w:w="283" w:type="pct"/>
                  <w:shd w:val="clear" w:color="auto" w:fill="auto"/>
                  <w:tcMar>
                    <w:top w:w="0" w:type="dxa"/>
                    <w:left w:w="57" w:type="dxa"/>
                    <w:bottom w:w="0" w:type="dxa"/>
                    <w:right w:w="57" w:type="dxa"/>
                  </w:tcMar>
                  <w:vAlign w:val="center"/>
                </w:tcPr>
                <w:p w14:paraId="7C45F4B1">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空压机运行</w:t>
                  </w:r>
                </w:p>
              </w:tc>
              <w:tc>
                <w:tcPr>
                  <w:tcW w:w="225" w:type="pct"/>
                  <w:vMerge w:val="continue"/>
                  <w:tcMar>
                    <w:top w:w="0" w:type="dxa"/>
                    <w:left w:w="57" w:type="dxa"/>
                    <w:bottom w:w="0" w:type="dxa"/>
                    <w:right w:w="57" w:type="dxa"/>
                  </w:tcMar>
                  <w:vAlign w:val="center"/>
                </w:tcPr>
                <w:p w14:paraId="2A935625">
                  <w:pPr>
                    <w:pStyle w:val="20"/>
                    <w:spacing w:before="31"/>
                    <w:rPr>
                      <w:color w:val="auto"/>
                      <w:highlight w:val="none"/>
                    </w:rPr>
                  </w:pPr>
                </w:p>
              </w:tc>
              <w:tc>
                <w:tcPr>
                  <w:tcW w:w="466" w:type="pct"/>
                  <w:tcMar>
                    <w:top w:w="0" w:type="dxa"/>
                    <w:left w:w="57" w:type="dxa"/>
                    <w:bottom w:w="0" w:type="dxa"/>
                    <w:right w:w="57" w:type="dxa"/>
                  </w:tcMar>
                  <w:vAlign w:val="center"/>
                </w:tcPr>
                <w:p w14:paraId="5ED0B984">
                  <w:pPr>
                    <w:pStyle w:val="20"/>
                    <w:spacing w:before="31"/>
                    <w:rPr>
                      <w:color w:val="auto"/>
                      <w:highlight w:val="none"/>
                    </w:rPr>
                  </w:pPr>
                  <w:r>
                    <w:rPr>
                      <w:rFonts w:hint="eastAsia"/>
                      <w:color w:val="auto"/>
                      <w:highlight w:val="none"/>
                    </w:rPr>
                    <w:t>HW08</w:t>
                  </w:r>
                </w:p>
                <w:p w14:paraId="0D5B1B68">
                  <w:pPr>
                    <w:pStyle w:val="20"/>
                    <w:spacing w:before="31"/>
                    <w:rPr>
                      <w:color w:val="auto"/>
                      <w:highlight w:val="none"/>
                    </w:rPr>
                  </w:pPr>
                  <w:r>
                    <w:rPr>
                      <w:rFonts w:hint="eastAsia"/>
                      <w:color w:val="auto"/>
                      <w:highlight w:val="none"/>
                    </w:rPr>
                    <w:t>900-249-08</w:t>
                  </w:r>
                </w:p>
              </w:tc>
              <w:tc>
                <w:tcPr>
                  <w:tcW w:w="326" w:type="pct"/>
                  <w:tcMar>
                    <w:top w:w="0" w:type="dxa"/>
                    <w:left w:w="57" w:type="dxa"/>
                    <w:bottom w:w="0" w:type="dxa"/>
                    <w:right w:w="57" w:type="dxa"/>
                  </w:tcMar>
                  <w:vAlign w:val="center"/>
                </w:tcPr>
                <w:p w14:paraId="3C440726">
                  <w:pPr>
                    <w:pStyle w:val="20"/>
                    <w:spacing w:before="31"/>
                    <w:rPr>
                      <w:color w:val="auto"/>
                      <w:highlight w:val="none"/>
                    </w:rPr>
                  </w:pPr>
                  <w:r>
                    <w:rPr>
                      <w:rFonts w:hint="eastAsia"/>
                      <w:color w:val="auto"/>
                      <w:highlight w:val="none"/>
                    </w:rPr>
                    <w:t>矿物油等</w:t>
                  </w:r>
                </w:p>
              </w:tc>
              <w:tc>
                <w:tcPr>
                  <w:tcW w:w="230" w:type="pct"/>
                  <w:tcMar>
                    <w:top w:w="0" w:type="dxa"/>
                    <w:left w:w="57" w:type="dxa"/>
                    <w:bottom w:w="0" w:type="dxa"/>
                    <w:right w:w="57" w:type="dxa"/>
                  </w:tcMar>
                  <w:vAlign w:val="center"/>
                </w:tcPr>
                <w:p w14:paraId="4865379D">
                  <w:pPr>
                    <w:pStyle w:val="20"/>
                    <w:spacing w:before="31"/>
                    <w:rPr>
                      <w:color w:val="auto"/>
                      <w:highlight w:val="none"/>
                    </w:rPr>
                  </w:pPr>
                  <w:r>
                    <w:rPr>
                      <w:rFonts w:hint="eastAsia"/>
                      <w:color w:val="auto"/>
                      <w:highlight w:val="none"/>
                    </w:rPr>
                    <w:t>液</w:t>
                  </w:r>
                </w:p>
              </w:tc>
              <w:tc>
                <w:tcPr>
                  <w:tcW w:w="328" w:type="pct"/>
                  <w:tcMar>
                    <w:top w:w="0" w:type="dxa"/>
                    <w:left w:w="57" w:type="dxa"/>
                    <w:bottom w:w="0" w:type="dxa"/>
                    <w:right w:w="57" w:type="dxa"/>
                  </w:tcMar>
                  <w:vAlign w:val="center"/>
                </w:tcPr>
                <w:p w14:paraId="2BBACBA8">
                  <w:pPr>
                    <w:pStyle w:val="20"/>
                    <w:spacing w:before="31"/>
                    <w:rPr>
                      <w:color w:val="auto"/>
                      <w:highlight w:val="none"/>
                    </w:rPr>
                  </w:pPr>
                  <w:r>
                    <w:rPr>
                      <w:rFonts w:hint="eastAsia"/>
                      <w:color w:val="auto"/>
                      <w:highlight w:val="none"/>
                    </w:rPr>
                    <w:t>T，I</w:t>
                  </w:r>
                </w:p>
              </w:tc>
              <w:tc>
                <w:tcPr>
                  <w:tcW w:w="357" w:type="pct"/>
                  <w:tcMar>
                    <w:top w:w="0" w:type="dxa"/>
                    <w:left w:w="57" w:type="dxa"/>
                    <w:bottom w:w="0" w:type="dxa"/>
                    <w:right w:w="57" w:type="dxa"/>
                  </w:tcMar>
                  <w:vAlign w:val="center"/>
                </w:tcPr>
                <w:p w14:paraId="3A7BFC6C">
                  <w:pPr>
                    <w:pStyle w:val="20"/>
                    <w:spacing w:before="31"/>
                    <w:rPr>
                      <w:rFonts w:hint="default" w:eastAsia="宋体"/>
                      <w:color w:val="auto"/>
                      <w:highlight w:val="none"/>
                      <w:lang w:val="en-US" w:eastAsia="zh-CN"/>
                    </w:rPr>
                  </w:pPr>
                  <w:r>
                    <w:rPr>
                      <w:rFonts w:hint="eastAsia"/>
                      <w:color w:val="auto"/>
                      <w:highlight w:val="none"/>
                    </w:rPr>
                    <w:t>0.0</w:t>
                  </w:r>
                  <w:r>
                    <w:rPr>
                      <w:rFonts w:hint="eastAsia"/>
                      <w:color w:val="auto"/>
                      <w:highlight w:val="none"/>
                      <w:lang w:val="en-US" w:eastAsia="zh-CN"/>
                    </w:rPr>
                    <w:t>2</w:t>
                  </w:r>
                </w:p>
              </w:tc>
              <w:tc>
                <w:tcPr>
                  <w:tcW w:w="292" w:type="pct"/>
                  <w:tcMar>
                    <w:top w:w="0" w:type="dxa"/>
                    <w:left w:w="57" w:type="dxa"/>
                    <w:bottom w:w="0" w:type="dxa"/>
                    <w:right w:w="57" w:type="dxa"/>
                  </w:tcMar>
                  <w:vAlign w:val="center"/>
                </w:tcPr>
                <w:p w14:paraId="147979CD">
                  <w:pPr>
                    <w:pStyle w:val="20"/>
                    <w:spacing w:before="31"/>
                    <w:rPr>
                      <w:color w:val="auto"/>
                      <w:highlight w:val="none"/>
                    </w:rPr>
                  </w:pPr>
                  <w:r>
                    <w:rPr>
                      <w:rFonts w:hint="eastAsia"/>
                      <w:color w:val="auto"/>
                      <w:highlight w:val="none"/>
                    </w:rPr>
                    <w:t>/</w:t>
                  </w:r>
                </w:p>
              </w:tc>
              <w:tc>
                <w:tcPr>
                  <w:tcW w:w="299" w:type="pct"/>
                  <w:tcMar>
                    <w:top w:w="0" w:type="dxa"/>
                    <w:left w:w="57" w:type="dxa"/>
                    <w:bottom w:w="0" w:type="dxa"/>
                    <w:right w:w="57" w:type="dxa"/>
                  </w:tcMar>
                  <w:vAlign w:val="center"/>
                </w:tcPr>
                <w:p w14:paraId="2D2EFE71">
                  <w:pPr>
                    <w:pStyle w:val="20"/>
                    <w:spacing w:before="31"/>
                    <w:rPr>
                      <w:color w:val="auto"/>
                      <w:highlight w:val="none"/>
                    </w:rPr>
                  </w:pPr>
                  <w:r>
                    <w:rPr>
                      <w:rFonts w:hint="eastAsia"/>
                      <w:color w:val="auto"/>
                      <w:highlight w:val="none"/>
                    </w:rPr>
                    <w:t>每半年</w:t>
                  </w:r>
                </w:p>
              </w:tc>
              <w:tc>
                <w:tcPr>
                  <w:tcW w:w="337" w:type="pct"/>
                  <w:tcMar>
                    <w:top w:w="0" w:type="dxa"/>
                    <w:left w:w="57" w:type="dxa"/>
                    <w:bottom w:w="0" w:type="dxa"/>
                    <w:right w:w="57" w:type="dxa"/>
                  </w:tcMar>
                  <w:vAlign w:val="center"/>
                </w:tcPr>
                <w:p w14:paraId="1B8940C8">
                  <w:pPr>
                    <w:pStyle w:val="20"/>
                    <w:spacing w:before="31"/>
                    <w:rPr>
                      <w:rFonts w:hint="default" w:eastAsia="宋体"/>
                      <w:color w:val="auto"/>
                      <w:highlight w:val="none"/>
                      <w:lang w:val="en-US" w:eastAsia="zh-CN"/>
                    </w:rPr>
                  </w:pPr>
                  <w:r>
                    <w:rPr>
                      <w:rFonts w:hint="eastAsia"/>
                      <w:color w:val="auto"/>
                      <w:highlight w:val="none"/>
                      <w:lang w:val="en-US" w:eastAsia="zh-CN"/>
                    </w:rPr>
                    <w:t>0.01</w:t>
                  </w:r>
                </w:p>
              </w:tc>
              <w:tc>
                <w:tcPr>
                  <w:tcW w:w="618" w:type="pct"/>
                  <w:tcMar>
                    <w:top w:w="0" w:type="dxa"/>
                    <w:left w:w="57" w:type="dxa"/>
                    <w:bottom w:w="0" w:type="dxa"/>
                    <w:right w:w="57" w:type="dxa"/>
                  </w:tcMar>
                  <w:vAlign w:val="center"/>
                </w:tcPr>
                <w:p w14:paraId="488719A4">
                  <w:pPr>
                    <w:pStyle w:val="20"/>
                    <w:spacing w:before="31"/>
                    <w:rPr>
                      <w:color w:val="auto"/>
                      <w:highlight w:val="none"/>
                    </w:rPr>
                  </w:pPr>
                  <w:r>
                    <w:rPr>
                      <w:rFonts w:hint="eastAsia"/>
                      <w:color w:val="auto"/>
                      <w:highlight w:val="none"/>
                      <w:lang w:eastAsia="zh-CN"/>
                    </w:rPr>
                    <w:t>危险废物贮存点</w:t>
                  </w:r>
                  <w:r>
                    <w:rPr>
                      <w:rFonts w:hint="eastAsia"/>
                      <w:color w:val="auto"/>
                      <w:highlight w:val="none"/>
                    </w:rPr>
                    <w:t>桶装堆存</w:t>
                  </w:r>
                </w:p>
              </w:tc>
              <w:tc>
                <w:tcPr>
                  <w:tcW w:w="444" w:type="pct"/>
                  <w:tcMar>
                    <w:top w:w="0" w:type="dxa"/>
                    <w:left w:w="57" w:type="dxa"/>
                    <w:bottom w:w="0" w:type="dxa"/>
                    <w:right w:w="57" w:type="dxa"/>
                  </w:tcMar>
                  <w:vAlign w:val="center"/>
                </w:tcPr>
                <w:p w14:paraId="34BB1B3F">
                  <w:pPr>
                    <w:pStyle w:val="20"/>
                    <w:spacing w:before="31"/>
                    <w:rPr>
                      <w:color w:val="auto"/>
                      <w:highlight w:val="none"/>
                    </w:rPr>
                  </w:pPr>
                  <w:r>
                    <w:rPr>
                      <w:rFonts w:hint="eastAsia"/>
                      <w:color w:val="auto"/>
                      <w:highlight w:val="none"/>
                    </w:rPr>
                    <w:t>交有资质单位处置</w:t>
                  </w:r>
                </w:p>
              </w:tc>
              <w:tc>
                <w:tcPr>
                  <w:tcW w:w="265" w:type="pct"/>
                  <w:shd w:val="clear" w:color="auto" w:fill="auto"/>
                  <w:tcMar>
                    <w:top w:w="0" w:type="dxa"/>
                    <w:left w:w="57" w:type="dxa"/>
                    <w:bottom w:w="0" w:type="dxa"/>
                    <w:right w:w="57" w:type="dxa"/>
                  </w:tcMar>
                  <w:vAlign w:val="center"/>
                </w:tcPr>
                <w:p w14:paraId="62BD1B94">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0.0</w:t>
                  </w:r>
                  <w:r>
                    <w:rPr>
                      <w:rFonts w:hint="eastAsia"/>
                      <w:color w:val="auto"/>
                      <w:highlight w:val="none"/>
                      <w:lang w:val="en-US" w:eastAsia="zh-CN"/>
                    </w:rPr>
                    <w:t>2</w:t>
                  </w:r>
                </w:p>
              </w:tc>
            </w:tr>
            <w:tr w14:paraId="3A1B6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62" w:type="pct"/>
                  <w:shd w:val="clear" w:color="auto" w:fill="auto"/>
                  <w:tcMar>
                    <w:top w:w="0" w:type="dxa"/>
                    <w:left w:w="57" w:type="dxa"/>
                    <w:bottom w:w="0" w:type="dxa"/>
                    <w:right w:w="57" w:type="dxa"/>
                  </w:tcMar>
                  <w:vAlign w:val="center"/>
                </w:tcPr>
                <w:p w14:paraId="7CA7B676">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leftChars="0" w:right="0" w:rightChars="0"/>
                    <w:textAlignment w:val="auto"/>
                    <w:rPr>
                      <w:rFonts w:hint="eastAsia" w:ascii="Times New Roman" w:hAnsi="Times New Roman" w:eastAsia="宋体" w:cs="宋体"/>
                      <w:b w:val="0"/>
                      <w:bCs w:val="0"/>
                      <w:color w:val="auto"/>
                      <w:kern w:val="2"/>
                      <w:sz w:val="21"/>
                      <w:szCs w:val="21"/>
                      <w:highlight w:val="none"/>
                      <w:lang w:val="en-US" w:eastAsia="zh-CN" w:bidi="ar-SA"/>
                    </w:rPr>
                  </w:pPr>
                  <w:r>
                    <w:rPr>
                      <w:rFonts w:hint="eastAsia"/>
                      <w:color w:val="auto"/>
                      <w:highlight w:val="none"/>
                      <w:lang w:val="en-US" w:eastAsia="zh-CN"/>
                    </w:rPr>
                    <w:t>14</w:t>
                  </w:r>
                </w:p>
              </w:tc>
              <w:tc>
                <w:tcPr>
                  <w:tcW w:w="361" w:type="pct"/>
                  <w:shd w:val="clear" w:color="auto" w:fill="auto"/>
                  <w:tcMar>
                    <w:top w:w="0" w:type="dxa"/>
                    <w:left w:w="57" w:type="dxa"/>
                    <w:bottom w:w="0" w:type="dxa"/>
                    <w:right w:w="57" w:type="dxa"/>
                  </w:tcMar>
                  <w:vAlign w:val="center"/>
                </w:tcPr>
                <w:p w14:paraId="3583324E">
                  <w:pPr>
                    <w:pStyle w:val="20"/>
                    <w:spacing w:before="31"/>
                    <w:rPr>
                      <w:rFonts w:hint="default"/>
                      <w:color w:val="auto"/>
                      <w:highlight w:val="none"/>
                      <w:lang w:val="en-US" w:eastAsia="zh-CN"/>
                    </w:rPr>
                  </w:pPr>
                  <w:r>
                    <w:rPr>
                      <w:rFonts w:hint="eastAsia"/>
                      <w:color w:val="auto"/>
                      <w:highlight w:val="none"/>
                      <w:lang w:val="en-US" w:eastAsia="zh-CN"/>
                    </w:rPr>
                    <w:t>废UV灯管</w:t>
                  </w:r>
                </w:p>
              </w:tc>
              <w:tc>
                <w:tcPr>
                  <w:tcW w:w="283" w:type="pct"/>
                  <w:vMerge w:val="restart"/>
                  <w:shd w:val="clear" w:color="auto" w:fill="auto"/>
                  <w:tcMar>
                    <w:top w:w="0" w:type="dxa"/>
                    <w:left w:w="57" w:type="dxa"/>
                    <w:bottom w:w="0" w:type="dxa"/>
                    <w:right w:w="57" w:type="dxa"/>
                  </w:tcMar>
                  <w:vAlign w:val="center"/>
                </w:tcPr>
                <w:p w14:paraId="05F514C4">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废气处理设施运行</w:t>
                  </w:r>
                </w:p>
              </w:tc>
              <w:tc>
                <w:tcPr>
                  <w:tcW w:w="225" w:type="pct"/>
                  <w:vMerge w:val="continue"/>
                  <w:tcMar>
                    <w:top w:w="0" w:type="dxa"/>
                    <w:left w:w="57" w:type="dxa"/>
                    <w:bottom w:w="0" w:type="dxa"/>
                    <w:right w:w="57" w:type="dxa"/>
                  </w:tcMar>
                  <w:vAlign w:val="center"/>
                </w:tcPr>
                <w:p w14:paraId="47A5479E">
                  <w:pPr>
                    <w:pStyle w:val="20"/>
                    <w:spacing w:before="31"/>
                    <w:rPr>
                      <w:color w:val="auto"/>
                      <w:highlight w:val="none"/>
                    </w:rPr>
                  </w:pPr>
                </w:p>
              </w:tc>
              <w:tc>
                <w:tcPr>
                  <w:tcW w:w="466" w:type="pct"/>
                  <w:tcMar>
                    <w:top w:w="0" w:type="dxa"/>
                    <w:left w:w="57" w:type="dxa"/>
                    <w:bottom w:w="0" w:type="dxa"/>
                    <w:right w:w="57" w:type="dxa"/>
                  </w:tcMar>
                  <w:vAlign w:val="center"/>
                </w:tcPr>
                <w:p w14:paraId="7C946E1B">
                  <w:pPr>
                    <w:pStyle w:val="20"/>
                    <w:spacing w:before="31"/>
                    <w:rPr>
                      <w:rFonts w:hint="eastAsia"/>
                      <w:color w:val="auto"/>
                      <w:highlight w:val="none"/>
                      <w:lang w:val="en-US" w:eastAsia="zh-CN"/>
                    </w:rPr>
                  </w:pPr>
                  <w:r>
                    <w:rPr>
                      <w:rFonts w:hint="eastAsia"/>
                      <w:color w:val="auto"/>
                      <w:highlight w:val="none"/>
                      <w:lang w:val="en-US" w:eastAsia="zh-CN"/>
                    </w:rPr>
                    <w:t>HW29</w:t>
                  </w:r>
                </w:p>
                <w:p w14:paraId="34C08624">
                  <w:pPr>
                    <w:pStyle w:val="20"/>
                    <w:spacing w:before="31"/>
                    <w:rPr>
                      <w:rFonts w:hint="default"/>
                      <w:color w:val="auto"/>
                      <w:highlight w:val="none"/>
                      <w:lang w:val="en-US" w:eastAsia="zh-CN"/>
                    </w:rPr>
                  </w:pPr>
                  <w:r>
                    <w:rPr>
                      <w:rFonts w:hint="eastAsia"/>
                      <w:color w:val="auto"/>
                      <w:highlight w:val="none"/>
                      <w:lang w:val="en-US" w:eastAsia="zh-CN"/>
                    </w:rPr>
                    <w:t>900-023-29</w:t>
                  </w:r>
                </w:p>
              </w:tc>
              <w:tc>
                <w:tcPr>
                  <w:tcW w:w="326" w:type="pct"/>
                  <w:tcMar>
                    <w:top w:w="0" w:type="dxa"/>
                    <w:left w:w="57" w:type="dxa"/>
                    <w:bottom w:w="0" w:type="dxa"/>
                    <w:right w:w="57" w:type="dxa"/>
                  </w:tcMar>
                  <w:vAlign w:val="center"/>
                </w:tcPr>
                <w:p w14:paraId="4AB3CBEC">
                  <w:pPr>
                    <w:pStyle w:val="20"/>
                    <w:spacing w:before="31"/>
                    <w:rPr>
                      <w:rFonts w:hint="eastAsia" w:eastAsia="宋体"/>
                      <w:color w:val="auto"/>
                      <w:highlight w:val="none"/>
                      <w:lang w:val="en-US" w:eastAsia="zh-CN"/>
                    </w:rPr>
                  </w:pPr>
                  <w:r>
                    <w:rPr>
                      <w:rFonts w:hint="eastAsia"/>
                      <w:color w:val="auto"/>
                      <w:highlight w:val="none"/>
                      <w:lang w:val="en-US" w:eastAsia="zh-CN"/>
                    </w:rPr>
                    <w:t>含汞</w:t>
                  </w:r>
                </w:p>
              </w:tc>
              <w:tc>
                <w:tcPr>
                  <w:tcW w:w="230" w:type="pct"/>
                  <w:tcMar>
                    <w:top w:w="0" w:type="dxa"/>
                    <w:left w:w="57" w:type="dxa"/>
                    <w:bottom w:w="0" w:type="dxa"/>
                    <w:right w:w="57" w:type="dxa"/>
                  </w:tcMar>
                  <w:vAlign w:val="center"/>
                </w:tcPr>
                <w:p w14:paraId="61D6EBFD">
                  <w:pPr>
                    <w:pStyle w:val="20"/>
                    <w:spacing w:before="31"/>
                    <w:rPr>
                      <w:rFonts w:hint="eastAsia"/>
                      <w:color w:val="auto"/>
                      <w:highlight w:val="none"/>
                    </w:rPr>
                  </w:pPr>
                  <w:r>
                    <w:rPr>
                      <w:rFonts w:hint="eastAsia"/>
                      <w:color w:val="auto"/>
                      <w:highlight w:val="none"/>
                    </w:rPr>
                    <w:t>固</w:t>
                  </w:r>
                </w:p>
              </w:tc>
              <w:tc>
                <w:tcPr>
                  <w:tcW w:w="328" w:type="pct"/>
                  <w:tcMar>
                    <w:top w:w="0" w:type="dxa"/>
                    <w:left w:w="57" w:type="dxa"/>
                    <w:bottom w:w="0" w:type="dxa"/>
                    <w:right w:w="57" w:type="dxa"/>
                  </w:tcMar>
                  <w:vAlign w:val="center"/>
                </w:tcPr>
                <w:p w14:paraId="1947999C">
                  <w:pPr>
                    <w:pStyle w:val="20"/>
                    <w:spacing w:before="31"/>
                    <w:rPr>
                      <w:rFonts w:hint="eastAsia"/>
                      <w:color w:val="auto"/>
                      <w:highlight w:val="none"/>
                    </w:rPr>
                  </w:pPr>
                  <w:r>
                    <w:rPr>
                      <w:rFonts w:hint="eastAsia"/>
                      <w:color w:val="auto"/>
                      <w:highlight w:val="none"/>
                    </w:rPr>
                    <w:t>T</w:t>
                  </w:r>
                </w:p>
              </w:tc>
              <w:tc>
                <w:tcPr>
                  <w:tcW w:w="357" w:type="pct"/>
                  <w:tcMar>
                    <w:top w:w="0" w:type="dxa"/>
                    <w:left w:w="57" w:type="dxa"/>
                    <w:bottom w:w="0" w:type="dxa"/>
                    <w:right w:w="57" w:type="dxa"/>
                  </w:tcMar>
                  <w:vAlign w:val="center"/>
                </w:tcPr>
                <w:p w14:paraId="1E3AF4BB">
                  <w:pPr>
                    <w:pStyle w:val="20"/>
                    <w:spacing w:before="31"/>
                    <w:rPr>
                      <w:rFonts w:hint="default" w:eastAsia="宋体"/>
                      <w:color w:val="auto"/>
                      <w:highlight w:val="none"/>
                      <w:lang w:val="en-US" w:eastAsia="zh-CN"/>
                    </w:rPr>
                  </w:pPr>
                  <w:r>
                    <w:rPr>
                      <w:rFonts w:hint="eastAsia"/>
                      <w:color w:val="auto"/>
                      <w:highlight w:val="none"/>
                      <w:lang w:val="en-US" w:eastAsia="zh-CN"/>
                    </w:rPr>
                    <w:t>0.01</w:t>
                  </w:r>
                </w:p>
              </w:tc>
              <w:tc>
                <w:tcPr>
                  <w:tcW w:w="292" w:type="pct"/>
                  <w:tcMar>
                    <w:top w:w="0" w:type="dxa"/>
                    <w:left w:w="57" w:type="dxa"/>
                    <w:bottom w:w="0" w:type="dxa"/>
                    <w:right w:w="57" w:type="dxa"/>
                  </w:tcMar>
                  <w:vAlign w:val="center"/>
                </w:tcPr>
                <w:p w14:paraId="16DFAA0E">
                  <w:pPr>
                    <w:pStyle w:val="20"/>
                    <w:spacing w:before="31"/>
                    <w:rPr>
                      <w:rFonts w:hint="eastAsia"/>
                      <w:color w:val="auto"/>
                      <w:highlight w:val="none"/>
                    </w:rPr>
                  </w:pPr>
                  <w:r>
                    <w:rPr>
                      <w:rFonts w:hint="eastAsia"/>
                      <w:color w:val="auto"/>
                      <w:highlight w:val="none"/>
                      <w:lang w:val="en-US" w:eastAsia="zh-CN"/>
                    </w:rPr>
                    <w:t>/</w:t>
                  </w:r>
                </w:p>
              </w:tc>
              <w:tc>
                <w:tcPr>
                  <w:tcW w:w="299" w:type="pct"/>
                  <w:tcMar>
                    <w:top w:w="0" w:type="dxa"/>
                    <w:left w:w="57" w:type="dxa"/>
                    <w:bottom w:w="0" w:type="dxa"/>
                    <w:right w:w="57" w:type="dxa"/>
                  </w:tcMar>
                  <w:vAlign w:val="center"/>
                </w:tcPr>
                <w:p w14:paraId="422970C6">
                  <w:pPr>
                    <w:pStyle w:val="20"/>
                    <w:spacing w:before="31"/>
                    <w:rPr>
                      <w:rFonts w:hint="eastAsia"/>
                      <w:color w:val="auto"/>
                      <w:highlight w:val="none"/>
                    </w:rPr>
                  </w:pPr>
                  <w:r>
                    <w:rPr>
                      <w:rFonts w:hint="eastAsia"/>
                      <w:color w:val="auto"/>
                      <w:highlight w:val="none"/>
                    </w:rPr>
                    <w:t>每半年</w:t>
                  </w:r>
                </w:p>
              </w:tc>
              <w:tc>
                <w:tcPr>
                  <w:tcW w:w="337" w:type="pct"/>
                  <w:tcMar>
                    <w:top w:w="0" w:type="dxa"/>
                    <w:left w:w="57" w:type="dxa"/>
                    <w:bottom w:w="0" w:type="dxa"/>
                    <w:right w:w="57" w:type="dxa"/>
                  </w:tcMar>
                  <w:vAlign w:val="center"/>
                </w:tcPr>
                <w:p w14:paraId="7E019060">
                  <w:pPr>
                    <w:pStyle w:val="20"/>
                    <w:spacing w:before="31"/>
                    <w:rPr>
                      <w:rFonts w:hint="default"/>
                      <w:color w:val="auto"/>
                      <w:highlight w:val="none"/>
                      <w:lang w:val="en-US" w:eastAsia="zh-CN"/>
                    </w:rPr>
                  </w:pPr>
                  <w:r>
                    <w:rPr>
                      <w:rFonts w:hint="eastAsia"/>
                      <w:color w:val="auto"/>
                      <w:highlight w:val="none"/>
                      <w:lang w:val="en-US" w:eastAsia="zh-CN"/>
                    </w:rPr>
                    <w:t>0.005</w:t>
                  </w:r>
                </w:p>
              </w:tc>
              <w:tc>
                <w:tcPr>
                  <w:tcW w:w="618" w:type="pct"/>
                  <w:shd w:val="clear" w:color="auto" w:fill="auto"/>
                  <w:tcMar>
                    <w:top w:w="0" w:type="dxa"/>
                    <w:left w:w="57" w:type="dxa"/>
                    <w:bottom w:w="0" w:type="dxa"/>
                    <w:right w:w="57" w:type="dxa"/>
                  </w:tcMar>
                  <w:vAlign w:val="center"/>
                </w:tcPr>
                <w:p w14:paraId="7E722A9F">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eastAsia="zh-CN"/>
                    </w:rPr>
                    <w:t>危险废物贮存点</w:t>
                  </w:r>
                  <w:r>
                    <w:rPr>
                      <w:rFonts w:hint="eastAsia"/>
                      <w:color w:val="auto"/>
                      <w:highlight w:val="none"/>
                    </w:rPr>
                    <w:t>桶装堆存</w:t>
                  </w:r>
                </w:p>
              </w:tc>
              <w:tc>
                <w:tcPr>
                  <w:tcW w:w="444" w:type="pct"/>
                  <w:shd w:val="clear" w:color="auto" w:fill="auto"/>
                  <w:tcMar>
                    <w:top w:w="0" w:type="dxa"/>
                    <w:left w:w="57" w:type="dxa"/>
                    <w:bottom w:w="0" w:type="dxa"/>
                    <w:right w:w="57" w:type="dxa"/>
                  </w:tcMar>
                  <w:vAlign w:val="center"/>
                </w:tcPr>
                <w:p w14:paraId="74953B21">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交有资质单位处置</w:t>
                  </w:r>
                </w:p>
              </w:tc>
              <w:tc>
                <w:tcPr>
                  <w:tcW w:w="265" w:type="pct"/>
                  <w:shd w:val="clear" w:color="auto" w:fill="auto"/>
                  <w:tcMar>
                    <w:top w:w="0" w:type="dxa"/>
                    <w:left w:w="57" w:type="dxa"/>
                    <w:bottom w:w="0" w:type="dxa"/>
                    <w:right w:w="57" w:type="dxa"/>
                  </w:tcMar>
                  <w:vAlign w:val="center"/>
                </w:tcPr>
                <w:p w14:paraId="29957F90">
                  <w:pPr>
                    <w:pStyle w:val="20"/>
                    <w:spacing w:before="31"/>
                    <w:rPr>
                      <w:rFonts w:hint="default" w:eastAsia="宋体"/>
                      <w:color w:val="auto"/>
                      <w:highlight w:val="none"/>
                      <w:lang w:val="en-US" w:eastAsia="zh-CN"/>
                    </w:rPr>
                  </w:pPr>
                  <w:r>
                    <w:rPr>
                      <w:rFonts w:hint="eastAsia"/>
                      <w:color w:val="auto"/>
                      <w:highlight w:val="none"/>
                      <w:lang w:val="en-US" w:eastAsia="zh-CN"/>
                    </w:rPr>
                    <w:t>0.01</w:t>
                  </w:r>
                </w:p>
              </w:tc>
            </w:tr>
            <w:tr w14:paraId="131C5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62" w:type="pct"/>
                  <w:shd w:val="clear" w:color="auto" w:fill="auto"/>
                  <w:tcMar>
                    <w:top w:w="0" w:type="dxa"/>
                    <w:left w:w="57" w:type="dxa"/>
                    <w:bottom w:w="0" w:type="dxa"/>
                    <w:right w:w="57" w:type="dxa"/>
                  </w:tcMar>
                  <w:vAlign w:val="center"/>
                </w:tcPr>
                <w:p w14:paraId="4BA191BF">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15</w:t>
                  </w:r>
                </w:p>
              </w:tc>
              <w:tc>
                <w:tcPr>
                  <w:tcW w:w="361" w:type="pct"/>
                  <w:shd w:val="clear" w:color="auto" w:fill="auto"/>
                  <w:tcMar>
                    <w:top w:w="0" w:type="dxa"/>
                    <w:left w:w="57" w:type="dxa"/>
                    <w:bottom w:w="0" w:type="dxa"/>
                    <w:right w:w="57" w:type="dxa"/>
                  </w:tcMar>
                  <w:vAlign w:val="center"/>
                </w:tcPr>
                <w:p w14:paraId="3C998CE9">
                  <w:pPr>
                    <w:pStyle w:val="20"/>
                    <w:spacing w:before="31"/>
                    <w:rPr>
                      <w:rFonts w:hint="default"/>
                      <w:color w:val="auto"/>
                      <w:highlight w:val="none"/>
                      <w:lang w:val="en-US" w:eastAsia="zh-CN"/>
                    </w:rPr>
                  </w:pPr>
                  <w:r>
                    <w:rPr>
                      <w:rFonts w:hint="eastAsia" w:ascii="宋体" w:hAnsi="宋体"/>
                      <w:color w:val="auto"/>
                      <w:highlight w:val="none"/>
                      <w:lang w:val="en-US" w:eastAsia="zh-CN"/>
                    </w:rPr>
                    <w:t>废过滤棉</w:t>
                  </w:r>
                </w:p>
              </w:tc>
              <w:tc>
                <w:tcPr>
                  <w:tcW w:w="283" w:type="pct"/>
                  <w:vMerge w:val="continue"/>
                  <w:shd w:val="clear" w:color="auto" w:fill="auto"/>
                  <w:tcMar>
                    <w:top w:w="0" w:type="dxa"/>
                    <w:left w:w="57" w:type="dxa"/>
                    <w:bottom w:w="0" w:type="dxa"/>
                    <w:right w:w="57" w:type="dxa"/>
                  </w:tcMar>
                  <w:vAlign w:val="center"/>
                </w:tcPr>
                <w:p w14:paraId="177DF716">
                  <w:pPr>
                    <w:pStyle w:val="20"/>
                    <w:spacing w:before="31"/>
                    <w:rPr>
                      <w:rFonts w:hint="default" w:ascii="Times New Roman" w:hAnsi="Times New Roman" w:eastAsia="宋体" w:cs="宋体"/>
                      <w:color w:val="auto"/>
                      <w:kern w:val="2"/>
                      <w:sz w:val="21"/>
                      <w:szCs w:val="21"/>
                      <w:highlight w:val="none"/>
                      <w:lang w:val="en-US" w:eastAsia="zh-CN" w:bidi="ar-SA"/>
                    </w:rPr>
                  </w:pPr>
                </w:p>
              </w:tc>
              <w:tc>
                <w:tcPr>
                  <w:tcW w:w="225" w:type="pct"/>
                  <w:vMerge w:val="continue"/>
                  <w:tcMar>
                    <w:top w:w="0" w:type="dxa"/>
                    <w:left w:w="57" w:type="dxa"/>
                    <w:bottom w:w="0" w:type="dxa"/>
                    <w:right w:w="57" w:type="dxa"/>
                  </w:tcMar>
                  <w:vAlign w:val="center"/>
                </w:tcPr>
                <w:p w14:paraId="4B3ED462">
                  <w:pPr>
                    <w:pStyle w:val="20"/>
                    <w:spacing w:before="31"/>
                    <w:rPr>
                      <w:color w:val="auto"/>
                      <w:highlight w:val="none"/>
                    </w:rPr>
                  </w:pPr>
                </w:p>
              </w:tc>
              <w:tc>
                <w:tcPr>
                  <w:tcW w:w="466" w:type="pct"/>
                  <w:tcMar>
                    <w:top w:w="0" w:type="dxa"/>
                    <w:left w:w="57" w:type="dxa"/>
                    <w:bottom w:w="0" w:type="dxa"/>
                    <w:right w:w="57" w:type="dxa"/>
                  </w:tcMar>
                  <w:vAlign w:val="center"/>
                </w:tcPr>
                <w:p w14:paraId="01BAD0A0">
                  <w:pPr>
                    <w:pStyle w:val="20"/>
                    <w:spacing w:before="31"/>
                    <w:rPr>
                      <w:color w:val="auto"/>
                      <w:highlight w:val="none"/>
                    </w:rPr>
                  </w:pPr>
                  <w:r>
                    <w:rPr>
                      <w:rFonts w:hint="eastAsia"/>
                      <w:color w:val="auto"/>
                      <w:highlight w:val="none"/>
                    </w:rPr>
                    <w:t>HW49</w:t>
                  </w:r>
                </w:p>
                <w:p w14:paraId="5CC4EDEB">
                  <w:pPr>
                    <w:pStyle w:val="20"/>
                    <w:spacing w:before="31"/>
                    <w:rPr>
                      <w:rFonts w:hint="eastAsia"/>
                      <w:color w:val="auto"/>
                      <w:highlight w:val="none"/>
                    </w:rPr>
                  </w:pPr>
                  <w:r>
                    <w:rPr>
                      <w:rFonts w:hint="eastAsia"/>
                      <w:color w:val="auto"/>
                      <w:highlight w:val="none"/>
                    </w:rPr>
                    <w:t>900-041-49</w:t>
                  </w:r>
                </w:p>
              </w:tc>
              <w:tc>
                <w:tcPr>
                  <w:tcW w:w="326" w:type="pct"/>
                  <w:vMerge w:val="restart"/>
                  <w:tcMar>
                    <w:top w:w="0" w:type="dxa"/>
                    <w:left w:w="57" w:type="dxa"/>
                    <w:bottom w:w="0" w:type="dxa"/>
                    <w:right w:w="57" w:type="dxa"/>
                  </w:tcMar>
                  <w:vAlign w:val="center"/>
                </w:tcPr>
                <w:p w14:paraId="3F1749F5">
                  <w:pPr>
                    <w:pStyle w:val="20"/>
                    <w:spacing w:before="31"/>
                    <w:rPr>
                      <w:rFonts w:hint="default" w:eastAsia="宋体"/>
                      <w:color w:val="auto"/>
                      <w:highlight w:val="none"/>
                      <w:lang w:val="en-US" w:eastAsia="zh-CN"/>
                    </w:rPr>
                  </w:pPr>
                  <w:r>
                    <w:rPr>
                      <w:rFonts w:hint="eastAsia"/>
                      <w:color w:val="auto"/>
                      <w:highlight w:val="none"/>
                      <w:lang w:val="en-US" w:eastAsia="zh-CN"/>
                    </w:rPr>
                    <w:t>吸附的污染物</w:t>
                  </w:r>
                </w:p>
              </w:tc>
              <w:tc>
                <w:tcPr>
                  <w:tcW w:w="230" w:type="pct"/>
                  <w:tcMar>
                    <w:top w:w="0" w:type="dxa"/>
                    <w:left w:w="57" w:type="dxa"/>
                    <w:bottom w:w="0" w:type="dxa"/>
                    <w:right w:w="57" w:type="dxa"/>
                  </w:tcMar>
                  <w:vAlign w:val="center"/>
                </w:tcPr>
                <w:p w14:paraId="7C2E8A93">
                  <w:pPr>
                    <w:pStyle w:val="20"/>
                    <w:spacing w:before="31"/>
                    <w:rPr>
                      <w:rFonts w:hint="eastAsia"/>
                      <w:color w:val="auto"/>
                      <w:highlight w:val="none"/>
                    </w:rPr>
                  </w:pPr>
                  <w:r>
                    <w:rPr>
                      <w:rFonts w:hint="eastAsia"/>
                      <w:color w:val="auto"/>
                      <w:highlight w:val="none"/>
                    </w:rPr>
                    <w:t>固</w:t>
                  </w:r>
                </w:p>
              </w:tc>
              <w:tc>
                <w:tcPr>
                  <w:tcW w:w="328" w:type="pct"/>
                  <w:tcMar>
                    <w:top w:w="0" w:type="dxa"/>
                    <w:left w:w="57" w:type="dxa"/>
                    <w:bottom w:w="0" w:type="dxa"/>
                    <w:right w:w="57" w:type="dxa"/>
                  </w:tcMar>
                  <w:vAlign w:val="center"/>
                </w:tcPr>
                <w:p w14:paraId="687A80A7">
                  <w:pPr>
                    <w:pStyle w:val="20"/>
                    <w:spacing w:before="31"/>
                    <w:rPr>
                      <w:rFonts w:hint="eastAsia"/>
                      <w:color w:val="auto"/>
                      <w:highlight w:val="none"/>
                    </w:rPr>
                  </w:pPr>
                  <w:r>
                    <w:rPr>
                      <w:rFonts w:hint="eastAsia"/>
                      <w:color w:val="auto"/>
                      <w:highlight w:val="none"/>
                    </w:rPr>
                    <w:t>T</w:t>
                  </w:r>
                </w:p>
              </w:tc>
              <w:tc>
                <w:tcPr>
                  <w:tcW w:w="357" w:type="pct"/>
                  <w:tcMar>
                    <w:top w:w="0" w:type="dxa"/>
                    <w:left w:w="57" w:type="dxa"/>
                    <w:bottom w:w="0" w:type="dxa"/>
                    <w:right w:w="57" w:type="dxa"/>
                  </w:tcMar>
                  <w:vAlign w:val="center"/>
                </w:tcPr>
                <w:p w14:paraId="75D9EB3F">
                  <w:pPr>
                    <w:pStyle w:val="20"/>
                    <w:spacing w:before="31"/>
                    <w:rPr>
                      <w:rFonts w:hint="default" w:eastAsia="宋体"/>
                      <w:color w:val="auto"/>
                      <w:highlight w:val="none"/>
                      <w:lang w:val="en-US" w:eastAsia="zh-CN"/>
                    </w:rPr>
                  </w:pPr>
                  <w:r>
                    <w:rPr>
                      <w:rFonts w:hint="eastAsia"/>
                      <w:color w:val="auto"/>
                      <w:highlight w:val="none"/>
                      <w:lang w:val="en-US" w:eastAsia="zh-CN"/>
                    </w:rPr>
                    <w:t>0.2</w:t>
                  </w:r>
                </w:p>
              </w:tc>
              <w:tc>
                <w:tcPr>
                  <w:tcW w:w="292" w:type="pct"/>
                  <w:tcMar>
                    <w:top w:w="0" w:type="dxa"/>
                    <w:left w:w="57" w:type="dxa"/>
                    <w:bottom w:w="0" w:type="dxa"/>
                    <w:right w:w="57" w:type="dxa"/>
                  </w:tcMar>
                  <w:vAlign w:val="center"/>
                </w:tcPr>
                <w:p w14:paraId="3686A6F8">
                  <w:pPr>
                    <w:pStyle w:val="20"/>
                    <w:spacing w:before="31"/>
                    <w:rPr>
                      <w:rFonts w:hint="default" w:eastAsia="宋体"/>
                      <w:color w:val="auto"/>
                      <w:highlight w:val="none"/>
                      <w:lang w:val="en-US" w:eastAsia="zh-CN"/>
                    </w:rPr>
                  </w:pPr>
                  <w:r>
                    <w:rPr>
                      <w:rFonts w:hint="eastAsia"/>
                      <w:color w:val="auto"/>
                      <w:highlight w:val="none"/>
                      <w:lang w:val="en-US" w:eastAsia="zh-CN"/>
                    </w:rPr>
                    <w:t>/</w:t>
                  </w:r>
                </w:p>
              </w:tc>
              <w:tc>
                <w:tcPr>
                  <w:tcW w:w="299" w:type="pct"/>
                  <w:shd w:val="clear" w:color="auto" w:fill="auto"/>
                  <w:tcMar>
                    <w:top w:w="0" w:type="dxa"/>
                    <w:left w:w="57" w:type="dxa"/>
                    <w:bottom w:w="0" w:type="dxa"/>
                    <w:right w:w="57" w:type="dxa"/>
                  </w:tcMar>
                  <w:vAlign w:val="center"/>
                </w:tcPr>
                <w:p w14:paraId="7A31B02D">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每半年</w:t>
                  </w:r>
                </w:p>
              </w:tc>
              <w:tc>
                <w:tcPr>
                  <w:tcW w:w="337" w:type="pct"/>
                  <w:shd w:val="clear" w:color="auto" w:fill="auto"/>
                  <w:tcMar>
                    <w:top w:w="0" w:type="dxa"/>
                    <w:left w:w="57" w:type="dxa"/>
                    <w:bottom w:w="0" w:type="dxa"/>
                    <w:right w:w="57" w:type="dxa"/>
                  </w:tcMar>
                  <w:vAlign w:val="center"/>
                </w:tcPr>
                <w:p w14:paraId="0A21F38E">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0.1</w:t>
                  </w:r>
                </w:p>
              </w:tc>
              <w:tc>
                <w:tcPr>
                  <w:tcW w:w="618" w:type="pct"/>
                  <w:tcMar>
                    <w:top w:w="0" w:type="dxa"/>
                    <w:left w:w="57" w:type="dxa"/>
                    <w:bottom w:w="0" w:type="dxa"/>
                    <w:right w:w="57" w:type="dxa"/>
                  </w:tcMar>
                  <w:vAlign w:val="center"/>
                </w:tcPr>
                <w:p w14:paraId="0BF6D74B">
                  <w:pPr>
                    <w:pStyle w:val="20"/>
                    <w:spacing w:before="31"/>
                    <w:rPr>
                      <w:rFonts w:hint="eastAsia"/>
                      <w:color w:val="auto"/>
                      <w:highlight w:val="none"/>
                      <w:lang w:eastAsia="zh-CN"/>
                    </w:rPr>
                  </w:pPr>
                  <w:r>
                    <w:rPr>
                      <w:rFonts w:hint="eastAsia"/>
                      <w:color w:val="auto"/>
                      <w:highlight w:val="none"/>
                      <w:lang w:eastAsia="zh-CN"/>
                    </w:rPr>
                    <w:t>危险废物贮存点</w:t>
                  </w:r>
                  <w:r>
                    <w:rPr>
                      <w:rFonts w:hint="eastAsia"/>
                      <w:color w:val="auto"/>
                      <w:highlight w:val="none"/>
                    </w:rPr>
                    <w:t>袋装堆存</w:t>
                  </w:r>
                </w:p>
              </w:tc>
              <w:tc>
                <w:tcPr>
                  <w:tcW w:w="444" w:type="pct"/>
                  <w:tcMar>
                    <w:top w:w="0" w:type="dxa"/>
                    <w:left w:w="57" w:type="dxa"/>
                    <w:bottom w:w="0" w:type="dxa"/>
                    <w:right w:w="57" w:type="dxa"/>
                  </w:tcMar>
                  <w:vAlign w:val="center"/>
                </w:tcPr>
                <w:p w14:paraId="12B70E6E">
                  <w:pPr>
                    <w:pStyle w:val="20"/>
                    <w:spacing w:before="31"/>
                    <w:rPr>
                      <w:rFonts w:hint="eastAsia"/>
                      <w:color w:val="auto"/>
                      <w:highlight w:val="none"/>
                    </w:rPr>
                  </w:pPr>
                  <w:r>
                    <w:rPr>
                      <w:rFonts w:hint="eastAsia"/>
                      <w:color w:val="auto"/>
                      <w:highlight w:val="none"/>
                    </w:rPr>
                    <w:t>交有资质单位处置</w:t>
                  </w:r>
                </w:p>
              </w:tc>
              <w:tc>
                <w:tcPr>
                  <w:tcW w:w="265" w:type="pct"/>
                  <w:shd w:val="clear" w:color="auto" w:fill="auto"/>
                  <w:tcMar>
                    <w:top w:w="0" w:type="dxa"/>
                    <w:left w:w="57" w:type="dxa"/>
                    <w:bottom w:w="0" w:type="dxa"/>
                    <w:right w:w="57" w:type="dxa"/>
                  </w:tcMar>
                  <w:vAlign w:val="center"/>
                </w:tcPr>
                <w:p w14:paraId="3813420B">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0.2</w:t>
                  </w:r>
                </w:p>
              </w:tc>
            </w:tr>
            <w:tr w14:paraId="0499B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162" w:type="pct"/>
                  <w:shd w:val="clear" w:color="auto" w:fill="auto"/>
                  <w:tcMar>
                    <w:top w:w="0" w:type="dxa"/>
                    <w:left w:w="57" w:type="dxa"/>
                    <w:bottom w:w="0" w:type="dxa"/>
                    <w:right w:w="57" w:type="dxa"/>
                  </w:tcMar>
                  <w:vAlign w:val="center"/>
                </w:tcPr>
                <w:p w14:paraId="553F32A2">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16</w:t>
                  </w:r>
                </w:p>
              </w:tc>
              <w:tc>
                <w:tcPr>
                  <w:tcW w:w="361" w:type="pct"/>
                  <w:shd w:val="clear" w:color="auto" w:fill="auto"/>
                  <w:tcMar>
                    <w:top w:w="0" w:type="dxa"/>
                    <w:left w:w="57" w:type="dxa"/>
                    <w:bottom w:w="0" w:type="dxa"/>
                    <w:right w:w="57" w:type="dxa"/>
                  </w:tcMar>
                  <w:vAlign w:val="center"/>
                </w:tcPr>
                <w:p w14:paraId="4A539C97">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废活性炭</w:t>
                  </w:r>
                </w:p>
              </w:tc>
              <w:tc>
                <w:tcPr>
                  <w:tcW w:w="283" w:type="pct"/>
                  <w:vMerge w:val="continue"/>
                  <w:shd w:val="clear" w:color="auto" w:fill="auto"/>
                  <w:tcMar>
                    <w:top w:w="0" w:type="dxa"/>
                    <w:left w:w="57" w:type="dxa"/>
                    <w:bottom w:w="0" w:type="dxa"/>
                    <w:right w:w="57" w:type="dxa"/>
                  </w:tcMar>
                  <w:vAlign w:val="center"/>
                </w:tcPr>
                <w:p w14:paraId="05933BD7">
                  <w:pPr>
                    <w:pStyle w:val="20"/>
                    <w:spacing w:before="31"/>
                    <w:rPr>
                      <w:rFonts w:hint="default" w:ascii="Times New Roman" w:hAnsi="Times New Roman" w:eastAsia="宋体" w:cs="宋体"/>
                      <w:color w:val="auto"/>
                      <w:kern w:val="2"/>
                      <w:sz w:val="21"/>
                      <w:szCs w:val="21"/>
                      <w:highlight w:val="none"/>
                      <w:lang w:val="en-US" w:eastAsia="zh-CN" w:bidi="ar-SA"/>
                    </w:rPr>
                  </w:pPr>
                </w:p>
              </w:tc>
              <w:tc>
                <w:tcPr>
                  <w:tcW w:w="225" w:type="pct"/>
                  <w:vMerge w:val="continue"/>
                  <w:tcMar>
                    <w:top w:w="0" w:type="dxa"/>
                    <w:left w:w="57" w:type="dxa"/>
                    <w:bottom w:w="0" w:type="dxa"/>
                    <w:right w:w="57" w:type="dxa"/>
                  </w:tcMar>
                  <w:vAlign w:val="center"/>
                </w:tcPr>
                <w:p w14:paraId="7B4C1D28">
                  <w:pPr>
                    <w:pStyle w:val="20"/>
                    <w:spacing w:before="31"/>
                    <w:rPr>
                      <w:color w:val="auto"/>
                      <w:highlight w:val="none"/>
                    </w:rPr>
                  </w:pPr>
                </w:p>
              </w:tc>
              <w:tc>
                <w:tcPr>
                  <w:tcW w:w="466" w:type="pct"/>
                  <w:tcMar>
                    <w:top w:w="0" w:type="dxa"/>
                    <w:left w:w="57" w:type="dxa"/>
                    <w:bottom w:w="0" w:type="dxa"/>
                    <w:right w:w="57" w:type="dxa"/>
                  </w:tcMar>
                  <w:vAlign w:val="center"/>
                </w:tcPr>
                <w:p w14:paraId="71E6D5C1">
                  <w:pPr>
                    <w:pStyle w:val="20"/>
                    <w:spacing w:before="31"/>
                    <w:rPr>
                      <w:color w:val="auto"/>
                      <w:highlight w:val="none"/>
                    </w:rPr>
                  </w:pPr>
                  <w:r>
                    <w:rPr>
                      <w:rFonts w:hint="eastAsia"/>
                      <w:color w:val="auto"/>
                      <w:highlight w:val="none"/>
                    </w:rPr>
                    <w:t>HW49</w:t>
                  </w:r>
                </w:p>
                <w:p w14:paraId="3809962E">
                  <w:pPr>
                    <w:pStyle w:val="20"/>
                    <w:spacing w:before="31"/>
                    <w:rPr>
                      <w:rFonts w:hint="eastAsia"/>
                      <w:color w:val="auto"/>
                      <w:highlight w:val="none"/>
                    </w:rPr>
                  </w:pPr>
                  <w:r>
                    <w:rPr>
                      <w:rFonts w:hint="eastAsia"/>
                      <w:color w:val="auto"/>
                      <w:highlight w:val="none"/>
                    </w:rPr>
                    <w:t>900-0</w:t>
                  </w:r>
                  <w:r>
                    <w:rPr>
                      <w:rFonts w:hint="eastAsia"/>
                      <w:color w:val="auto"/>
                      <w:highlight w:val="none"/>
                      <w:lang w:val="en-US" w:eastAsia="zh-CN"/>
                    </w:rPr>
                    <w:t>39</w:t>
                  </w:r>
                  <w:r>
                    <w:rPr>
                      <w:rFonts w:hint="eastAsia"/>
                      <w:color w:val="auto"/>
                      <w:highlight w:val="none"/>
                    </w:rPr>
                    <w:t>-49</w:t>
                  </w:r>
                </w:p>
              </w:tc>
              <w:tc>
                <w:tcPr>
                  <w:tcW w:w="326" w:type="pct"/>
                  <w:vMerge w:val="continue"/>
                  <w:tcMar>
                    <w:top w:w="0" w:type="dxa"/>
                    <w:left w:w="57" w:type="dxa"/>
                    <w:bottom w:w="0" w:type="dxa"/>
                    <w:right w:w="57" w:type="dxa"/>
                  </w:tcMar>
                  <w:vAlign w:val="center"/>
                </w:tcPr>
                <w:p w14:paraId="427BD3AC">
                  <w:pPr>
                    <w:pStyle w:val="20"/>
                    <w:spacing w:before="31"/>
                    <w:rPr>
                      <w:rFonts w:hint="default" w:eastAsia="宋体"/>
                      <w:color w:val="auto"/>
                      <w:highlight w:val="none"/>
                      <w:lang w:val="en-US" w:eastAsia="zh-CN"/>
                    </w:rPr>
                  </w:pPr>
                </w:p>
              </w:tc>
              <w:tc>
                <w:tcPr>
                  <w:tcW w:w="230" w:type="pct"/>
                  <w:tcMar>
                    <w:top w:w="0" w:type="dxa"/>
                    <w:left w:w="57" w:type="dxa"/>
                    <w:bottom w:w="0" w:type="dxa"/>
                    <w:right w:w="57" w:type="dxa"/>
                  </w:tcMar>
                  <w:vAlign w:val="center"/>
                </w:tcPr>
                <w:p w14:paraId="45A48E99">
                  <w:pPr>
                    <w:pStyle w:val="20"/>
                    <w:spacing w:before="31"/>
                    <w:rPr>
                      <w:rFonts w:hint="eastAsia"/>
                      <w:color w:val="auto"/>
                      <w:highlight w:val="none"/>
                    </w:rPr>
                  </w:pPr>
                  <w:r>
                    <w:rPr>
                      <w:rFonts w:hint="eastAsia"/>
                      <w:color w:val="auto"/>
                      <w:highlight w:val="none"/>
                    </w:rPr>
                    <w:t>固</w:t>
                  </w:r>
                </w:p>
              </w:tc>
              <w:tc>
                <w:tcPr>
                  <w:tcW w:w="328" w:type="pct"/>
                  <w:tcMar>
                    <w:top w:w="0" w:type="dxa"/>
                    <w:left w:w="57" w:type="dxa"/>
                    <w:bottom w:w="0" w:type="dxa"/>
                    <w:right w:w="57" w:type="dxa"/>
                  </w:tcMar>
                  <w:vAlign w:val="center"/>
                </w:tcPr>
                <w:p w14:paraId="46F49224">
                  <w:pPr>
                    <w:pStyle w:val="20"/>
                    <w:spacing w:before="31"/>
                    <w:rPr>
                      <w:rFonts w:hint="eastAsia"/>
                      <w:color w:val="auto"/>
                      <w:highlight w:val="none"/>
                    </w:rPr>
                  </w:pPr>
                  <w:r>
                    <w:rPr>
                      <w:rFonts w:hint="eastAsia"/>
                      <w:color w:val="auto"/>
                      <w:highlight w:val="none"/>
                    </w:rPr>
                    <w:t>T</w:t>
                  </w:r>
                </w:p>
              </w:tc>
              <w:tc>
                <w:tcPr>
                  <w:tcW w:w="357" w:type="pct"/>
                  <w:tcMar>
                    <w:top w:w="0" w:type="dxa"/>
                    <w:left w:w="57" w:type="dxa"/>
                    <w:bottom w:w="0" w:type="dxa"/>
                    <w:right w:w="57" w:type="dxa"/>
                  </w:tcMar>
                  <w:vAlign w:val="center"/>
                </w:tcPr>
                <w:p w14:paraId="4AD9FE76">
                  <w:pPr>
                    <w:pStyle w:val="20"/>
                    <w:spacing w:before="31"/>
                    <w:rPr>
                      <w:rFonts w:hint="default" w:eastAsia="宋体"/>
                      <w:color w:val="auto"/>
                      <w:highlight w:val="none"/>
                      <w:lang w:val="en-US" w:eastAsia="zh-CN"/>
                    </w:rPr>
                  </w:pPr>
                  <w:r>
                    <w:rPr>
                      <w:rFonts w:hint="eastAsia"/>
                      <w:color w:val="auto"/>
                      <w:highlight w:val="none"/>
                      <w:lang w:val="en-US" w:eastAsia="zh-CN"/>
                    </w:rPr>
                    <w:t>14.336</w:t>
                  </w:r>
                </w:p>
              </w:tc>
              <w:tc>
                <w:tcPr>
                  <w:tcW w:w="591" w:type="pct"/>
                  <w:gridSpan w:val="2"/>
                  <w:tcMar>
                    <w:top w:w="0" w:type="dxa"/>
                    <w:left w:w="57" w:type="dxa"/>
                    <w:bottom w:w="0" w:type="dxa"/>
                    <w:right w:w="57" w:type="dxa"/>
                  </w:tcMar>
                  <w:vAlign w:val="center"/>
                </w:tcPr>
                <w:p w14:paraId="14EC6A07">
                  <w:pPr>
                    <w:pStyle w:val="20"/>
                    <w:spacing w:before="31"/>
                    <w:rPr>
                      <w:rFonts w:hint="default" w:eastAsia="宋体"/>
                      <w:color w:val="auto"/>
                      <w:highlight w:val="none"/>
                      <w:lang w:val="en-US" w:eastAsia="zh-CN"/>
                    </w:rPr>
                  </w:pPr>
                  <w:r>
                    <w:rPr>
                      <w:rFonts w:hint="eastAsia"/>
                      <w:color w:val="auto"/>
                      <w:highlight w:val="none"/>
                      <w:lang w:val="en-US" w:eastAsia="zh-CN"/>
                    </w:rPr>
                    <w:t>15次/年，更换及时清运</w:t>
                  </w:r>
                </w:p>
              </w:tc>
              <w:tc>
                <w:tcPr>
                  <w:tcW w:w="337" w:type="pct"/>
                  <w:tcMar>
                    <w:top w:w="0" w:type="dxa"/>
                    <w:left w:w="57" w:type="dxa"/>
                    <w:bottom w:w="0" w:type="dxa"/>
                    <w:right w:w="57" w:type="dxa"/>
                  </w:tcMar>
                  <w:vAlign w:val="center"/>
                </w:tcPr>
                <w:p w14:paraId="13E31369">
                  <w:pPr>
                    <w:pStyle w:val="20"/>
                    <w:spacing w:before="31"/>
                    <w:rPr>
                      <w:rFonts w:hint="default" w:eastAsia="宋体"/>
                      <w:color w:val="auto"/>
                      <w:highlight w:val="none"/>
                      <w:lang w:val="en-US" w:eastAsia="zh-CN"/>
                    </w:rPr>
                  </w:pPr>
                  <w:r>
                    <w:rPr>
                      <w:rFonts w:hint="eastAsia"/>
                      <w:color w:val="auto"/>
                      <w:highlight w:val="none"/>
                      <w:lang w:val="en-US" w:eastAsia="zh-CN"/>
                    </w:rPr>
                    <w:t>0.956</w:t>
                  </w:r>
                </w:p>
              </w:tc>
              <w:tc>
                <w:tcPr>
                  <w:tcW w:w="618" w:type="pct"/>
                  <w:tcMar>
                    <w:top w:w="0" w:type="dxa"/>
                    <w:left w:w="57" w:type="dxa"/>
                    <w:bottom w:w="0" w:type="dxa"/>
                    <w:right w:w="57" w:type="dxa"/>
                  </w:tcMar>
                  <w:vAlign w:val="center"/>
                </w:tcPr>
                <w:p w14:paraId="56662366">
                  <w:pPr>
                    <w:pStyle w:val="20"/>
                    <w:spacing w:before="31"/>
                    <w:rPr>
                      <w:rFonts w:hint="eastAsia"/>
                      <w:color w:val="auto"/>
                      <w:highlight w:val="none"/>
                      <w:lang w:eastAsia="zh-CN"/>
                    </w:rPr>
                  </w:pPr>
                  <w:r>
                    <w:rPr>
                      <w:rFonts w:hint="eastAsia"/>
                      <w:color w:val="auto"/>
                      <w:highlight w:val="none"/>
                      <w:lang w:eastAsia="zh-CN"/>
                    </w:rPr>
                    <w:t>危险废物贮存点</w:t>
                  </w:r>
                  <w:r>
                    <w:rPr>
                      <w:rFonts w:hint="eastAsia"/>
                      <w:color w:val="auto"/>
                      <w:highlight w:val="none"/>
                    </w:rPr>
                    <w:t>袋装堆存</w:t>
                  </w:r>
                </w:p>
              </w:tc>
              <w:tc>
                <w:tcPr>
                  <w:tcW w:w="444" w:type="pct"/>
                  <w:tcMar>
                    <w:top w:w="0" w:type="dxa"/>
                    <w:left w:w="57" w:type="dxa"/>
                    <w:bottom w:w="0" w:type="dxa"/>
                    <w:right w:w="57" w:type="dxa"/>
                  </w:tcMar>
                  <w:vAlign w:val="center"/>
                </w:tcPr>
                <w:p w14:paraId="58CE4094">
                  <w:pPr>
                    <w:pStyle w:val="20"/>
                    <w:spacing w:before="31"/>
                    <w:rPr>
                      <w:rFonts w:hint="eastAsia"/>
                      <w:color w:val="auto"/>
                      <w:highlight w:val="none"/>
                    </w:rPr>
                  </w:pPr>
                  <w:r>
                    <w:rPr>
                      <w:rFonts w:hint="eastAsia"/>
                      <w:color w:val="auto"/>
                      <w:highlight w:val="none"/>
                    </w:rPr>
                    <w:t>交有资质单位处置</w:t>
                  </w:r>
                </w:p>
              </w:tc>
              <w:tc>
                <w:tcPr>
                  <w:tcW w:w="265" w:type="pct"/>
                  <w:shd w:val="clear" w:color="auto" w:fill="auto"/>
                  <w:tcMar>
                    <w:top w:w="0" w:type="dxa"/>
                    <w:left w:w="57" w:type="dxa"/>
                    <w:bottom w:w="0" w:type="dxa"/>
                    <w:right w:w="57" w:type="dxa"/>
                  </w:tcMar>
                  <w:vAlign w:val="center"/>
                </w:tcPr>
                <w:p w14:paraId="5A517677">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14.336</w:t>
                  </w:r>
                </w:p>
              </w:tc>
            </w:tr>
            <w:tr w14:paraId="18D9A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62" w:type="pct"/>
                  <w:tcMar>
                    <w:top w:w="0" w:type="dxa"/>
                    <w:left w:w="57" w:type="dxa"/>
                    <w:bottom w:w="0" w:type="dxa"/>
                    <w:right w:w="57" w:type="dxa"/>
                  </w:tcMar>
                  <w:vAlign w:val="center"/>
                </w:tcPr>
                <w:p w14:paraId="2B19A198">
                  <w:pPr>
                    <w:pStyle w:val="20"/>
                    <w:spacing w:before="31"/>
                    <w:rPr>
                      <w:rFonts w:hint="default" w:eastAsia="宋体"/>
                      <w:color w:val="auto"/>
                      <w:highlight w:val="none"/>
                      <w:lang w:val="en-US" w:eastAsia="zh-CN"/>
                    </w:rPr>
                  </w:pPr>
                  <w:r>
                    <w:rPr>
                      <w:rFonts w:hint="eastAsia"/>
                      <w:color w:val="auto"/>
                      <w:highlight w:val="none"/>
                      <w:lang w:val="en-US" w:eastAsia="zh-CN"/>
                    </w:rPr>
                    <w:t>17</w:t>
                  </w:r>
                </w:p>
              </w:tc>
              <w:tc>
                <w:tcPr>
                  <w:tcW w:w="361" w:type="pct"/>
                  <w:tcMar>
                    <w:top w:w="0" w:type="dxa"/>
                    <w:left w:w="57" w:type="dxa"/>
                    <w:bottom w:w="0" w:type="dxa"/>
                    <w:right w:w="57" w:type="dxa"/>
                  </w:tcMar>
                  <w:vAlign w:val="center"/>
                </w:tcPr>
                <w:p w14:paraId="2B33BED0">
                  <w:pPr>
                    <w:pStyle w:val="20"/>
                    <w:spacing w:before="31"/>
                    <w:rPr>
                      <w:color w:val="auto"/>
                      <w:highlight w:val="none"/>
                    </w:rPr>
                  </w:pPr>
                  <w:r>
                    <w:rPr>
                      <w:rFonts w:hint="eastAsia"/>
                      <w:color w:val="auto"/>
                      <w:highlight w:val="none"/>
                    </w:rPr>
                    <w:t>生活垃圾</w:t>
                  </w:r>
                </w:p>
              </w:tc>
              <w:tc>
                <w:tcPr>
                  <w:tcW w:w="283" w:type="pct"/>
                  <w:tcMar>
                    <w:top w:w="0" w:type="dxa"/>
                    <w:left w:w="57" w:type="dxa"/>
                    <w:bottom w:w="0" w:type="dxa"/>
                    <w:right w:w="57" w:type="dxa"/>
                  </w:tcMar>
                  <w:vAlign w:val="center"/>
                </w:tcPr>
                <w:p w14:paraId="5A8B80D4">
                  <w:pPr>
                    <w:pStyle w:val="20"/>
                    <w:spacing w:before="31"/>
                    <w:rPr>
                      <w:color w:val="auto"/>
                      <w:highlight w:val="none"/>
                    </w:rPr>
                  </w:pPr>
                  <w:r>
                    <w:rPr>
                      <w:rFonts w:hint="eastAsia"/>
                      <w:color w:val="auto"/>
                      <w:highlight w:val="none"/>
                    </w:rPr>
                    <w:t>员工生活</w:t>
                  </w:r>
                </w:p>
              </w:tc>
              <w:tc>
                <w:tcPr>
                  <w:tcW w:w="225" w:type="pct"/>
                  <w:tcMar>
                    <w:top w:w="0" w:type="dxa"/>
                    <w:left w:w="57" w:type="dxa"/>
                    <w:bottom w:w="0" w:type="dxa"/>
                    <w:right w:w="57" w:type="dxa"/>
                  </w:tcMar>
                  <w:vAlign w:val="center"/>
                </w:tcPr>
                <w:p w14:paraId="4B749985">
                  <w:pPr>
                    <w:pStyle w:val="20"/>
                    <w:spacing w:before="31"/>
                    <w:rPr>
                      <w:color w:val="auto"/>
                      <w:highlight w:val="none"/>
                    </w:rPr>
                  </w:pPr>
                  <w:r>
                    <w:rPr>
                      <w:rFonts w:hint="eastAsia"/>
                      <w:color w:val="auto"/>
                      <w:highlight w:val="none"/>
                    </w:rPr>
                    <w:t>生活垃圾</w:t>
                  </w:r>
                </w:p>
              </w:tc>
              <w:tc>
                <w:tcPr>
                  <w:tcW w:w="466" w:type="pct"/>
                  <w:tcMar>
                    <w:top w:w="0" w:type="dxa"/>
                    <w:left w:w="57" w:type="dxa"/>
                    <w:bottom w:w="0" w:type="dxa"/>
                    <w:right w:w="57" w:type="dxa"/>
                  </w:tcMar>
                  <w:vAlign w:val="center"/>
                </w:tcPr>
                <w:p w14:paraId="06BD8AEE">
                  <w:pPr>
                    <w:pStyle w:val="20"/>
                    <w:spacing w:before="31"/>
                    <w:rPr>
                      <w:color w:val="auto"/>
                      <w:highlight w:val="none"/>
                    </w:rPr>
                  </w:pPr>
                  <w:r>
                    <w:rPr>
                      <w:rFonts w:hint="eastAsia"/>
                      <w:color w:val="auto"/>
                      <w:highlight w:val="none"/>
                    </w:rPr>
                    <w:t>/</w:t>
                  </w:r>
                </w:p>
              </w:tc>
              <w:tc>
                <w:tcPr>
                  <w:tcW w:w="326" w:type="pct"/>
                  <w:tcMar>
                    <w:top w:w="0" w:type="dxa"/>
                    <w:left w:w="57" w:type="dxa"/>
                    <w:bottom w:w="0" w:type="dxa"/>
                    <w:right w:w="57" w:type="dxa"/>
                  </w:tcMar>
                  <w:vAlign w:val="center"/>
                </w:tcPr>
                <w:p w14:paraId="2AF0BDE5">
                  <w:pPr>
                    <w:pStyle w:val="20"/>
                    <w:spacing w:before="31"/>
                    <w:rPr>
                      <w:color w:val="auto"/>
                      <w:highlight w:val="none"/>
                    </w:rPr>
                  </w:pPr>
                  <w:r>
                    <w:rPr>
                      <w:rFonts w:hint="eastAsia"/>
                      <w:color w:val="auto"/>
                      <w:highlight w:val="none"/>
                    </w:rPr>
                    <w:t>/</w:t>
                  </w:r>
                </w:p>
              </w:tc>
              <w:tc>
                <w:tcPr>
                  <w:tcW w:w="230" w:type="pct"/>
                  <w:tcMar>
                    <w:top w:w="0" w:type="dxa"/>
                    <w:left w:w="57" w:type="dxa"/>
                    <w:bottom w:w="0" w:type="dxa"/>
                    <w:right w:w="57" w:type="dxa"/>
                  </w:tcMar>
                  <w:vAlign w:val="center"/>
                </w:tcPr>
                <w:p w14:paraId="48BBD13E">
                  <w:pPr>
                    <w:pStyle w:val="20"/>
                    <w:spacing w:before="31"/>
                    <w:rPr>
                      <w:color w:val="auto"/>
                      <w:highlight w:val="none"/>
                    </w:rPr>
                  </w:pPr>
                  <w:r>
                    <w:rPr>
                      <w:rFonts w:hint="eastAsia"/>
                      <w:color w:val="auto"/>
                      <w:highlight w:val="none"/>
                    </w:rPr>
                    <w:t>固</w:t>
                  </w:r>
                </w:p>
              </w:tc>
              <w:tc>
                <w:tcPr>
                  <w:tcW w:w="328" w:type="pct"/>
                  <w:tcMar>
                    <w:top w:w="0" w:type="dxa"/>
                    <w:left w:w="57" w:type="dxa"/>
                    <w:bottom w:w="0" w:type="dxa"/>
                    <w:right w:w="57" w:type="dxa"/>
                  </w:tcMar>
                  <w:vAlign w:val="center"/>
                </w:tcPr>
                <w:p w14:paraId="64477612">
                  <w:pPr>
                    <w:pStyle w:val="20"/>
                    <w:spacing w:before="31"/>
                    <w:rPr>
                      <w:color w:val="auto"/>
                      <w:highlight w:val="none"/>
                    </w:rPr>
                  </w:pPr>
                  <w:r>
                    <w:rPr>
                      <w:rFonts w:hint="eastAsia"/>
                      <w:color w:val="auto"/>
                      <w:highlight w:val="none"/>
                    </w:rPr>
                    <w:t>/</w:t>
                  </w:r>
                </w:p>
              </w:tc>
              <w:tc>
                <w:tcPr>
                  <w:tcW w:w="357" w:type="pct"/>
                  <w:tcMar>
                    <w:top w:w="0" w:type="dxa"/>
                    <w:left w:w="57" w:type="dxa"/>
                    <w:bottom w:w="0" w:type="dxa"/>
                    <w:right w:w="57" w:type="dxa"/>
                  </w:tcMar>
                  <w:vAlign w:val="center"/>
                </w:tcPr>
                <w:p w14:paraId="3360B1D7">
                  <w:pPr>
                    <w:pStyle w:val="20"/>
                    <w:spacing w:before="31"/>
                    <w:rPr>
                      <w:color w:val="auto"/>
                      <w:highlight w:val="none"/>
                    </w:rPr>
                  </w:pPr>
                  <w:r>
                    <w:rPr>
                      <w:rFonts w:hint="eastAsia"/>
                      <w:color w:val="auto"/>
                      <w:highlight w:val="none"/>
                    </w:rPr>
                    <w:t>9</w:t>
                  </w:r>
                </w:p>
              </w:tc>
              <w:tc>
                <w:tcPr>
                  <w:tcW w:w="292" w:type="pct"/>
                  <w:tcMar>
                    <w:top w:w="0" w:type="dxa"/>
                    <w:left w:w="57" w:type="dxa"/>
                    <w:bottom w:w="0" w:type="dxa"/>
                    <w:right w:w="57" w:type="dxa"/>
                  </w:tcMar>
                  <w:vAlign w:val="center"/>
                </w:tcPr>
                <w:p w14:paraId="1E5DED36">
                  <w:pPr>
                    <w:pStyle w:val="20"/>
                    <w:spacing w:before="31"/>
                    <w:rPr>
                      <w:color w:val="auto"/>
                      <w:highlight w:val="none"/>
                    </w:rPr>
                  </w:pPr>
                  <w:r>
                    <w:rPr>
                      <w:rFonts w:hint="eastAsia"/>
                      <w:color w:val="auto"/>
                      <w:highlight w:val="none"/>
                    </w:rPr>
                    <w:t>每天</w:t>
                  </w:r>
                </w:p>
              </w:tc>
              <w:tc>
                <w:tcPr>
                  <w:tcW w:w="299" w:type="pct"/>
                  <w:tcMar>
                    <w:top w:w="0" w:type="dxa"/>
                    <w:left w:w="57" w:type="dxa"/>
                    <w:bottom w:w="0" w:type="dxa"/>
                    <w:right w:w="57" w:type="dxa"/>
                  </w:tcMar>
                  <w:vAlign w:val="center"/>
                </w:tcPr>
                <w:p w14:paraId="52CCCFA8">
                  <w:pPr>
                    <w:pStyle w:val="20"/>
                    <w:spacing w:before="31"/>
                    <w:rPr>
                      <w:color w:val="auto"/>
                      <w:highlight w:val="none"/>
                    </w:rPr>
                  </w:pPr>
                  <w:r>
                    <w:rPr>
                      <w:rFonts w:hint="eastAsia"/>
                      <w:color w:val="auto"/>
                      <w:highlight w:val="none"/>
                    </w:rPr>
                    <w:t>每天</w:t>
                  </w:r>
                </w:p>
              </w:tc>
              <w:tc>
                <w:tcPr>
                  <w:tcW w:w="337" w:type="pct"/>
                  <w:tcMar>
                    <w:top w:w="0" w:type="dxa"/>
                    <w:left w:w="57" w:type="dxa"/>
                    <w:bottom w:w="0" w:type="dxa"/>
                    <w:right w:w="57" w:type="dxa"/>
                  </w:tcMar>
                  <w:vAlign w:val="center"/>
                </w:tcPr>
                <w:p w14:paraId="4F569101">
                  <w:pPr>
                    <w:pStyle w:val="20"/>
                    <w:spacing w:before="31"/>
                    <w:rPr>
                      <w:color w:val="auto"/>
                      <w:highlight w:val="none"/>
                    </w:rPr>
                  </w:pPr>
                  <w:r>
                    <w:rPr>
                      <w:rFonts w:hint="eastAsia"/>
                      <w:color w:val="auto"/>
                      <w:highlight w:val="none"/>
                    </w:rPr>
                    <w:t>/</w:t>
                  </w:r>
                </w:p>
              </w:tc>
              <w:tc>
                <w:tcPr>
                  <w:tcW w:w="618" w:type="pct"/>
                  <w:tcMar>
                    <w:top w:w="0" w:type="dxa"/>
                    <w:left w:w="57" w:type="dxa"/>
                    <w:bottom w:w="0" w:type="dxa"/>
                    <w:right w:w="57" w:type="dxa"/>
                  </w:tcMar>
                  <w:vAlign w:val="center"/>
                </w:tcPr>
                <w:p w14:paraId="50CF3F0B">
                  <w:pPr>
                    <w:pStyle w:val="20"/>
                    <w:spacing w:before="31"/>
                    <w:rPr>
                      <w:color w:val="auto"/>
                      <w:highlight w:val="none"/>
                    </w:rPr>
                  </w:pPr>
                  <w:r>
                    <w:rPr>
                      <w:rFonts w:hint="eastAsia"/>
                      <w:color w:val="auto"/>
                      <w:highlight w:val="none"/>
                    </w:rPr>
                    <w:t>垃圾桶</w:t>
                  </w:r>
                </w:p>
              </w:tc>
              <w:tc>
                <w:tcPr>
                  <w:tcW w:w="444" w:type="pct"/>
                  <w:tcMar>
                    <w:top w:w="0" w:type="dxa"/>
                    <w:left w:w="57" w:type="dxa"/>
                    <w:bottom w:w="0" w:type="dxa"/>
                    <w:right w:w="57" w:type="dxa"/>
                  </w:tcMar>
                  <w:vAlign w:val="center"/>
                </w:tcPr>
                <w:p w14:paraId="572C4784">
                  <w:pPr>
                    <w:pStyle w:val="20"/>
                    <w:spacing w:before="31"/>
                    <w:rPr>
                      <w:color w:val="auto"/>
                      <w:highlight w:val="none"/>
                    </w:rPr>
                  </w:pPr>
                  <w:r>
                    <w:rPr>
                      <w:rFonts w:hint="eastAsia"/>
                      <w:color w:val="auto"/>
                      <w:highlight w:val="none"/>
                    </w:rPr>
                    <w:t>环卫清运</w:t>
                  </w:r>
                </w:p>
              </w:tc>
              <w:tc>
                <w:tcPr>
                  <w:tcW w:w="265" w:type="pct"/>
                  <w:shd w:val="clear" w:color="auto" w:fill="auto"/>
                  <w:tcMar>
                    <w:top w:w="0" w:type="dxa"/>
                    <w:left w:w="57" w:type="dxa"/>
                    <w:bottom w:w="0" w:type="dxa"/>
                    <w:right w:w="57" w:type="dxa"/>
                  </w:tcMar>
                  <w:vAlign w:val="center"/>
                </w:tcPr>
                <w:p w14:paraId="75EDB5B5">
                  <w:pPr>
                    <w:pStyle w:val="20"/>
                    <w:spacing w:before="31"/>
                    <w:rPr>
                      <w:rFonts w:ascii="Times New Roman" w:hAnsi="Times New Roman" w:eastAsia="宋体" w:cs="宋体"/>
                      <w:color w:val="auto"/>
                      <w:kern w:val="2"/>
                      <w:sz w:val="21"/>
                      <w:szCs w:val="21"/>
                      <w:highlight w:val="none"/>
                      <w:lang w:val="en-US" w:eastAsia="zh-CN" w:bidi="ar-SA"/>
                    </w:rPr>
                  </w:pPr>
                  <w:r>
                    <w:rPr>
                      <w:rFonts w:hint="eastAsia"/>
                      <w:color w:val="auto"/>
                      <w:highlight w:val="none"/>
                    </w:rPr>
                    <w:t>9</w:t>
                  </w:r>
                </w:p>
              </w:tc>
            </w:tr>
          </w:tbl>
          <w:p w14:paraId="3171F512">
            <w:pPr>
              <w:pStyle w:val="18"/>
              <w:bidi w:val="0"/>
              <w:rPr>
                <w:rFonts w:hint="eastAsia"/>
                <w:color w:val="auto"/>
                <w:highlight w:val="none"/>
                <w:lang w:val="en-US" w:eastAsia="zh-CN"/>
              </w:rPr>
            </w:pPr>
            <w:r>
              <w:rPr>
                <w:rFonts w:hint="eastAsia"/>
                <w:color w:val="auto"/>
                <w:highlight w:val="none"/>
                <w:lang w:val="en-US" w:eastAsia="zh-CN"/>
              </w:rPr>
              <w:t>根据项目扩建后全厂固体废物产生情况和现有项目固废产生情况，统计扩建项目实际固废产生情况见下表：</w:t>
            </w:r>
          </w:p>
          <w:p w14:paraId="36B69A65">
            <w:pPr>
              <w:pStyle w:val="19"/>
              <w:bidi w:val="0"/>
              <w:rPr>
                <w:rFonts w:hint="default"/>
                <w:color w:val="auto"/>
                <w:highlight w:val="none"/>
                <w:lang w:val="en-US" w:eastAsia="zh-CN"/>
              </w:rPr>
            </w:pPr>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20</w:t>
            </w:r>
            <w:r>
              <w:rPr>
                <w:color w:val="auto"/>
                <w:highlight w:val="none"/>
              </w:rPr>
              <w:fldChar w:fldCharType="end"/>
            </w:r>
            <w:r>
              <w:rPr>
                <w:rFonts w:hint="eastAsia"/>
                <w:color w:val="auto"/>
                <w:highlight w:val="none"/>
                <w:lang w:val="en-US" w:eastAsia="zh-CN"/>
              </w:rPr>
              <w:t xml:space="preserve"> 扩建项目固废污染物产生量统计一览表</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540"/>
              <w:gridCol w:w="2416"/>
              <w:gridCol w:w="828"/>
              <w:gridCol w:w="1106"/>
              <w:gridCol w:w="1111"/>
              <w:gridCol w:w="1103"/>
              <w:gridCol w:w="2198"/>
              <w:gridCol w:w="828"/>
              <w:gridCol w:w="1106"/>
              <w:gridCol w:w="1111"/>
            </w:tblGrid>
            <w:tr w14:paraId="75564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577" w:type="pct"/>
                  <w:vMerge w:val="restart"/>
                  <w:shd w:val="clear" w:color="auto" w:fill="auto"/>
                  <w:vAlign w:val="center"/>
                </w:tcPr>
                <w:p w14:paraId="10BEB350">
                  <w:pPr>
                    <w:pStyle w:val="20"/>
                    <w:bidi w:val="0"/>
                    <w:rPr>
                      <w:rFonts w:hint="default"/>
                      <w:b/>
                      <w:bCs/>
                      <w:color w:val="auto"/>
                      <w:highlight w:val="none"/>
                      <w:lang w:val="en-US" w:eastAsia="zh-CN"/>
                    </w:rPr>
                  </w:pPr>
                  <w:r>
                    <w:rPr>
                      <w:rFonts w:hint="eastAsia"/>
                      <w:b/>
                      <w:bCs/>
                      <w:color w:val="auto"/>
                      <w:highlight w:val="none"/>
                      <w:lang w:val="en-US" w:eastAsia="zh-CN"/>
                    </w:rPr>
                    <w:t>类别</w:t>
                  </w:r>
                </w:p>
              </w:tc>
              <w:tc>
                <w:tcPr>
                  <w:tcW w:w="905" w:type="pct"/>
                  <w:vMerge w:val="restart"/>
                  <w:shd w:val="clear" w:color="auto" w:fill="auto"/>
                  <w:vAlign w:val="center"/>
                </w:tcPr>
                <w:p w14:paraId="33A77325">
                  <w:pPr>
                    <w:pStyle w:val="20"/>
                    <w:bidi w:val="0"/>
                    <w:rPr>
                      <w:rFonts w:hint="default"/>
                      <w:b/>
                      <w:bCs/>
                      <w:color w:val="auto"/>
                      <w:highlight w:val="none"/>
                      <w:lang w:val="en-US" w:eastAsia="zh-CN"/>
                    </w:rPr>
                  </w:pPr>
                  <w:r>
                    <w:rPr>
                      <w:rFonts w:hint="eastAsia"/>
                      <w:b/>
                      <w:bCs/>
                      <w:color w:val="auto"/>
                      <w:highlight w:val="none"/>
                      <w:lang w:val="en-US" w:eastAsia="zh-CN"/>
                    </w:rPr>
                    <w:t>固废名称</w:t>
                  </w:r>
                </w:p>
              </w:tc>
              <w:tc>
                <w:tcPr>
                  <w:tcW w:w="1140" w:type="pct"/>
                  <w:gridSpan w:val="3"/>
                  <w:tcBorders>
                    <w:right w:val="double" w:color="auto" w:sz="4" w:space="0"/>
                  </w:tcBorders>
                  <w:shd w:val="clear" w:color="auto" w:fill="auto"/>
                  <w:noWrap/>
                  <w:vAlign w:val="center"/>
                </w:tcPr>
                <w:p w14:paraId="3D05D0E9">
                  <w:pPr>
                    <w:pStyle w:val="20"/>
                    <w:bidi w:val="0"/>
                    <w:rPr>
                      <w:rFonts w:hint="default"/>
                      <w:b/>
                      <w:bCs/>
                      <w:color w:val="auto"/>
                      <w:highlight w:val="none"/>
                      <w:lang w:val="en-US" w:eastAsia="zh-CN"/>
                    </w:rPr>
                  </w:pPr>
                  <w:r>
                    <w:rPr>
                      <w:rFonts w:hint="eastAsia"/>
                      <w:b/>
                      <w:bCs/>
                      <w:color w:val="auto"/>
                      <w:highlight w:val="none"/>
                      <w:lang w:val="en-US" w:eastAsia="zh-CN"/>
                    </w:rPr>
                    <w:t>固废产生量t/a</w:t>
                  </w:r>
                </w:p>
              </w:tc>
              <w:tc>
                <w:tcPr>
                  <w:tcW w:w="413" w:type="pct"/>
                  <w:vMerge w:val="restart"/>
                  <w:tcBorders>
                    <w:left w:val="double" w:color="auto" w:sz="4" w:space="0"/>
                  </w:tcBorders>
                  <w:shd w:val="clear" w:color="auto" w:fill="auto"/>
                  <w:noWrap/>
                  <w:vAlign w:val="center"/>
                </w:tcPr>
                <w:p w14:paraId="22EC5CA9">
                  <w:pPr>
                    <w:pStyle w:val="20"/>
                    <w:bidi w:val="0"/>
                    <w:rPr>
                      <w:rFonts w:hint="eastAsia"/>
                      <w:b/>
                      <w:bCs/>
                      <w:color w:val="auto"/>
                      <w:highlight w:val="none"/>
                      <w:lang w:val="en-US" w:eastAsia="zh-CN"/>
                    </w:rPr>
                  </w:pPr>
                  <w:r>
                    <w:rPr>
                      <w:rFonts w:hint="eastAsia"/>
                      <w:b/>
                      <w:bCs/>
                      <w:color w:val="auto"/>
                      <w:highlight w:val="none"/>
                      <w:lang w:val="en-US" w:eastAsia="zh-CN"/>
                    </w:rPr>
                    <w:t>类别</w:t>
                  </w:r>
                </w:p>
              </w:tc>
              <w:tc>
                <w:tcPr>
                  <w:tcW w:w="823" w:type="pct"/>
                  <w:vMerge w:val="restart"/>
                  <w:shd w:val="clear" w:color="auto" w:fill="auto"/>
                  <w:noWrap/>
                  <w:vAlign w:val="center"/>
                </w:tcPr>
                <w:p w14:paraId="0F99E793">
                  <w:pPr>
                    <w:pStyle w:val="20"/>
                    <w:bidi w:val="0"/>
                    <w:rPr>
                      <w:rFonts w:hint="eastAsia"/>
                      <w:b/>
                      <w:bCs/>
                      <w:color w:val="auto"/>
                      <w:highlight w:val="none"/>
                      <w:lang w:val="en-US" w:eastAsia="zh-CN"/>
                    </w:rPr>
                  </w:pPr>
                  <w:r>
                    <w:rPr>
                      <w:rFonts w:hint="eastAsia"/>
                      <w:b/>
                      <w:bCs/>
                      <w:color w:val="auto"/>
                      <w:highlight w:val="none"/>
                      <w:lang w:val="en-US" w:eastAsia="zh-CN"/>
                    </w:rPr>
                    <w:t>固废名称</w:t>
                  </w:r>
                </w:p>
              </w:tc>
              <w:tc>
                <w:tcPr>
                  <w:tcW w:w="1140" w:type="pct"/>
                  <w:gridSpan w:val="3"/>
                  <w:shd w:val="clear" w:color="auto" w:fill="auto"/>
                  <w:noWrap/>
                  <w:vAlign w:val="center"/>
                </w:tcPr>
                <w:p w14:paraId="66E2B3B1">
                  <w:pPr>
                    <w:pStyle w:val="20"/>
                    <w:bidi w:val="0"/>
                    <w:rPr>
                      <w:rFonts w:hint="eastAsia"/>
                      <w:b/>
                      <w:bCs/>
                      <w:color w:val="auto"/>
                      <w:highlight w:val="none"/>
                      <w:lang w:val="en-US" w:eastAsia="zh-CN"/>
                    </w:rPr>
                  </w:pPr>
                  <w:r>
                    <w:rPr>
                      <w:rFonts w:hint="eastAsia"/>
                      <w:b/>
                      <w:bCs/>
                      <w:color w:val="auto"/>
                      <w:highlight w:val="none"/>
                      <w:lang w:val="en-US" w:eastAsia="zh-CN"/>
                    </w:rPr>
                    <w:t>固废产生量t/a</w:t>
                  </w:r>
                </w:p>
              </w:tc>
            </w:tr>
            <w:tr w14:paraId="7AAF2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577" w:type="pct"/>
                  <w:vMerge w:val="continue"/>
                  <w:shd w:val="clear" w:color="auto" w:fill="auto"/>
                  <w:vAlign w:val="center"/>
                </w:tcPr>
                <w:p w14:paraId="4A1E75C4">
                  <w:pPr>
                    <w:pStyle w:val="20"/>
                    <w:bidi w:val="0"/>
                    <w:rPr>
                      <w:rFonts w:hint="default"/>
                      <w:b/>
                      <w:bCs/>
                      <w:color w:val="auto"/>
                      <w:highlight w:val="none"/>
                      <w:lang w:val="en-US" w:eastAsia="zh-CN"/>
                    </w:rPr>
                  </w:pPr>
                </w:p>
              </w:tc>
              <w:tc>
                <w:tcPr>
                  <w:tcW w:w="905" w:type="pct"/>
                  <w:vMerge w:val="continue"/>
                  <w:shd w:val="clear" w:color="auto" w:fill="auto"/>
                  <w:vAlign w:val="center"/>
                </w:tcPr>
                <w:p w14:paraId="01A6F6EA">
                  <w:pPr>
                    <w:pStyle w:val="20"/>
                    <w:bidi w:val="0"/>
                    <w:rPr>
                      <w:rFonts w:hint="default"/>
                      <w:b/>
                      <w:bCs/>
                      <w:color w:val="auto"/>
                      <w:highlight w:val="none"/>
                      <w:lang w:val="en-US" w:eastAsia="zh-CN"/>
                    </w:rPr>
                  </w:pPr>
                </w:p>
              </w:tc>
              <w:tc>
                <w:tcPr>
                  <w:tcW w:w="310" w:type="pct"/>
                  <w:shd w:val="clear" w:color="auto" w:fill="auto"/>
                  <w:noWrap/>
                  <w:vAlign w:val="center"/>
                </w:tcPr>
                <w:p w14:paraId="4AA93DE1">
                  <w:pPr>
                    <w:pStyle w:val="20"/>
                    <w:bidi w:val="0"/>
                    <w:rPr>
                      <w:rFonts w:hint="eastAsia" w:ascii="Times New Roman" w:hAnsi="Times New Roman" w:eastAsia="宋体" w:cs="宋体"/>
                      <w:b/>
                      <w:bCs/>
                      <w:color w:val="auto"/>
                      <w:kern w:val="2"/>
                      <w:sz w:val="21"/>
                      <w:szCs w:val="21"/>
                      <w:highlight w:val="none"/>
                      <w:lang w:val="en-US" w:eastAsia="zh-CN" w:bidi="ar-SA"/>
                    </w:rPr>
                  </w:pPr>
                  <w:r>
                    <w:rPr>
                      <w:rFonts w:hint="eastAsia"/>
                      <w:b/>
                      <w:bCs/>
                      <w:color w:val="auto"/>
                      <w:highlight w:val="none"/>
                      <w:lang w:val="en-US" w:eastAsia="zh-CN"/>
                    </w:rPr>
                    <w:t>全厂</w:t>
                  </w:r>
                </w:p>
              </w:tc>
              <w:tc>
                <w:tcPr>
                  <w:tcW w:w="414" w:type="pct"/>
                  <w:shd w:val="clear" w:color="auto" w:fill="auto"/>
                  <w:noWrap/>
                  <w:vAlign w:val="center"/>
                </w:tcPr>
                <w:p w14:paraId="05306766">
                  <w:pPr>
                    <w:pStyle w:val="20"/>
                    <w:bidi w:val="0"/>
                    <w:rPr>
                      <w:rFonts w:hint="default" w:ascii="Times New Roman" w:hAnsi="Times New Roman" w:eastAsia="宋体" w:cs="宋体"/>
                      <w:b/>
                      <w:bCs/>
                      <w:color w:val="auto"/>
                      <w:kern w:val="2"/>
                      <w:sz w:val="21"/>
                      <w:szCs w:val="21"/>
                      <w:highlight w:val="none"/>
                      <w:lang w:val="en-US" w:eastAsia="zh-CN" w:bidi="ar-SA"/>
                    </w:rPr>
                  </w:pPr>
                  <w:r>
                    <w:rPr>
                      <w:rFonts w:hint="eastAsia"/>
                      <w:b/>
                      <w:bCs/>
                      <w:color w:val="auto"/>
                      <w:highlight w:val="none"/>
                      <w:lang w:val="en-US" w:eastAsia="zh-CN"/>
                    </w:rPr>
                    <w:t>现有项目</w:t>
                  </w:r>
                </w:p>
              </w:tc>
              <w:tc>
                <w:tcPr>
                  <w:tcW w:w="415" w:type="pct"/>
                  <w:tcBorders>
                    <w:right w:val="double" w:color="auto" w:sz="4" w:space="0"/>
                  </w:tcBorders>
                  <w:shd w:val="clear" w:color="auto" w:fill="auto"/>
                  <w:noWrap/>
                  <w:vAlign w:val="center"/>
                </w:tcPr>
                <w:p w14:paraId="42360D87">
                  <w:pPr>
                    <w:pStyle w:val="20"/>
                    <w:bidi w:val="0"/>
                    <w:rPr>
                      <w:rFonts w:hint="eastAsia" w:ascii="Times New Roman" w:hAnsi="Times New Roman" w:eastAsia="宋体" w:cs="宋体"/>
                      <w:b/>
                      <w:bCs/>
                      <w:color w:val="auto"/>
                      <w:kern w:val="2"/>
                      <w:sz w:val="21"/>
                      <w:szCs w:val="21"/>
                      <w:highlight w:val="none"/>
                      <w:lang w:val="en-US" w:eastAsia="zh-CN" w:bidi="ar-SA"/>
                    </w:rPr>
                  </w:pPr>
                  <w:r>
                    <w:rPr>
                      <w:rFonts w:hint="eastAsia"/>
                      <w:b/>
                      <w:bCs/>
                      <w:color w:val="auto"/>
                      <w:highlight w:val="none"/>
                      <w:lang w:val="en-US" w:eastAsia="zh-CN"/>
                    </w:rPr>
                    <w:t>扩建项目</w:t>
                  </w:r>
                </w:p>
              </w:tc>
              <w:tc>
                <w:tcPr>
                  <w:tcW w:w="413" w:type="pct"/>
                  <w:vMerge w:val="continue"/>
                  <w:tcBorders>
                    <w:left w:val="double" w:color="auto" w:sz="4" w:space="0"/>
                  </w:tcBorders>
                  <w:shd w:val="clear" w:color="auto" w:fill="auto"/>
                  <w:noWrap/>
                  <w:vAlign w:val="center"/>
                </w:tcPr>
                <w:p w14:paraId="744CF8EB">
                  <w:pPr>
                    <w:pStyle w:val="20"/>
                    <w:bidi w:val="0"/>
                    <w:rPr>
                      <w:rFonts w:hint="eastAsia"/>
                      <w:b/>
                      <w:bCs/>
                      <w:color w:val="auto"/>
                      <w:highlight w:val="none"/>
                      <w:lang w:val="en-US" w:eastAsia="zh-CN"/>
                    </w:rPr>
                  </w:pPr>
                </w:p>
              </w:tc>
              <w:tc>
                <w:tcPr>
                  <w:tcW w:w="823" w:type="pct"/>
                  <w:vMerge w:val="continue"/>
                  <w:shd w:val="clear" w:color="auto" w:fill="auto"/>
                  <w:noWrap/>
                  <w:vAlign w:val="center"/>
                </w:tcPr>
                <w:p w14:paraId="126ACB0B">
                  <w:pPr>
                    <w:pStyle w:val="20"/>
                    <w:bidi w:val="0"/>
                    <w:rPr>
                      <w:rFonts w:hint="eastAsia"/>
                      <w:b/>
                      <w:bCs/>
                      <w:color w:val="auto"/>
                      <w:highlight w:val="none"/>
                      <w:lang w:val="en-US" w:eastAsia="zh-CN"/>
                    </w:rPr>
                  </w:pPr>
                </w:p>
              </w:tc>
              <w:tc>
                <w:tcPr>
                  <w:tcW w:w="310" w:type="pct"/>
                  <w:shd w:val="clear" w:color="auto" w:fill="auto"/>
                  <w:noWrap/>
                  <w:vAlign w:val="center"/>
                </w:tcPr>
                <w:p w14:paraId="15EF8350">
                  <w:pPr>
                    <w:pStyle w:val="20"/>
                    <w:bidi w:val="0"/>
                    <w:rPr>
                      <w:rFonts w:hint="eastAsia" w:ascii="Times New Roman" w:hAnsi="Times New Roman" w:eastAsia="宋体" w:cs="宋体"/>
                      <w:b/>
                      <w:bCs/>
                      <w:color w:val="auto"/>
                      <w:kern w:val="2"/>
                      <w:sz w:val="21"/>
                      <w:szCs w:val="21"/>
                      <w:highlight w:val="none"/>
                      <w:lang w:val="en-US" w:eastAsia="zh-CN" w:bidi="ar-SA"/>
                    </w:rPr>
                  </w:pPr>
                  <w:r>
                    <w:rPr>
                      <w:rFonts w:hint="eastAsia"/>
                      <w:b/>
                      <w:bCs/>
                      <w:color w:val="auto"/>
                      <w:highlight w:val="none"/>
                      <w:lang w:val="en-US" w:eastAsia="zh-CN"/>
                    </w:rPr>
                    <w:t>全厂</w:t>
                  </w:r>
                </w:p>
              </w:tc>
              <w:tc>
                <w:tcPr>
                  <w:tcW w:w="414" w:type="pct"/>
                  <w:shd w:val="clear" w:color="auto" w:fill="auto"/>
                  <w:noWrap/>
                  <w:vAlign w:val="center"/>
                </w:tcPr>
                <w:p w14:paraId="57BA1166">
                  <w:pPr>
                    <w:pStyle w:val="20"/>
                    <w:bidi w:val="0"/>
                    <w:rPr>
                      <w:rFonts w:hint="eastAsia" w:ascii="Times New Roman" w:hAnsi="Times New Roman" w:eastAsia="宋体" w:cs="宋体"/>
                      <w:b/>
                      <w:bCs/>
                      <w:color w:val="auto"/>
                      <w:kern w:val="2"/>
                      <w:sz w:val="21"/>
                      <w:szCs w:val="21"/>
                      <w:highlight w:val="none"/>
                      <w:lang w:val="en-US" w:eastAsia="zh-CN" w:bidi="ar-SA"/>
                    </w:rPr>
                  </w:pPr>
                  <w:r>
                    <w:rPr>
                      <w:rFonts w:hint="eastAsia"/>
                      <w:b/>
                      <w:bCs/>
                      <w:color w:val="auto"/>
                      <w:highlight w:val="none"/>
                      <w:lang w:val="en-US" w:eastAsia="zh-CN"/>
                    </w:rPr>
                    <w:t>现有项目</w:t>
                  </w:r>
                </w:p>
              </w:tc>
              <w:tc>
                <w:tcPr>
                  <w:tcW w:w="415" w:type="pct"/>
                  <w:shd w:val="clear" w:color="auto" w:fill="auto"/>
                  <w:noWrap/>
                  <w:vAlign w:val="center"/>
                </w:tcPr>
                <w:p w14:paraId="660E2D81">
                  <w:pPr>
                    <w:pStyle w:val="20"/>
                    <w:bidi w:val="0"/>
                    <w:rPr>
                      <w:rFonts w:hint="eastAsia" w:ascii="Times New Roman" w:hAnsi="Times New Roman" w:eastAsia="宋体" w:cs="宋体"/>
                      <w:b/>
                      <w:bCs/>
                      <w:color w:val="auto"/>
                      <w:kern w:val="2"/>
                      <w:sz w:val="21"/>
                      <w:szCs w:val="21"/>
                      <w:highlight w:val="none"/>
                      <w:lang w:val="en-US" w:eastAsia="zh-CN" w:bidi="ar-SA"/>
                    </w:rPr>
                  </w:pPr>
                  <w:r>
                    <w:rPr>
                      <w:rFonts w:hint="eastAsia"/>
                      <w:b/>
                      <w:bCs/>
                      <w:color w:val="auto"/>
                      <w:highlight w:val="none"/>
                      <w:lang w:val="en-US" w:eastAsia="zh-CN"/>
                    </w:rPr>
                    <w:t>扩建项目</w:t>
                  </w:r>
                </w:p>
              </w:tc>
            </w:tr>
            <w:tr w14:paraId="404C8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577" w:type="pct"/>
                  <w:vMerge w:val="restart"/>
                  <w:shd w:val="clear" w:color="auto" w:fill="auto"/>
                  <w:vAlign w:val="center"/>
                </w:tcPr>
                <w:p w14:paraId="06C3BA79">
                  <w:pPr>
                    <w:pStyle w:val="20"/>
                    <w:bidi w:val="0"/>
                    <w:rPr>
                      <w:rFonts w:hint="default"/>
                      <w:color w:val="auto"/>
                      <w:highlight w:val="none"/>
                      <w:lang w:val="en-US" w:eastAsia="zh-CN"/>
                    </w:rPr>
                  </w:pPr>
                  <w:r>
                    <w:rPr>
                      <w:rFonts w:hint="eastAsia"/>
                      <w:color w:val="auto"/>
                      <w:highlight w:val="none"/>
                      <w:lang w:val="en-US" w:eastAsia="zh-CN"/>
                    </w:rPr>
                    <w:t>一般固体废物</w:t>
                  </w:r>
                </w:p>
              </w:tc>
              <w:tc>
                <w:tcPr>
                  <w:tcW w:w="905" w:type="pct"/>
                  <w:shd w:val="clear" w:color="auto" w:fill="auto"/>
                  <w:vAlign w:val="center"/>
                </w:tcPr>
                <w:p w14:paraId="49778222">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废原料包装</w:t>
                  </w:r>
                </w:p>
              </w:tc>
              <w:tc>
                <w:tcPr>
                  <w:tcW w:w="310" w:type="pct"/>
                  <w:shd w:val="clear" w:color="auto" w:fill="auto"/>
                  <w:noWrap/>
                  <w:vAlign w:val="center"/>
                </w:tcPr>
                <w:p w14:paraId="38D8D413">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1</w:t>
                  </w:r>
                </w:p>
              </w:tc>
              <w:tc>
                <w:tcPr>
                  <w:tcW w:w="414" w:type="pct"/>
                  <w:shd w:val="clear" w:color="auto" w:fill="auto"/>
                  <w:noWrap/>
                  <w:vAlign w:val="center"/>
                </w:tcPr>
                <w:p w14:paraId="6B6632C8">
                  <w:pPr>
                    <w:pStyle w:val="20"/>
                    <w:bidi w:val="0"/>
                    <w:rPr>
                      <w:rFonts w:hint="default"/>
                      <w:color w:val="auto"/>
                      <w:highlight w:val="none"/>
                      <w:lang w:val="en-US" w:eastAsia="zh-CN"/>
                    </w:rPr>
                  </w:pPr>
                  <w:r>
                    <w:rPr>
                      <w:rFonts w:hint="eastAsia"/>
                      <w:color w:val="auto"/>
                      <w:highlight w:val="none"/>
                      <w:lang w:val="en-US" w:eastAsia="zh-CN"/>
                    </w:rPr>
                    <w:t>0.15</w:t>
                  </w:r>
                </w:p>
              </w:tc>
              <w:tc>
                <w:tcPr>
                  <w:tcW w:w="415" w:type="pct"/>
                  <w:tcBorders>
                    <w:right w:val="double" w:color="auto" w:sz="4" w:space="0"/>
                  </w:tcBorders>
                  <w:shd w:val="clear" w:color="auto" w:fill="auto"/>
                  <w:noWrap/>
                  <w:vAlign w:val="center"/>
                </w:tcPr>
                <w:p w14:paraId="1E77DE9E">
                  <w:pPr>
                    <w:keepNext w:val="0"/>
                    <w:keepLines w:val="0"/>
                    <w:widowControl/>
                    <w:suppressLineNumbers w:val="0"/>
                    <w:jc w:val="center"/>
                    <w:textAlignment w:val="center"/>
                    <w:rPr>
                      <w:rFonts w:hint="eastAsia" w:ascii="Times New Roman" w:hAnsi="Times New Roman" w:eastAsia="宋体" w:cs="宋体"/>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0.85</w:t>
                  </w:r>
                </w:p>
              </w:tc>
              <w:tc>
                <w:tcPr>
                  <w:tcW w:w="413" w:type="pct"/>
                  <w:vMerge w:val="restart"/>
                  <w:tcBorders>
                    <w:left w:val="double" w:color="auto" w:sz="4" w:space="0"/>
                  </w:tcBorders>
                  <w:shd w:val="clear" w:color="auto" w:fill="auto"/>
                  <w:noWrap/>
                  <w:vAlign w:val="center"/>
                </w:tcPr>
                <w:p w14:paraId="037A22C1">
                  <w:pPr>
                    <w:pStyle w:val="20"/>
                    <w:bidi w:val="0"/>
                    <w:rPr>
                      <w:rFonts w:hint="default"/>
                      <w:color w:val="auto"/>
                      <w:highlight w:val="none"/>
                      <w:lang w:val="en-US" w:eastAsia="zh-CN"/>
                    </w:rPr>
                  </w:pPr>
                  <w:r>
                    <w:rPr>
                      <w:rFonts w:hint="eastAsia"/>
                      <w:color w:val="auto"/>
                      <w:highlight w:val="none"/>
                      <w:lang w:val="en-US" w:eastAsia="zh-CN"/>
                    </w:rPr>
                    <w:t>危险废物</w:t>
                  </w:r>
                </w:p>
              </w:tc>
              <w:tc>
                <w:tcPr>
                  <w:tcW w:w="823" w:type="pct"/>
                  <w:shd w:val="clear" w:color="auto" w:fill="auto"/>
                  <w:noWrap/>
                  <w:vAlign w:val="center"/>
                </w:tcPr>
                <w:p w14:paraId="611E4D29">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废液压油</w:t>
                  </w:r>
                </w:p>
              </w:tc>
              <w:tc>
                <w:tcPr>
                  <w:tcW w:w="310" w:type="pct"/>
                  <w:shd w:val="clear" w:color="auto" w:fill="auto"/>
                  <w:noWrap/>
                  <w:vAlign w:val="center"/>
                </w:tcPr>
                <w:p w14:paraId="5EA6B2A2">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0.75</w:t>
                  </w:r>
                </w:p>
              </w:tc>
              <w:tc>
                <w:tcPr>
                  <w:tcW w:w="414" w:type="pct"/>
                  <w:shd w:val="clear" w:color="auto" w:fill="auto"/>
                  <w:noWrap/>
                  <w:vAlign w:val="center"/>
                </w:tcPr>
                <w:p w14:paraId="6A3CCA7F">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0.3</w:t>
                  </w:r>
                </w:p>
              </w:tc>
              <w:tc>
                <w:tcPr>
                  <w:tcW w:w="415" w:type="pct"/>
                  <w:shd w:val="clear" w:color="auto" w:fill="auto"/>
                  <w:noWrap/>
                  <w:vAlign w:val="center"/>
                </w:tcPr>
                <w:p w14:paraId="5D2D39C7">
                  <w:pPr>
                    <w:keepNext w:val="0"/>
                    <w:keepLines w:val="0"/>
                    <w:widowControl/>
                    <w:suppressLineNumbers w:val="0"/>
                    <w:jc w:val="center"/>
                    <w:textAlignment w:val="center"/>
                    <w:rPr>
                      <w:rFonts w:hint="eastAsia" w:ascii="Times New Roman" w:hAnsi="Times New Roman" w:eastAsia="宋体" w:cstheme="minorBidi"/>
                      <w:color w:val="auto"/>
                      <w:kern w:val="2"/>
                      <w:sz w:val="24"/>
                      <w:szCs w:val="24"/>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0.45</w:t>
                  </w:r>
                </w:p>
              </w:tc>
            </w:tr>
            <w:tr w14:paraId="73B54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577" w:type="pct"/>
                  <w:vMerge w:val="continue"/>
                  <w:shd w:val="clear" w:color="auto" w:fill="auto"/>
                  <w:vAlign w:val="center"/>
                </w:tcPr>
                <w:p w14:paraId="394EE6CF">
                  <w:pPr>
                    <w:pStyle w:val="20"/>
                    <w:bidi w:val="0"/>
                    <w:rPr>
                      <w:rFonts w:hint="eastAsia"/>
                      <w:color w:val="auto"/>
                      <w:highlight w:val="none"/>
                      <w:lang w:val="en-US" w:eastAsia="zh-CN"/>
                    </w:rPr>
                  </w:pPr>
                </w:p>
              </w:tc>
              <w:tc>
                <w:tcPr>
                  <w:tcW w:w="905" w:type="pct"/>
                  <w:shd w:val="clear" w:color="auto" w:fill="auto"/>
                  <w:vAlign w:val="center"/>
                </w:tcPr>
                <w:p w14:paraId="0A9DA057">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废料</w:t>
                  </w:r>
                </w:p>
              </w:tc>
              <w:tc>
                <w:tcPr>
                  <w:tcW w:w="310" w:type="pct"/>
                  <w:shd w:val="clear" w:color="auto" w:fill="auto"/>
                  <w:noWrap/>
                  <w:vAlign w:val="center"/>
                </w:tcPr>
                <w:p w14:paraId="15E8B611">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0.211</w:t>
                  </w:r>
                </w:p>
              </w:tc>
              <w:tc>
                <w:tcPr>
                  <w:tcW w:w="414" w:type="pct"/>
                  <w:shd w:val="clear" w:color="auto" w:fill="auto"/>
                  <w:noWrap/>
                  <w:vAlign w:val="center"/>
                </w:tcPr>
                <w:p w14:paraId="21B60DBF">
                  <w:pPr>
                    <w:pStyle w:val="20"/>
                    <w:bidi w:val="0"/>
                    <w:rPr>
                      <w:rFonts w:hint="default"/>
                      <w:color w:val="auto"/>
                      <w:highlight w:val="none"/>
                      <w:lang w:val="en-US" w:eastAsia="zh-CN"/>
                    </w:rPr>
                  </w:pPr>
                  <w:r>
                    <w:rPr>
                      <w:rFonts w:hint="eastAsia"/>
                      <w:color w:val="auto"/>
                      <w:highlight w:val="none"/>
                      <w:lang w:val="en-US" w:eastAsia="zh-CN"/>
                    </w:rPr>
                    <w:t>0.03</w:t>
                  </w:r>
                </w:p>
              </w:tc>
              <w:tc>
                <w:tcPr>
                  <w:tcW w:w="415" w:type="pct"/>
                  <w:tcBorders>
                    <w:right w:val="double" w:color="auto" w:sz="4" w:space="0"/>
                  </w:tcBorders>
                  <w:shd w:val="clear" w:color="auto" w:fill="auto"/>
                  <w:noWrap/>
                  <w:vAlign w:val="center"/>
                </w:tcPr>
                <w:p w14:paraId="420C7AFE">
                  <w:pPr>
                    <w:keepNext w:val="0"/>
                    <w:keepLines w:val="0"/>
                    <w:widowControl/>
                    <w:suppressLineNumbers w:val="0"/>
                    <w:jc w:val="center"/>
                    <w:textAlignment w:val="center"/>
                    <w:rPr>
                      <w:rFonts w:hint="eastAsia" w:ascii="Times New Roman" w:hAnsi="Times New Roman" w:eastAsia="宋体" w:cs="宋体"/>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0.181</w:t>
                  </w:r>
                </w:p>
              </w:tc>
              <w:tc>
                <w:tcPr>
                  <w:tcW w:w="413" w:type="pct"/>
                  <w:vMerge w:val="continue"/>
                  <w:tcBorders>
                    <w:left w:val="double" w:color="auto" w:sz="4" w:space="0"/>
                  </w:tcBorders>
                  <w:shd w:val="clear" w:color="auto" w:fill="auto"/>
                  <w:noWrap/>
                  <w:vAlign w:val="center"/>
                </w:tcPr>
                <w:p w14:paraId="682AC610">
                  <w:pPr>
                    <w:pStyle w:val="20"/>
                    <w:bidi w:val="0"/>
                    <w:rPr>
                      <w:rFonts w:hint="eastAsia"/>
                      <w:color w:val="auto"/>
                      <w:highlight w:val="none"/>
                      <w:lang w:val="en-US" w:eastAsia="zh-CN"/>
                    </w:rPr>
                  </w:pPr>
                </w:p>
              </w:tc>
              <w:tc>
                <w:tcPr>
                  <w:tcW w:w="823" w:type="pct"/>
                  <w:shd w:val="clear" w:color="auto" w:fill="auto"/>
                  <w:noWrap/>
                  <w:vAlign w:val="center"/>
                </w:tcPr>
                <w:p w14:paraId="5CA1B158">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废零件（沾有油渍）</w:t>
                  </w:r>
                </w:p>
              </w:tc>
              <w:tc>
                <w:tcPr>
                  <w:tcW w:w="310" w:type="pct"/>
                  <w:shd w:val="clear" w:color="auto" w:fill="auto"/>
                  <w:noWrap/>
                  <w:vAlign w:val="center"/>
                </w:tcPr>
                <w:p w14:paraId="5897AC91">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0.05</w:t>
                  </w:r>
                </w:p>
              </w:tc>
              <w:tc>
                <w:tcPr>
                  <w:tcW w:w="414" w:type="pct"/>
                  <w:shd w:val="clear" w:color="auto" w:fill="auto"/>
                  <w:noWrap/>
                  <w:vAlign w:val="center"/>
                </w:tcPr>
                <w:p w14:paraId="343581C8">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0.006</w:t>
                  </w:r>
                </w:p>
              </w:tc>
              <w:tc>
                <w:tcPr>
                  <w:tcW w:w="415" w:type="pct"/>
                  <w:shd w:val="clear" w:color="auto" w:fill="auto"/>
                  <w:noWrap/>
                  <w:vAlign w:val="center"/>
                </w:tcPr>
                <w:p w14:paraId="71300203">
                  <w:pPr>
                    <w:keepNext w:val="0"/>
                    <w:keepLines w:val="0"/>
                    <w:widowControl/>
                    <w:suppressLineNumbers w:val="0"/>
                    <w:jc w:val="center"/>
                    <w:textAlignment w:val="center"/>
                    <w:rPr>
                      <w:rFonts w:hint="eastAsia" w:ascii="Times New Roman" w:hAnsi="Times New Roman" w:eastAsia="宋体" w:cstheme="minorBidi"/>
                      <w:color w:val="auto"/>
                      <w:kern w:val="2"/>
                      <w:sz w:val="24"/>
                      <w:szCs w:val="24"/>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0.044</w:t>
                  </w:r>
                </w:p>
              </w:tc>
            </w:tr>
            <w:tr w14:paraId="11F27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577" w:type="pct"/>
                  <w:vMerge w:val="continue"/>
                  <w:shd w:val="clear" w:color="auto" w:fill="auto"/>
                  <w:vAlign w:val="center"/>
                </w:tcPr>
                <w:p w14:paraId="5085E627">
                  <w:pPr>
                    <w:pStyle w:val="20"/>
                    <w:bidi w:val="0"/>
                    <w:rPr>
                      <w:rFonts w:hint="eastAsia"/>
                      <w:color w:val="auto"/>
                      <w:highlight w:val="none"/>
                      <w:lang w:val="en-US" w:eastAsia="zh-CN"/>
                    </w:rPr>
                  </w:pPr>
                </w:p>
              </w:tc>
              <w:tc>
                <w:tcPr>
                  <w:tcW w:w="905" w:type="pct"/>
                  <w:shd w:val="clear" w:color="auto" w:fill="auto"/>
                  <w:vAlign w:val="center"/>
                </w:tcPr>
                <w:p w14:paraId="74C53CB1">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边角料</w:t>
                  </w:r>
                </w:p>
              </w:tc>
              <w:tc>
                <w:tcPr>
                  <w:tcW w:w="310" w:type="pct"/>
                  <w:shd w:val="clear" w:color="auto" w:fill="auto"/>
                  <w:noWrap/>
                  <w:vAlign w:val="center"/>
                </w:tcPr>
                <w:p w14:paraId="4E6A8886">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35.05</w:t>
                  </w:r>
                </w:p>
              </w:tc>
              <w:tc>
                <w:tcPr>
                  <w:tcW w:w="414" w:type="pct"/>
                  <w:shd w:val="clear" w:color="auto" w:fill="auto"/>
                  <w:noWrap/>
                  <w:vAlign w:val="center"/>
                </w:tcPr>
                <w:p w14:paraId="41C64485">
                  <w:pPr>
                    <w:pStyle w:val="20"/>
                    <w:bidi w:val="0"/>
                    <w:rPr>
                      <w:rFonts w:hint="default"/>
                      <w:color w:val="auto"/>
                      <w:highlight w:val="none"/>
                      <w:lang w:val="en-US" w:eastAsia="zh-CN"/>
                    </w:rPr>
                  </w:pPr>
                  <w:r>
                    <w:rPr>
                      <w:rFonts w:hint="eastAsia"/>
                      <w:color w:val="auto"/>
                      <w:highlight w:val="none"/>
                      <w:lang w:val="en-US" w:eastAsia="zh-CN"/>
                    </w:rPr>
                    <w:t>3.8</w:t>
                  </w:r>
                </w:p>
              </w:tc>
              <w:tc>
                <w:tcPr>
                  <w:tcW w:w="415" w:type="pct"/>
                  <w:tcBorders>
                    <w:right w:val="double" w:color="auto" w:sz="4" w:space="0"/>
                  </w:tcBorders>
                  <w:shd w:val="clear" w:color="auto" w:fill="auto"/>
                  <w:noWrap/>
                  <w:vAlign w:val="center"/>
                </w:tcPr>
                <w:p w14:paraId="30FCCEAF">
                  <w:pPr>
                    <w:keepNext w:val="0"/>
                    <w:keepLines w:val="0"/>
                    <w:widowControl/>
                    <w:suppressLineNumbers w:val="0"/>
                    <w:jc w:val="center"/>
                    <w:textAlignment w:val="center"/>
                    <w:rPr>
                      <w:rFonts w:hint="eastAsia" w:ascii="Times New Roman" w:hAnsi="Times New Roman" w:eastAsia="宋体" w:cs="宋体"/>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31.25</w:t>
                  </w:r>
                </w:p>
              </w:tc>
              <w:tc>
                <w:tcPr>
                  <w:tcW w:w="413" w:type="pct"/>
                  <w:vMerge w:val="continue"/>
                  <w:tcBorders>
                    <w:left w:val="double" w:color="auto" w:sz="4" w:space="0"/>
                  </w:tcBorders>
                  <w:shd w:val="clear" w:color="auto" w:fill="auto"/>
                  <w:noWrap/>
                  <w:vAlign w:val="center"/>
                </w:tcPr>
                <w:p w14:paraId="2B5E027B">
                  <w:pPr>
                    <w:pStyle w:val="20"/>
                    <w:bidi w:val="0"/>
                    <w:rPr>
                      <w:rFonts w:hint="eastAsia"/>
                      <w:color w:val="auto"/>
                      <w:highlight w:val="none"/>
                      <w:lang w:val="en-US" w:eastAsia="zh-CN"/>
                    </w:rPr>
                  </w:pPr>
                </w:p>
              </w:tc>
              <w:tc>
                <w:tcPr>
                  <w:tcW w:w="823" w:type="pct"/>
                  <w:shd w:val="clear" w:color="auto" w:fill="auto"/>
                  <w:noWrap/>
                  <w:vAlign w:val="center"/>
                </w:tcPr>
                <w:p w14:paraId="0E360DD4">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废</w:t>
                  </w:r>
                  <w:r>
                    <w:rPr>
                      <w:rFonts w:hint="eastAsia"/>
                      <w:color w:val="auto"/>
                      <w:highlight w:val="none"/>
                      <w:lang w:val="en-US" w:eastAsia="zh-CN"/>
                    </w:rPr>
                    <w:t>脱模</w:t>
                  </w:r>
                  <w:r>
                    <w:rPr>
                      <w:rFonts w:hint="eastAsia"/>
                      <w:color w:val="auto"/>
                      <w:highlight w:val="none"/>
                    </w:rPr>
                    <w:t>清洗剂瓶</w:t>
                  </w:r>
                </w:p>
              </w:tc>
              <w:tc>
                <w:tcPr>
                  <w:tcW w:w="310" w:type="pct"/>
                  <w:shd w:val="clear" w:color="auto" w:fill="auto"/>
                  <w:noWrap/>
                  <w:vAlign w:val="center"/>
                </w:tcPr>
                <w:p w14:paraId="4255304A">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0.018</w:t>
                  </w:r>
                </w:p>
              </w:tc>
              <w:tc>
                <w:tcPr>
                  <w:tcW w:w="414" w:type="pct"/>
                  <w:shd w:val="clear" w:color="auto" w:fill="auto"/>
                  <w:noWrap/>
                  <w:vAlign w:val="center"/>
                </w:tcPr>
                <w:p w14:paraId="79B19DF4">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0.0024</w:t>
                  </w:r>
                </w:p>
              </w:tc>
              <w:tc>
                <w:tcPr>
                  <w:tcW w:w="415" w:type="pct"/>
                  <w:shd w:val="clear" w:color="auto" w:fill="auto"/>
                  <w:noWrap/>
                  <w:vAlign w:val="center"/>
                </w:tcPr>
                <w:p w14:paraId="7D704E50">
                  <w:pPr>
                    <w:keepNext w:val="0"/>
                    <w:keepLines w:val="0"/>
                    <w:widowControl/>
                    <w:suppressLineNumbers w:val="0"/>
                    <w:jc w:val="center"/>
                    <w:textAlignment w:val="center"/>
                    <w:rPr>
                      <w:rFonts w:hint="eastAsia" w:ascii="Times New Roman" w:hAnsi="Times New Roman" w:eastAsia="宋体" w:cstheme="minorBidi"/>
                      <w:color w:val="auto"/>
                      <w:kern w:val="2"/>
                      <w:sz w:val="24"/>
                      <w:szCs w:val="24"/>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0.0156</w:t>
                  </w:r>
                </w:p>
              </w:tc>
            </w:tr>
            <w:tr w14:paraId="3D369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577" w:type="pct"/>
                  <w:vMerge w:val="continue"/>
                  <w:shd w:val="clear" w:color="auto" w:fill="auto"/>
                  <w:vAlign w:val="center"/>
                </w:tcPr>
                <w:p w14:paraId="3CD499BC">
                  <w:pPr>
                    <w:pStyle w:val="20"/>
                    <w:bidi w:val="0"/>
                    <w:rPr>
                      <w:rFonts w:hint="eastAsia"/>
                      <w:color w:val="auto"/>
                      <w:highlight w:val="none"/>
                      <w:lang w:val="en-US" w:eastAsia="zh-CN"/>
                    </w:rPr>
                  </w:pPr>
                </w:p>
              </w:tc>
              <w:tc>
                <w:tcPr>
                  <w:tcW w:w="905" w:type="pct"/>
                  <w:shd w:val="clear" w:color="auto" w:fill="auto"/>
                  <w:vAlign w:val="center"/>
                </w:tcPr>
                <w:p w14:paraId="59C31DE6">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不合格品</w:t>
                  </w:r>
                </w:p>
              </w:tc>
              <w:tc>
                <w:tcPr>
                  <w:tcW w:w="310" w:type="pct"/>
                  <w:shd w:val="clear" w:color="auto" w:fill="auto"/>
                  <w:noWrap/>
                  <w:vAlign w:val="center"/>
                </w:tcPr>
                <w:p w14:paraId="08D194D5">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21.575</w:t>
                  </w:r>
                </w:p>
              </w:tc>
              <w:tc>
                <w:tcPr>
                  <w:tcW w:w="414" w:type="pct"/>
                  <w:shd w:val="clear" w:color="auto" w:fill="auto"/>
                  <w:noWrap/>
                  <w:vAlign w:val="center"/>
                </w:tcPr>
                <w:p w14:paraId="1F53BD6F">
                  <w:pPr>
                    <w:pStyle w:val="20"/>
                    <w:bidi w:val="0"/>
                    <w:rPr>
                      <w:rFonts w:hint="default"/>
                      <w:color w:val="auto"/>
                      <w:highlight w:val="none"/>
                      <w:lang w:val="en-US" w:eastAsia="zh-CN"/>
                    </w:rPr>
                  </w:pPr>
                  <w:r>
                    <w:rPr>
                      <w:rFonts w:hint="eastAsia"/>
                      <w:color w:val="auto"/>
                      <w:highlight w:val="none"/>
                      <w:lang w:val="en-US" w:eastAsia="zh-CN"/>
                    </w:rPr>
                    <w:t>2.75</w:t>
                  </w:r>
                </w:p>
              </w:tc>
              <w:tc>
                <w:tcPr>
                  <w:tcW w:w="415" w:type="pct"/>
                  <w:tcBorders>
                    <w:right w:val="double" w:color="auto" w:sz="4" w:space="0"/>
                  </w:tcBorders>
                  <w:shd w:val="clear" w:color="auto" w:fill="auto"/>
                  <w:noWrap/>
                  <w:vAlign w:val="center"/>
                </w:tcPr>
                <w:p w14:paraId="67B98F01">
                  <w:pPr>
                    <w:keepNext w:val="0"/>
                    <w:keepLines w:val="0"/>
                    <w:widowControl/>
                    <w:suppressLineNumbers w:val="0"/>
                    <w:jc w:val="center"/>
                    <w:textAlignment w:val="center"/>
                    <w:rPr>
                      <w:rFonts w:hint="eastAsia" w:ascii="Times New Roman" w:hAnsi="Times New Roman" w:eastAsia="宋体" w:cs="宋体"/>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18.825</w:t>
                  </w:r>
                </w:p>
              </w:tc>
              <w:tc>
                <w:tcPr>
                  <w:tcW w:w="413" w:type="pct"/>
                  <w:vMerge w:val="continue"/>
                  <w:tcBorders>
                    <w:left w:val="double" w:color="auto" w:sz="4" w:space="0"/>
                  </w:tcBorders>
                  <w:shd w:val="clear" w:color="auto" w:fill="auto"/>
                  <w:noWrap/>
                  <w:vAlign w:val="center"/>
                </w:tcPr>
                <w:p w14:paraId="759A7CE4">
                  <w:pPr>
                    <w:pStyle w:val="20"/>
                    <w:bidi w:val="0"/>
                    <w:rPr>
                      <w:rFonts w:hint="eastAsia"/>
                      <w:color w:val="auto"/>
                      <w:highlight w:val="none"/>
                      <w:lang w:val="en-US" w:eastAsia="zh-CN"/>
                    </w:rPr>
                  </w:pPr>
                </w:p>
              </w:tc>
              <w:tc>
                <w:tcPr>
                  <w:tcW w:w="823" w:type="pct"/>
                  <w:shd w:val="clear" w:color="auto" w:fill="auto"/>
                  <w:noWrap/>
                  <w:vAlign w:val="center"/>
                </w:tcPr>
                <w:p w14:paraId="2754392C">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空压机废油</w:t>
                  </w:r>
                </w:p>
              </w:tc>
              <w:tc>
                <w:tcPr>
                  <w:tcW w:w="310" w:type="pct"/>
                  <w:shd w:val="clear" w:color="auto" w:fill="auto"/>
                  <w:noWrap/>
                  <w:vAlign w:val="center"/>
                </w:tcPr>
                <w:p w14:paraId="0C1A0A89">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0.0</w:t>
                  </w:r>
                  <w:r>
                    <w:rPr>
                      <w:rFonts w:hint="eastAsia"/>
                      <w:color w:val="auto"/>
                      <w:highlight w:val="none"/>
                      <w:lang w:val="en-US" w:eastAsia="zh-CN"/>
                    </w:rPr>
                    <w:t>2</w:t>
                  </w:r>
                </w:p>
              </w:tc>
              <w:tc>
                <w:tcPr>
                  <w:tcW w:w="414" w:type="pct"/>
                  <w:shd w:val="clear" w:color="auto" w:fill="auto"/>
                  <w:noWrap/>
                  <w:vAlign w:val="center"/>
                </w:tcPr>
                <w:p w14:paraId="047F1848">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0.01</w:t>
                  </w:r>
                </w:p>
              </w:tc>
              <w:tc>
                <w:tcPr>
                  <w:tcW w:w="415" w:type="pct"/>
                  <w:shd w:val="clear" w:color="auto" w:fill="auto"/>
                  <w:noWrap/>
                  <w:vAlign w:val="center"/>
                </w:tcPr>
                <w:p w14:paraId="7CF4C37B">
                  <w:pPr>
                    <w:keepNext w:val="0"/>
                    <w:keepLines w:val="0"/>
                    <w:widowControl/>
                    <w:suppressLineNumbers w:val="0"/>
                    <w:jc w:val="center"/>
                    <w:textAlignment w:val="center"/>
                    <w:rPr>
                      <w:rFonts w:hint="default" w:ascii="Times New Roman" w:hAnsi="Times New Roman" w:eastAsia="宋体" w:cstheme="minorBidi"/>
                      <w:color w:val="auto"/>
                      <w:kern w:val="2"/>
                      <w:sz w:val="24"/>
                      <w:szCs w:val="24"/>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0.01</w:t>
                  </w:r>
                </w:p>
              </w:tc>
            </w:tr>
            <w:tr w14:paraId="7D686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577" w:type="pct"/>
                  <w:vMerge w:val="continue"/>
                  <w:shd w:val="clear" w:color="auto" w:fill="auto"/>
                  <w:vAlign w:val="center"/>
                </w:tcPr>
                <w:p w14:paraId="7865ADB4">
                  <w:pPr>
                    <w:pStyle w:val="20"/>
                    <w:bidi w:val="0"/>
                    <w:rPr>
                      <w:rFonts w:hint="eastAsia"/>
                      <w:color w:val="auto"/>
                      <w:highlight w:val="none"/>
                      <w:lang w:val="en-US" w:eastAsia="zh-CN"/>
                    </w:rPr>
                  </w:pPr>
                </w:p>
              </w:tc>
              <w:tc>
                <w:tcPr>
                  <w:tcW w:w="905" w:type="pct"/>
                  <w:shd w:val="clear" w:color="auto" w:fill="auto"/>
                  <w:vAlign w:val="center"/>
                </w:tcPr>
                <w:p w14:paraId="0E0911D1">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废产品包装材料</w:t>
                  </w:r>
                </w:p>
              </w:tc>
              <w:tc>
                <w:tcPr>
                  <w:tcW w:w="310" w:type="pct"/>
                  <w:shd w:val="clear" w:color="auto" w:fill="auto"/>
                  <w:noWrap/>
                  <w:vAlign w:val="center"/>
                </w:tcPr>
                <w:p w14:paraId="1AE9F392">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b w:val="0"/>
                      <w:bCs w:val="0"/>
                      <w:color w:val="auto"/>
                      <w:highlight w:val="none"/>
                      <w:lang w:val="en-US" w:eastAsia="zh-CN"/>
                    </w:rPr>
                    <w:t>2</w:t>
                  </w:r>
                </w:p>
              </w:tc>
              <w:tc>
                <w:tcPr>
                  <w:tcW w:w="414" w:type="pct"/>
                  <w:shd w:val="clear" w:color="auto" w:fill="auto"/>
                  <w:noWrap/>
                  <w:vAlign w:val="center"/>
                </w:tcPr>
                <w:p w14:paraId="592BEF27">
                  <w:pPr>
                    <w:pStyle w:val="20"/>
                    <w:bidi w:val="0"/>
                    <w:rPr>
                      <w:rFonts w:hint="default"/>
                      <w:color w:val="auto"/>
                      <w:highlight w:val="none"/>
                      <w:lang w:val="en-US" w:eastAsia="zh-CN"/>
                    </w:rPr>
                  </w:pPr>
                  <w:r>
                    <w:rPr>
                      <w:rFonts w:hint="eastAsia"/>
                      <w:color w:val="auto"/>
                      <w:highlight w:val="none"/>
                      <w:lang w:val="en-US" w:eastAsia="zh-CN"/>
                    </w:rPr>
                    <w:t>0.3</w:t>
                  </w:r>
                </w:p>
              </w:tc>
              <w:tc>
                <w:tcPr>
                  <w:tcW w:w="415" w:type="pct"/>
                  <w:tcBorders>
                    <w:right w:val="double" w:color="auto" w:sz="4" w:space="0"/>
                  </w:tcBorders>
                  <w:shd w:val="clear" w:color="auto" w:fill="auto"/>
                  <w:noWrap/>
                  <w:vAlign w:val="center"/>
                </w:tcPr>
                <w:p w14:paraId="7C3671F6">
                  <w:pPr>
                    <w:keepNext w:val="0"/>
                    <w:keepLines w:val="0"/>
                    <w:widowControl/>
                    <w:suppressLineNumbers w:val="0"/>
                    <w:jc w:val="center"/>
                    <w:textAlignment w:val="center"/>
                    <w:rPr>
                      <w:rFonts w:hint="eastAsia" w:ascii="Times New Roman" w:hAnsi="Times New Roman" w:eastAsia="宋体" w:cs="宋体"/>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1.7</w:t>
                  </w:r>
                </w:p>
              </w:tc>
              <w:tc>
                <w:tcPr>
                  <w:tcW w:w="413" w:type="pct"/>
                  <w:vMerge w:val="continue"/>
                  <w:tcBorders>
                    <w:left w:val="double" w:color="auto" w:sz="4" w:space="0"/>
                  </w:tcBorders>
                  <w:shd w:val="clear" w:color="auto" w:fill="auto"/>
                  <w:noWrap/>
                  <w:vAlign w:val="center"/>
                </w:tcPr>
                <w:p w14:paraId="1AB731B1">
                  <w:pPr>
                    <w:pStyle w:val="20"/>
                    <w:bidi w:val="0"/>
                    <w:rPr>
                      <w:rFonts w:hint="eastAsia"/>
                      <w:color w:val="auto"/>
                      <w:highlight w:val="none"/>
                      <w:lang w:val="en-US" w:eastAsia="zh-CN"/>
                    </w:rPr>
                  </w:pPr>
                </w:p>
              </w:tc>
              <w:tc>
                <w:tcPr>
                  <w:tcW w:w="823" w:type="pct"/>
                  <w:shd w:val="clear" w:color="auto" w:fill="auto"/>
                  <w:noWrap/>
                  <w:vAlign w:val="center"/>
                </w:tcPr>
                <w:p w14:paraId="05493A03">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废UV灯管</w:t>
                  </w:r>
                </w:p>
              </w:tc>
              <w:tc>
                <w:tcPr>
                  <w:tcW w:w="310" w:type="pct"/>
                  <w:shd w:val="clear" w:color="auto" w:fill="auto"/>
                  <w:noWrap/>
                  <w:vAlign w:val="center"/>
                </w:tcPr>
                <w:p w14:paraId="25CA3284">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kern w:val="2"/>
                      <w:sz w:val="21"/>
                      <w:szCs w:val="21"/>
                      <w:highlight w:val="none"/>
                      <w:lang w:val="en-US" w:eastAsia="zh-CN" w:bidi="ar-SA"/>
                    </w:rPr>
                    <w:t>0.01</w:t>
                  </w:r>
                </w:p>
              </w:tc>
              <w:tc>
                <w:tcPr>
                  <w:tcW w:w="414" w:type="pct"/>
                  <w:shd w:val="clear" w:color="auto" w:fill="auto"/>
                  <w:noWrap/>
                  <w:vAlign w:val="center"/>
                </w:tcPr>
                <w:p w14:paraId="3FFBC800">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kern w:val="2"/>
                      <w:sz w:val="21"/>
                      <w:szCs w:val="21"/>
                      <w:highlight w:val="none"/>
                      <w:lang w:val="en-US" w:eastAsia="zh-CN" w:bidi="ar-SA"/>
                    </w:rPr>
                    <w:t>/</w:t>
                  </w:r>
                </w:p>
              </w:tc>
              <w:tc>
                <w:tcPr>
                  <w:tcW w:w="415" w:type="pct"/>
                  <w:shd w:val="clear" w:color="auto" w:fill="auto"/>
                  <w:noWrap/>
                  <w:vAlign w:val="center"/>
                </w:tcPr>
                <w:p w14:paraId="67838536">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0.01</w:t>
                  </w:r>
                </w:p>
              </w:tc>
            </w:tr>
            <w:tr w14:paraId="35997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577" w:type="pct"/>
                  <w:vMerge w:val="continue"/>
                  <w:shd w:val="clear" w:color="auto" w:fill="auto"/>
                  <w:vAlign w:val="center"/>
                </w:tcPr>
                <w:p w14:paraId="4B284C85">
                  <w:pPr>
                    <w:pStyle w:val="20"/>
                    <w:bidi w:val="0"/>
                    <w:rPr>
                      <w:rFonts w:hint="eastAsia"/>
                      <w:color w:val="auto"/>
                      <w:highlight w:val="none"/>
                      <w:lang w:val="en-US" w:eastAsia="zh-CN"/>
                    </w:rPr>
                  </w:pPr>
                </w:p>
              </w:tc>
              <w:tc>
                <w:tcPr>
                  <w:tcW w:w="905" w:type="pct"/>
                  <w:shd w:val="clear" w:color="auto" w:fill="auto"/>
                  <w:vAlign w:val="center"/>
                </w:tcPr>
                <w:p w14:paraId="2990D8D3">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废零件</w:t>
                  </w:r>
                  <w:r>
                    <w:rPr>
                      <w:rFonts w:hint="eastAsia"/>
                      <w:color w:val="auto"/>
                      <w:highlight w:val="none"/>
                      <w:lang w:eastAsia="zh-CN"/>
                    </w:rPr>
                    <w:t>（</w:t>
                  </w:r>
                  <w:r>
                    <w:rPr>
                      <w:rFonts w:hint="eastAsia"/>
                      <w:color w:val="auto"/>
                      <w:highlight w:val="none"/>
                      <w:lang w:val="en-US" w:eastAsia="zh-CN"/>
                    </w:rPr>
                    <w:t>未沾染油渍）</w:t>
                  </w:r>
                </w:p>
              </w:tc>
              <w:tc>
                <w:tcPr>
                  <w:tcW w:w="310" w:type="pct"/>
                  <w:shd w:val="clear" w:color="auto" w:fill="auto"/>
                  <w:noWrap/>
                  <w:vAlign w:val="center"/>
                </w:tcPr>
                <w:p w14:paraId="1FF4EE75">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0.05</w:t>
                  </w:r>
                </w:p>
              </w:tc>
              <w:tc>
                <w:tcPr>
                  <w:tcW w:w="414" w:type="pct"/>
                  <w:shd w:val="clear" w:color="auto" w:fill="auto"/>
                  <w:noWrap/>
                  <w:vAlign w:val="center"/>
                </w:tcPr>
                <w:p w14:paraId="3DA3B02B">
                  <w:pPr>
                    <w:pStyle w:val="20"/>
                    <w:bidi w:val="0"/>
                    <w:rPr>
                      <w:rFonts w:hint="default"/>
                      <w:color w:val="auto"/>
                      <w:highlight w:val="none"/>
                      <w:lang w:val="en-US" w:eastAsia="zh-CN"/>
                    </w:rPr>
                  </w:pPr>
                  <w:r>
                    <w:rPr>
                      <w:rFonts w:hint="eastAsia"/>
                      <w:color w:val="auto"/>
                      <w:highlight w:val="none"/>
                      <w:lang w:val="en-US" w:eastAsia="zh-CN"/>
                    </w:rPr>
                    <w:t>0.01</w:t>
                  </w:r>
                </w:p>
              </w:tc>
              <w:tc>
                <w:tcPr>
                  <w:tcW w:w="415" w:type="pct"/>
                  <w:tcBorders>
                    <w:right w:val="double" w:color="auto" w:sz="4" w:space="0"/>
                  </w:tcBorders>
                  <w:shd w:val="clear" w:color="auto" w:fill="auto"/>
                  <w:noWrap/>
                  <w:vAlign w:val="center"/>
                </w:tcPr>
                <w:p w14:paraId="7A1401B4">
                  <w:pPr>
                    <w:keepNext w:val="0"/>
                    <w:keepLines w:val="0"/>
                    <w:widowControl/>
                    <w:suppressLineNumbers w:val="0"/>
                    <w:jc w:val="center"/>
                    <w:textAlignment w:val="center"/>
                    <w:rPr>
                      <w:rFonts w:hint="eastAsia" w:ascii="Times New Roman" w:hAnsi="Times New Roman" w:eastAsia="宋体" w:cs="宋体"/>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c>
                <w:tcPr>
                  <w:tcW w:w="413" w:type="pct"/>
                  <w:vMerge w:val="continue"/>
                  <w:tcBorders>
                    <w:left w:val="double" w:color="auto" w:sz="4" w:space="0"/>
                  </w:tcBorders>
                  <w:shd w:val="clear" w:color="auto" w:fill="auto"/>
                  <w:noWrap/>
                  <w:vAlign w:val="center"/>
                </w:tcPr>
                <w:p w14:paraId="221E2B7E">
                  <w:pPr>
                    <w:pStyle w:val="20"/>
                    <w:bidi w:val="0"/>
                    <w:rPr>
                      <w:rFonts w:hint="eastAsia"/>
                      <w:color w:val="auto"/>
                      <w:highlight w:val="none"/>
                      <w:lang w:val="en-US" w:eastAsia="zh-CN"/>
                    </w:rPr>
                  </w:pPr>
                </w:p>
              </w:tc>
              <w:tc>
                <w:tcPr>
                  <w:tcW w:w="823" w:type="pct"/>
                  <w:shd w:val="clear" w:color="auto" w:fill="auto"/>
                  <w:noWrap/>
                  <w:vAlign w:val="center"/>
                </w:tcPr>
                <w:p w14:paraId="4817419E">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废过滤棉</w:t>
                  </w:r>
                </w:p>
              </w:tc>
              <w:tc>
                <w:tcPr>
                  <w:tcW w:w="310" w:type="pct"/>
                  <w:shd w:val="clear" w:color="auto" w:fill="auto"/>
                  <w:noWrap/>
                  <w:vAlign w:val="center"/>
                </w:tcPr>
                <w:p w14:paraId="4F9E6032">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0.2</w:t>
                  </w:r>
                </w:p>
              </w:tc>
              <w:tc>
                <w:tcPr>
                  <w:tcW w:w="414" w:type="pct"/>
                  <w:shd w:val="clear" w:color="auto" w:fill="auto"/>
                  <w:noWrap/>
                  <w:vAlign w:val="center"/>
                </w:tcPr>
                <w:p w14:paraId="21450DCE">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w:t>
                  </w:r>
                </w:p>
              </w:tc>
              <w:tc>
                <w:tcPr>
                  <w:tcW w:w="415" w:type="pct"/>
                  <w:shd w:val="clear" w:color="auto" w:fill="auto"/>
                  <w:noWrap/>
                  <w:vAlign w:val="center"/>
                </w:tcPr>
                <w:p w14:paraId="1D1BA1B0">
                  <w:pPr>
                    <w:pStyle w:val="20"/>
                    <w:bidi w:val="0"/>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0.2</w:t>
                  </w:r>
                </w:p>
              </w:tc>
            </w:tr>
            <w:tr w14:paraId="2500C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577" w:type="pct"/>
                  <w:vMerge w:val="restart"/>
                  <w:shd w:val="clear" w:color="auto" w:fill="auto"/>
                  <w:vAlign w:val="center"/>
                </w:tcPr>
                <w:p w14:paraId="2BA0B9D7">
                  <w:pPr>
                    <w:pStyle w:val="20"/>
                    <w:bidi w:val="0"/>
                    <w:rPr>
                      <w:rFonts w:hint="default"/>
                      <w:color w:val="auto"/>
                      <w:highlight w:val="none"/>
                      <w:lang w:val="en-US" w:eastAsia="zh-CN"/>
                    </w:rPr>
                  </w:pPr>
                  <w:r>
                    <w:rPr>
                      <w:rFonts w:hint="eastAsia"/>
                      <w:color w:val="auto"/>
                      <w:highlight w:val="none"/>
                      <w:lang w:val="en-US" w:eastAsia="zh-CN"/>
                    </w:rPr>
                    <w:t>危险废物</w:t>
                  </w:r>
                </w:p>
              </w:tc>
              <w:tc>
                <w:tcPr>
                  <w:tcW w:w="905" w:type="pct"/>
                  <w:shd w:val="clear" w:color="auto" w:fill="auto"/>
                  <w:vAlign w:val="center"/>
                </w:tcPr>
                <w:p w14:paraId="27BABA76">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废润滑油</w:t>
                  </w:r>
                </w:p>
              </w:tc>
              <w:tc>
                <w:tcPr>
                  <w:tcW w:w="310" w:type="pct"/>
                  <w:shd w:val="clear" w:color="auto" w:fill="auto"/>
                  <w:noWrap/>
                  <w:vAlign w:val="center"/>
                </w:tcPr>
                <w:p w14:paraId="00639370">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0.2</w:t>
                  </w:r>
                </w:p>
              </w:tc>
              <w:tc>
                <w:tcPr>
                  <w:tcW w:w="414" w:type="pct"/>
                  <w:shd w:val="clear" w:color="auto" w:fill="auto"/>
                  <w:noWrap/>
                  <w:vAlign w:val="center"/>
                </w:tcPr>
                <w:p w14:paraId="0386019B">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0.025</w:t>
                  </w:r>
                </w:p>
              </w:tc>
              <w:tc>
                <w:tcPr>
                  <w:tcW w:w="415" w:type="pct"/>
                  <w:tcBorders>
                    <w:right w:val="double" w:color="auto" w:sz="4" w:space="0"/>
                  </w:tcBorders>
                  <w:shd w:val="clear" w:color="auto" w:fill="auto"/>
                  <w:noWrap/>
                  <w:vAlign w:val="center"/>
                </w:tcPr>
                <w:p w14:paraId="454FECEA">
                  <w:pPr>
                    <w:keepNext w:val="0"/>
                    <w:keepLines w:val="0"/>
                    <w:widowControl/>
                    <w:suppressLineNumbers w:val="0"/>
                    <w:jc w:val="center"/>
                    <w:textAlignment w:val="center"/>
                    <w:rPr>
                      <w:rFonts w:hint="eastAsia"/>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0.175</w:t>
                  </w:r>
                </w:p>
              </w:tc>
              <w:tc>
                <w:tcPr>
                  <w:tcW w:w="413" w:type="pct"/>
                  <w:vMerge w:val="continue"/>
                  <w:tcBorders>
                    <w:left w:val="double" w:color="auto" w:sz="4" w:space="0"/>
                  </w:tcBorders>
                  <w:shd w:val="clear" w:color="auto" w:fill="auto"/>
                  <w:noWrap/>
                  <w:vAlign w:val="center"/>
                </w:tcPr>
                <w:p w14:paraId="28AA8F71">
                  <w:pPr>
                    <w:pStyle w:val="20"/>
                    <w:bidi w:val="0"/>
                    <w:rPr>
                      <w:rFonts w:hint="eastAsia"/>
                      <w:color w:val="auto"/>
                      <w:highlight w:val="none"/>
                      <w:lang w:val="en-US" w:eastAsia="zh-CN"/>
                    </w:rPr>
                  </w:pPr>
                </w:p>
              </w:tc>
              <w:tc>
                <w:tcPr>
                  <w:tcW w:w="823" w:type="pct"/>
                  <w:shd w:val="clear" w:color="auto" w:fill="auto"/>
                  <w:noWrap/>
                  <w:vAlign w:val="center"/>
                </w:tcPr>
                <w:p w14:paraId="77F93E9F">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废活性炭</w:t>
                  </w:r>
                </w:p>
              </w:tc>
              <w:tc>
                <w:tcPr>
                  <w:tcW w:w="310" w:type="pct"/>
                  <w:shd w:val="clear" w:color="auto" w:fill="auto"/>
                  <w:noWrap/>
                  <w:vAlign w:val="center"/>
                </w:tcPr>
                <w:p w14:paraId="06858D3D">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14.336</w:t>
                  </w:r>
                </w:p>
              </w:tc>
              <w:tc>
                <w:tcPr>
                  <w:tcW w:w="414" w:type="pct"/>
                  <w:shd w:val="clear" w:color="auto" w:fill="auto"/>
                  <w:noWrap/>
                  <w:vAlign w:val="center"/>
                </w:tcPr>
                <w:p w14:paraId="2ADBB072">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w:t>
                  </w:r>
                </w:p>
              </w:tc>
              <w:tc>
                <w:tcPr>
                  <w:tcW w:w="415" w:type="pct"/>
                  <w:shd w:val="clear" w:color="auto" w:fill="auto"/>
                  <w:noWrap/>
                  <w:vAlign w:val="center"/>
                </w:tcPr>
                <w:p w14:paraId="327A46E4">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14.336</w:t>
                  </w:r>
                </w:p>
              </w:tc>
            </w:tr>
            <w:tr w14:paraId="07648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577" w:type="pct"/>
                  <w:vMerge w:val="continue"/>
                  <w:shd w:val="clear" w:color="auto" w:fill="auto"/>
                  <w:vAlign w:val="center"/>
                </w:tcPr>
                <w:p w14:paraId="42D88CAD">
                  <w:pPr>
                    <w:pStyle w:val="20"/>
                    <w:bidi w:val="0"/>
                    <w:rPr>
                      <w:rFonts w:hint="eastAsia"/>
                      <w:color w:val="auto"/>
                      <w:highlight w:val="none"/>
                      <w:lang w:val="en-US" w:eastAsia="zh-CN"/>
                    </w:rPr>
                  </w:pPr>
                </w:p>
              </w:tc>
              <w:tc>
                <w:tcPr>
                  <w:tcW w:w="905" w:type="pct"/>
                  <w:shd w:val="clear" w:color="auto" w:fill="auto"/>
                  <w:vAlign w:val="center"/>
                </w:tcPr>
                <w:p w14:paraId="4A6902B7">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废油桶</w:t>
                  </w:r>
                </w:p>
              </w:tc>
              <w:tc>
                <w:tcPr>
                  <w:tcW w:w="310" w:type="pct"/>
                  <w:shd w:val="clear" w:color="auto" w:fill="auto"/>
                  <w:noWrap/>
                  <w:vAlign w:val="center"/>
                </w:tcPr>
                <w:p w14:paraId="14FEC232">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0.1</w:t>
                  </w:r>
                </w:p>
              </w:tc>
              <w:tc>
                <w:tcPr>
                  <w:tcW w:w="414" w:type="pct"/>
                  <w:shd w:val="clear" w:color="auto" w:fill="auto"/>
                  <w:noWrap/>
                  <w:vAlign w:val="center"/>
                </w:tcPr>
                <w:p w14:paraId="4CAEEF97">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0.013</w:t>
                  </w:r>
                </w:p>
              </w:tc>
              <w:tc>
                <w:tcPr>
                  <w:tcW w:w="415" w:type="pct"/>
                  <w:tcBorders>
                    <w:right w:val="double" w:color="auto" w:sz="4" w:space="0"/>
                  </w:tcBorders>
                  <w:shd w:val="clear" w:color="auto" w:fill="auto"/>
                  <w:noWrap/>
                  <w:vAlign w:val="center"/>
                </w:tcPr>
                <w:p w14:paraId="638CC09B">
                  <w:pPr>
                    <w:keepNext w:val="0"/>
                    <w:keepLines w:val="0"/>
                    <w:widowControl/>
                    <w:suppressLineNumbers w:val="0"/>
                    <w:jc w:val="center"/>
                    <w:textAlignment w:val="center"/>
                    <w:rPr>
                      <w:rFonts w:hint="eastAsia"/>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0.087</w:t>
                  </w:r>
                </w:p>
              </w:tc>
              <w:tc>
                <w:tcPr>
                  <w:tcW w:w="413" w:type="pct"/>
                  <w:tcBorders>
                    <w:left w:val="double" w:color="auto" w:sz="4" w:space="0"/>
                  </w:tcBorders>
                  <w:shd w:val="clear" w:color="auto" w:fill="auto"/>
                  <w:noWrap/>
                  <w:vAlign w:val="center"/>
                </w:tcPr>
                <w:p w14:paraId="3F3C140C">
                  <w:pPr>
                    <w:pStyle w:val="20"/>
                    <w:bidi w:val="0"/>
                    <w:rPr>
                      <w:rFonts w:hint="eastAsia"/>
                      <w:color w:val="auto"/>
                      <w:highlight w:val="none"/>
                      <w:lang w:val="en-US" w:eastAsia="zh-CN"/>
                    </w:rPr>
                  </w:pPr>
                  <w:r>
                    <w:rPr>
                      <w:rFonts w:hint="eastAsia"/>
                      <w:color w:val="auto"/>
                      <w:highlight w:val="none"/>
                    </w:rPr>
                    <w:t>生活垃圾</w:t>
                  </w:r>
                </w:p>
              </w:tc>
              <w:tc>
                <w:tcPr>
                  <w:tcW w:w="823" w:type="pct"/>
                  <w:shd w:val="clear" w:color="auto" w:fill="auto"/>
                  <w:noWrap/>
                  <w:vAlign w:val="center"/>
                </w:tcPr>
                <w:p w14:paraId="7C8B7F97">
                  <w:pPr>
                    <w:pStyle w:val="20"/>
                    <w:bidi w:val="0"/>
                    <w:rPr>
                      <w:rFonts w:hint="eastAsia"/>
                      <w:color w:val="auto"/>
                      <w:highlight w:val="none"/>
                      <w:lang w:val="en-US" w:eastAsia="zh-CN"/>
                    </w:rPr>
                  </w:pPr>
                  <w:r>
                    <w:rPr>
                      <w:rFonts w:hint="eastAsia"/>
                      <w:color w:val="auto"/>
                      <w:highlight w:val="none"/>
                    </w:rPr>
                    <w:t>生活垃圾</w:t>
                  </w:r>
                </w:p>
              </w:tc>
              <w:tc>
                <w:tcPr>
                  <w:tcW w:w="310" w:type="pct"/>
                  <w:shd w:val="clear" w:color="auto" w:fill="auto"/>
                  <w:noWrap/>
                  <w:vAlign w:val="center"/>
                </w:tcPr>
                <w:p w14:paraId="08A0614D">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9</w:t>
                  </w:r>
                </w:p>
              </w:tc>
              <w:tc>
                <w:tcPr>
                  <w:tcW w:w="414" w:type="pct"/>
                  <w:shd w:val="clear" w:color="auto" w:fill="auto"/>
                  <w:noWrap/>
                  <w:vAlign w:val="center"/>
                </w:tcPr>
                <w:p w14:paraId="3C11155C">
                  <w:pPr>
                    <w:pStyle w:val="20"/>
                    <w:bidi w:val="0"/>
                    <w:rPr>
                      <w:rFonts w:hint="eastAsia"/>
                      <w:color w:val="auto"/>
                      <w:highlight w:val="none"/>
                      <w:lang w:val="en-US" w:eastAsia="zh-CN"/>
                    </w:rPr>
                  </w:pPr>
                  <w:r>
                    <w:rPr>
                      <w:rFonts w:hint="eastAsia"/>
                      <w:color w:val="auto"/>
                      <w:highlight w:val="none"/>
                      <w:lang w:val="en-US" w:eastAsia="zh-CN"/>
                    </w:rPr>
                    <w:t>2.25</w:t>
                  </w:r>
                </w:p>
              </w:tc>
              <w:tc>
                <w:tcPr>
                  <w:tcW w:w="415" w:type="pct"/>
                  <w:shd w:val="clear" w:color="auto" w:fill="auto"/>
                  <w:noWrap/>
                  <w:vAlign w:val="center"/>
                </w:tcPr>
                <w:p w14:paraId="50B10D52">
                  <w:pPr>
                    <w:pStyle w:val="20"/>
                    <w:bidi w:val="0"/>
                    <w:rPr>
                      <w:rFonts w:hint="eastAsia"/>
                      <w:color w:val="auto"/>
                      <w:highlight w:val="none"/>
                      <w:lang w:val="en-US" w:eastAsia="zh-CN"/>
                    </w:rPr>
                  </w:pPr>
                  <w:r>
                    <w:rPr>
                      <w:rFonts w:hint="eastAsia"/>
                      <w:color w:val="auto"/>
                      <w:highlight w:val="none"/>
                      <w:lang w:val="en-US" w:eastAsia="zh-CN"/>
                    </w:rPr>
                    <w:t>6.75</w:t>
                  </w:r>
                </w:p>
              </w:tc>
            </w:tr>
            <w:tr w14:paraId="4E7C5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577" w:type="pct"/>
                  <w:vMerge w:val="continue"/>
                  <w:shd w:val="clear" w:color="auto" w:fill="auto"/>
                  <w:vAlign w:val="center"/>
                </w:tcPr>
                <w:p w14:paraId="5CA6E17B">
                  <w:pPr>
                    <w:pStyle w:val="20"/>
                    <w:bidi w:val="0"/>
                    <w:rPr>
                      <w:rFonts w:hint="eastAsia"/>
                      <w:color w:val="auto"/>
                      <w:highlight w:val="none"/>
                      <w:lang w:val="en-US" w:eastAsia="zh-CN"/>
                    </w:rPr>
                  </w:pPr>
                </w:p>
              </w:tc>
              <w:tc>
                <w:tcPr>
                  <w:tcW w:w="905" w:type="pct"/>
                  <w:shd w:val="clear" w:color="auto" w:fill="auto"/>
                  <w:vAlign w:val="center"/>
                </w:tcPr>
                <w:p w14:paraId="791327C1">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废含油棉纱及手套</w:t>
                  </w:r>
                </w:p>
              </w:tc>
              <w:tc>
                <w:tcPr>
                  <w:tcW w:w="310" w:type="pct"/>
                  <w:shd w:val="clear" w:color="auto" w:fill="auto"/>
                  <w:noWrap/>
                  <w:vAlign w:val="center"/>
                </w:tcPr>
                <w:p w14:paraId="02561EDD">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0.05</w:t>
                  </w:r>
                </w:p>
              </w:tc>
              <w:tc>
                <w:tcPr>
                  <w:tcW w:w="414" w:type="pct"/>
                  <w:shd w:val="clear" w:color="auto" w:fill="auto"/>
                  <w:noWrap/>
                  <w:vAlign w:val="center"/>
                </w:tcPr>
                <w:p w14:paraId="2B86496B">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0.006</w:t>
                  </w:r>
                </w:p>
              </w:tc>
              <w:tc>
                <w:tcPr>
                  <w:tcW w:w="415" w:type="pct"/>
                  <w:tcBorders>
                    <w:right w:val="double" w:color="auto" w:sz="4" w:space="0"/>
                  </w:tcBorders>
                  <w:shd w:val="clear" w:color="auto" w:fill="auto"/>
                  <w:noWrap/>
                  <w:vAlign w:val="center"/>
                </w:tcPr>
                <w:p w14:paraId="29FF5BF9">
                  <w:pPr>
                    <w:keepNext w:val="0"/>
                    <w:keepLines w:val="0"/>
                    <w:widowControl/>
                    <w:suppressLineNumbers w:val="0"/>
                    <w:jc w:val="center"/>
                    <w:textAlignment w:val="center"/>
                    <w:rPr>
                      <w:rFonts w:hint="default" w:ascii="Times New Roman" w:hAnsi="Times New Roman" w:eastAsia="宋体" w:cstheme="minorBidi"/>
                      <w:color w:val="auto"/>
                      <w:kern w:val="2"/>
                      <w:sz w:val="24"/>
                      <w:szCs w:val="24"/>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0.044</w:t>
                  </w:r>
                </w:p>
              </w:tc>
              <w:tc>
                <w:tcPr>
                  <w:tcW w:w="413" w:type="pct"/>
                  <w:tcBorders>
                    <w:left w:val="double" w:color="auto" w:sz="4" w:space="0"/>
                  </w:tcBorders>
                  <w:shd w:val="clear" w:color="auto" w:fill="auto"/>
                  <w:noWrap/>
                  <w:vAlign w:val="center"/>
                </w:tcPr>
                <w:p w14:paraId="4EB66729">
                  <w:pPr>
                    <w:pStyle w:val="20"/>
                    <w:bidi w:val="0"/>
                    <w:rPr>
                      <w:rFonts w:hint="eastAsia" w:eastAsia="宋体"/>
                      <w:color w:val="auto"/>
                      <w:highlight w:val="none"/>
                      <w:lang w:val="en-US" w:eastAsia="zh-CN"/>
                    </w:rPr>
                  </w:pPr>
                  <w:r>
                    <w:rPr>
                      <w:rFonts w:hint="eastAsia"/>
                      <w:color w:val="auto"/>
                      <w:highlight w:val="none"/>
                      <w:lang w:val="en-US" w:eastAsia="zh-CN"/>
                    </w:rPr>
                    <w:t>-</w:t>
                  </w:r>
                </w:p>
              </w:tc>
              <w:tc>
                <w:tcPr>
                  <w:tcW w:w="823" w:type="pct"/>
                  <w:shd w:val="clear" w:color="auto" w:fill="auto"/>
                  <w:noWrap/>
                  <w:vAlign w:val="center"/>
                </w:tcPr>
                <w:p w14:paraId="1AAB92BB">
                  <w:pPr>
                    <w:pStyle w:val="20"/>
                    <w:bidi w:val="0"/>
                    <w:rPr>
                      <w:rFonts w:hint="eastAsia" w:eastAsia="宋体"/>
                      <w:color w:val="auto"/>
                      <w:highlight w:val="none"/>
                      <w:lang w:val="en-US" w:eastAsia="zh-CN"/>
                    </w:rPr>
                  </w:pPr>
                  <w:r>
                    <w:rPr>
                      <w:rFonts w:hint="eastAsia"/>
                      <w:color w:val="auto"/>
                      <w:highlight w:val="none"/>
                      <w:lang w:val="en-US" w:eastAsia="zh-CN"/>
                    </w:rPr>
                    <w:t>-</w:t>
                  </w:r>
                </w:p>
              </w:tc>
              <w:tc>
                <w:tcPr>
                  <w:tcW w:w="310" w:type="pct"/>
                  <w:shd w:val="clear" w:color="auto" w:fill="auto"/>
                  <w:noWrap/>
                  <w:vAlign w:val="center"/>
                </w:tcPr>
                <w:p w14:paraId="09DC1AED">
                  <w:pPr>
                    <w:pStyle w:val="20"/>
                    <w:spacing w:before="31"/>
                    <w:rPr>
                      <w:rFonts w:hint="eastAsia" w:eastAsia="宋体"/>
                      <w:color w:val="auto"/>
                      <w:highlight w:val="none"/>
                      <w:lang w:val="en-US" w:eastAsia="zh-CN"/>
                    </w:rPr>
                  </w:pPr>
                  <w:r>
                    <w:rPr>
                      <w:rFonts w:hint="eastAsia"/>
                      <w:color w:val="auto"/>
                      <w:highlight w:val="none"/>
                      <w:lang w:val="en-US" w:eastAsia="zh-CN"/>
                    </w:rPr>
                    <w:t>-</w:t>
                  </w:r>
                </w:p>
              </w:tc>
              <w:tc>
                <w:tcPr>
                  <w:tcW w:w="414" w:type="pct"/>
                  <w:shd w:val="clear" w:color="auto" w:fill="auto"/>
                  <w:noWrap/>
                  <w:vAlign w:val="center"/>
                </w:tcPr>
                <w:p w14:paraId="56FFD714">
                  <w:pPr>
                    <w:pStyle w:val="20"/>
                    <w:bidi w:val="0"/>
                    <w:rPr>
                      <w:rFonts w:hint="default"/>
                      <w:color w:val="auto"/>
                      <w:highlight w:val="none"/>
                      <w:lang w:val="en-US" w:eastAsia="zh-CN"/>
                    </w:rPr>
                  </w:pPr>
                  <w:r>
                    <w:rPr>
                      <w:rFonts w:hint="eastAsia"/>
                      <w:color w:val="auto"/>
                      <w:highlight w:val="none"/>
                      <w:lang w:val="en-US" w:eastAsia="zh-CN"/>
                    </w:rPr>
                    <w:t>-</w:t>
                  </w:r>
                </w:p>
              </w:tc>
              <w:tc>
                <w:tcPr>
                  <w:tcW w:w="415" w:type="pct"/>
                  <w:shd w:val="clear" w:color="auto" w:fill="auto"/>
                  <w:noWrap/>
                  <w:vAlign w:val="center"/>
                </w:tcPr>
                <w:p w14:paraId="5A760C01">
                  <w:pPr>
                    <w:pStyle w:val="20"/>
                    <w:bidi w:val="0"/>
                    <w:rPr>
                      <w:rFonts w:hint="eastAsia"/>
                      <w:color w:val="auto"/>
                      <w:highlight w:val="none"/>
                      <w:lang w:val="en-US" w:eastAsia="zh-CN"/>
                    </w:rPr>
                  </w:pPr>
                </w:p>
              </w:tc>
            </w:tr>
          </w:tbl>
          <w:p w14:paraId="56D3B419">
            <w:pPr>
              <w:pStyle w:val="18"/>
              <w:bidi w:val="0"/>
              <w:rPr>
                <w:color w:val="auto"/>
                <w:highlight w:val="none"/>
              </w:rPr>
            </w:pPr>
          </w:p>
          <w:p w14:paraId="44C1848B">
            <w:pPr>
              <w:pStyle w:val="18"/>
              <w:bidi w:val="0"/>
              <w:rPr>
                <w:color w:val="auto"/>
                <w:highlight w:val="none"/>
              </w:rPr>
            </w:pPr>
          </w:p>
          <w:p w14:paraId="16EAEED6">
            <w:pPr>
              <w:pStyle w:val="18"/>
              <w:bidi w:val="0"/>
              <w:rPr>
                <w:color w:val="auto"/>
                <w:highlight w:val="none"/>
              </w:rPr>
            </w:pPr>
          </w:p>
          <w:p w14:paraId="159AE4A1">
            <w:pPr>
              <w:pStyle w:val="18"/>
              <w:rPr>
                <w:color w:val="auto"/>
                <w:highlight w:val="none"/>
              </w:rPr>
            </w:pPr>
          </w:p>
          <w:p w14:paraId="74FEABA9">
            <w:pPr>
              <w:pStyle w:val="18"/>
              <w:rPr>
                <w:color w:val="auto"/>
                <w:highlight w:val="none"/>
              </w:rPr>
            </w:pPr>
          </w:p>
          <w:p w14:paraId="57ABC180">
            <w:pPr>
              <w:pStyle w:val="18"/>
              <w:rPr>
                <w:color w:val="auto"/>
                <w:highlight w:val="none"/>
              </w:rPr>
            </w:pPr>
          </w:p>
          <w:p w14:paraId="4D574A98">
            <w:pPr>
              <w:pStyle w:val="18"/>
              <w:rPr>
                <w:color w:val="auto"/>
                <w:highlight w:val="none"/>
              </w:rPr>
            </w:pPr>
          </w:p>
          <w:p w14:paraId="3CBBEB4D">
            <w:pPr>
              <w:pStyle w:val="18"/>
              <w:rPr>
                <w:color w:val="auto"/>
                <w:highlight w:val="none"/>
              </w:rPr>
            </w:pPr>
          </w:p>
          <w:p w14:paraId="54DBA352">
            <w:pPr>
              <w:pStyle w:val="18"/>
              <w:rPr>
                <w:color w:val="auto"/>
                <w:highlight w:val="none"/>
              </w:rPr>
            </w:pPr>
          </w:p>
          <w:p w14:paraId="7CA44131">
            <w:pPr>
              <w:pStyle w:val="18"/>
              <w:rPr>
                <w:color w:val="auto"/>
                <w:highlight w:val="none"/>
              </w:rPr>
            </w:pPr>
          </w:p>
          <w:p w14:paraId="2E5AD829">
            <w:pPr>
              <w:pStyle w:val="18"/>
              <w:rPr>
                <w:color w:val="auto"/>
                <w:highlight w:val="none"/>
              </w:rPr>
            </w:pPr>
          </w:p>
          <w:p w14:paraId="32E97C6C">
            <w:pPr>
              <w:pStyle w:val="18"/>
              <w:rPr>
                <w:color w:val="auto"/>
                <w:highlight w:val="none"/>
              </w:rPr>
            </w:pPr>
          </w:p>
        </w:tc>
      </w:tr>
    </w:tbl>
    <w:p w14:paraId="30BCEC3E">
      <w:pPr>
        <w:rPr>
          <w:rFonts w:hint="eastAsia"/>
          <w:color w:val="auto"/>
          <w:highlight w:val="none"/>
          <w:lang w:val="en-US" w:eastAsia="zh-CN"/>
        </w:rPr>
        <w:sectPr>
          <w:pgSz w:w="16838" w:h="11905" w:orient="landscape"/>
          <w:pgMar w:top="1463" w:right="1440" w:bottom="1463" w:left="1440" w:header="851" w:footer="850" w:gutter="0"/>
          <w:cols w:space="0" w:num="1"/>
          <w:docGrid w:type="linesAndChars" w:linePitch="312" w:charSpace="0"/>
        </w:sectPr>
      </w:pP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62"/>
        <w:gridCol w:w="8531"/>
      </w:tblGrid>
      <w:tr w14:paraId="1CB4C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09" w:type="pct"/>
            <w:vAlign w:val="top"/>
          </w:tcPr>
          <w:p w14:paraId="75466196">
            <w:pPr>
              <w:rPr>
                <w:color w:val="auto"/>
                <w:highlight w:val="none"/>
                <w:vertAlign w:val="baseline"/>
              </w:rPr>
            </w:pPr>
          </w:p>
        </w:tc>
        <w:tc>
          <w:tcPr>
            <w:tcW w:w="4690" w:type="pct"/>
            <w:vAlign w:val="top"/>
          </w:tcPr>
          <w:p w14:paraId="661B9657">
            <w:pPr>
              <w:pStyle w:val="3"/>
              <w:ind w:firstLine="482"/>
              <w:rPr>
                <w:color w:val="auto"/>
                <w:highlight w:val="none"/>
              </w:rPr>
            </w:pPr>
            <w:r>
              <w:rPr>
                <w:rFonts w:hint="eastAsia"/>
                <w:color w:val="auto"/>
                <w:highlight w:val="none"/>
              </w:rPr>
              <w:t>3）固体废物管理要求</w:t>
            </w:r>
          </w:p>
          <w:p w14:paraId="0EC3CF0B">
            <w:pPr>
              <w:pStyle w:val="18"/>
              <w:rPr>
                <w:color w:val="auto"/>
                <w:highlight w:val="none"/>
              </w:rPr>
            </w:pPr>
            <w:r>
              <w:rPr>
                <w:color w:val="auto"/>
                <w:highlight w:val="none"/>
              </w:rPr>
              <w:t>项目运营期产生的一般工业固废于一般工业固废暂存</w:t>
            </w:r>
            <w:r>
              <w:rPr>
                <w:rFonts w:hint="eastAsia"/>
                <w:color w:val="auto"/>
                <w:highlight w:val="none"/>
              </w:rPr>
              <w:t>间</w:t>
            </w:r>
            <w:r>
              <w:rPr>
                <w:color w:val="auto"/>
                <w:highlight w:val="none"/>
              </w:rPr>
              <w:t>内分类存放，</w:t>
            </w:r>
            <w:r>
              <w:rPr>
                <w:rFonts w:hint="eastAsia"/>
                <w:color w:val="auto"/>
                <w:highlight w:val="none"/>
                <w:lang w:val="en-US" w:eastAsia="zh-CN"/>
              </w:rPr>
              <w:t>拟新</w:t>
            </w:r>
            <w:r>
              <w:rPr>
                <w:rFonts w:hint="eastAsia"/>
                <w:color w:val="auto"/>
                <w:highlight w:val="none"/>
              </w:rPr>
              <w:t>设置</w:t>
            </w:r>
            <w:r>
              <w:rPr>
                <w:color w:val="auto"/>
                <w:highlight w:val="none"/>
              </w:rPr>
              <w:t>一般工业固废暂存</w:t>
            </w:r>
            <w:r>
              <w:rPr>
                <w:rFonts w:hint="eastAsia"/>
                <w:color w:val="auto"/>
                <w:highlight w:val="none"/>
              </w:rPr>
              <w:t>间</w:t>
            </w:r>
            <w:r>
              <w:rPr>
                <w:color w:val="auto"/>
                <w:highlight w:val="none"/>
              </w:rPr>
              <w:t>1处，位于</w:t>
            </w:r>
            <w:r>
              <w:rPr>
                <w:rFonts w:hint="eastAsia"/>
                <w:color w:val="auto"/>
                <w:highlight w:val="none"/>
                <w:lang w:val="en-US" w:eastAsia="zh-CN"/>
              </w:rPr>
              <w:t>厂区北侧库房内</w:t>
            </w:r>
            <w:r>
              <w:rPr>
                <w:color w:val="auto"/>
                <w:highlight w:val="none"/>
              </w:rPr>
              <w:t>，面积</w:t>
            </w:r>
            <w:r>
              <w:rPr>
                <w:rFonts w:hint="eastAsia"/>
                <w:color w:val="auto"/>
                <w:highlight w:val="none"/>
              </w:rPr>
              <w:t>约</w:t>
            </w:r>
            <w:r>
              <w:rPr>
                <w:rFonts w:hint="eastAsia"/>
                <w:color w:val="auto"/>
                <w:highlight w:val="none"/>
                <w:lang w:val="en-US" w:eastAsia="zh-CN"/>
              </w:rPr>
              <w:t>5</w:t>
            </w:r>
            <w:r>
              <w:rPr>
                <w:rFonts w:hint="eastAsia"/>
                <w:color w:val="auto"/>
                <w:highlight w:val="none"/>
              </w:rPr>
              <w:t>0m</w:t>
            </w:r>
            <w:r>
              <w:rPr>
                <w:rFonts w:hint="eastAsia"/>
                <w:color w:val="auto"/>
                <w:highlight w:val="none"/>
                <w:vertAlign w:val="superscript"/>
              </w:rPr>
              <w:t>2</w:t>
            </w:r>
            <w:r>
              <w:rPr>
                <w:color w:val="auto"/>
                <w:highlight w:val="none"/>
              </w:rPr>
              <w:t>。</w:t>
            </w:r>
            <w:r>
              <w:rPr>
                <w:rFonts w:hint="eastAsia"/>
                <w:color w:val="auto"/>
                <w:highlight w:val="none"/>
              </w:rPr>
              <w:t>地面进行硬化，设置环保标识标牌，贮存过程应满足相应防渗漏、防雨淋、防扬尘等环境保护要求，不得混入生活垃圾或危险废物</w:t>
            </w:r>
            <w:r>
              <w:rPr>
                <w:color w:val="auto"/>
                <w:highlight w:val="none"/>
              </w:rPr>
              <w:t>。</w:t>
            </w:r>
          </w:p>
          <w:p w14:paraId="030B0314">
            <w:pPr>
              <w:pStyle w:val="18"/>
              <w:rPr>
                <w:color w:val="auto"/>
                <w:highlight w:val="none"/>
              </w:rPr>
            </w:pPr>
            <w:r>
              <w:rPr>
                <w:color w:val="auto"/>
                <w:highlight w:val="none"/>
              </w:rPr>
              <w:t>项目运营期产生危险废物，于厂区</w:t>
            </w:r>
            <w:r>
              <w:rPr>
                <w:rFonts w:hint="eastAsia"/>
                <w:color w:val="auto"/>
                <w:highlight w:val="none"/>
                <w:lang w:eastAsia="zh-CN"/>
              </w:rPr>
              <w:t>危险废物贮存点</w:t>
            </w:r>
            <w:r>
              <w:rPr>
                <w:color w:val="auto"/>
                <w:highlight w:val="none"/>
              </w:rPr>
              <w:t>进行妥善存放。</w:t>
            </w:r>
            <w:r>
              <w:rPr>
                <w:rFonts w:hint="eastAsia"/>
                <w:color w:val="auto"/>
                <w:highlight w:val="none"/>
                <w:lang w:val="en-US" w:eastAsia="zh-CN"/>
              </w:rPr>
              <w:t>拟新</w:t>
            </w:r>
            <w:r>
              <w:rPr>
                <w:rFonts w:hint="eastAsia"/>
                <w:color w:val="auto"/>
                <w:highlight w:val="none"/>
              </w:rPr>
              <w:t>设置</w:t>
            </w:r>
            <w:r>
              <w:rPr>
                <w:rFonts w:hint="eastAsia"/>
                <w:color w:val="auto"/>
                <w:highlight w:val="none"/>
                <w:lang w:eastAsia="zh-CN"/>
              </w:rPr>
              <w:t>危险废物贮存点</w:t>
            </w:r>
            <w:r>
              <w:rPr>
                <w:rFonts w:hint="eastAsia"/>
                <w:color w:val="auto"/>
                <w:highlight w:val="none"/>
                <w:lang w:val="en-US" w:eastAsia="zh-CN"/>
              </w:rPr>
              <w:t>1处，</w:t>
            </w:r>
            <w:r>
              <w:rPr>
                <w:color w:val="auto"/>
                <w:highlight w:val="none"/>
              </w:rPr>
              <w:t>位于</w:t>
            </w:r>
            <w:r>
              <w:rPr>
                <w:rFonts w:hint="eastAsia"/>
                <w:color w:val="auto"/>
                <w:highlight w:val="none"/>
                <w:lang w:val="en-US" w:eastAsia="zh-CN"/>
              </w:rPr>
              <w:t>厂区北侧库房内，面积约20</w:t>
            </w:r>
            <w:r>
              <w:rPr>
                <w:color w:val="auto"/>
                <w:highlight w:val="none"/>
              </w:rPr>
              <w:t>m</w:t>
            </w:r>
            <w:r>
              <w:rPr>
                <w:color w:val="auto"/>
                <w:highlight w:val="none"/>
                <w:vertAlign w:val="superscript"/>
              </w:rPr>
              <w:t>2</w:t>
            </w:r>
            <w:r>
              <w:rPr>
                <w:color w:val="auto"/>
                <w:highlight w:val="none"/>
              </w:rPr>
              <w:t>。</w:t>
            </w:r>
            <w:r>
              <w:rPr>
                <w:rFonts w:hint="eastAsia"/>
                <w:color w:val="auto"/>
                <w:highlight w:val="none"/>
              </w:rPr>
              <w:t>危险废物采用合适的相容容器分区存放；地面、墙面裙脚、堵截泄漏的围堰、接触危险废物的隔板和墙体等应采用坚固的材料建造，表面无裂缝；地面与裙脚应采取表面防渗措施；设置液体泄漏堵截设施，堵截设施最小容积不应低于对应贮存区域最大液态废物容器容积。</w:t>
            </w:r>
          </w:p>
          <w:p w14:paraId="7FEA232A">
            <w:pPr>
              <w:pStyle w:val="18"/>
              <w:rPr>
                <w:color w:val="auto"/>
                <w:highlight w:val="none"/>
              </w:rPr>
            </w:pPr>
            <w:r>
              <w:rPr>
                <w:rFonts w:hint="eastAsia"/>
                <w:color w:val="auto"/>
                <w:highlight w:val="none"/>
                <w:lang w:eastAsia="zh-CN"/>
              </w:rPr>
              <w:t>危险废物贮存点</w:t>
            </w:r>
            <w:r>
              <w:rPr>
                <w:rFonts w:hint="eastAsia"/>
                <w:color w:val="auto"/>
                <w:highlight w:val="none"/>
              </w:rPr>
              <w:t>必须严格按照《危险废物贮存污染控制标准》（GB18597-2023）要求进行设置。按照HJ 1276要求设置</w:t>
            </w:r>
            <w:r>
              <w:rPr>
                <w:rFonts w:hint="eastAsia"/>
                <w:color w:val="auto"/>
                <w:highlight w:val="none"/>
                <w:lang w:eastAsia="zh-CN"/>
              </w:rPr>
              <w:t>危险废物贮存点</w:t>
            </w:r>
            <w:r>
              <w:rPr>
                <w:rFonts w:hint="eastAsia"/>
                <w:color w:val="auto"/>
                <w:highlight w:val="none"/>
              </w:rPr>
              <w:t>或场所标志、危险废物贮存分区标志和危险废物标签等危险废物识别标志；采取技术和管理措施防止无关人员进入。必须加强危废日常管理，定期对所贮存的危险废物包装容器及贮存设施进行检查，发现破损，应及时采取措施清理更换；</w:t>
            </w:r>
            <w:r>
              <w:rPr>
                <w:color w:val="auto"/>
                <w:highlight w:val="none"/>
              </w:rPr>
              <w:t>须</w:t>
            </w:r>
            <w:r>
              <w:rPr>
                <w:rFonts w:hint="eastAsia"/>
                <w:color w:val="auto"/>
                <w:highlight w:val="none"/>
              </w:rPr>
              <w:t>做好</w:t>
            </w:r>
            <w:r>
              <w:rPr>
                <w:color w:val="auto"/>
                <w:highlight w:val="none"/>
              </w:rPr>
              <w:t>危险废物情况的记录，记录上须注明危险废物的名称、来源、数量、特性和包装容器的类别、入库日期、存放位置、废物出库日期及接收单位名称；严禁将危险废物混入非危险废物中贮存；指定专人进行日常管理。</w:t>
            </w:r>
            <w:r>
              <w:rPr>
                <w:rFonts w:hint="eastAsia"/>
                <w:color w:val="auto"/>
                <w:highlight w:val="none"/>
              </w:rPr>
              <w:t>危废定期交有资质单位派专业技术人员和专用运输车辆进行运输，危废转移应按照《危险废物转移管理办法》（生态环境部公安部 交通运输部部令第23号）相关规定对危险废物进行登记、交接和转移的管理。</w:t>
            </w:r>
          </w:p>
          <w:p w14:paraId="040504E6">
            <w:pPr>
              <w:pStyle w:val="18"/>
              <w:rPr>
                <w:color w:val="auto"/>
                <w:highlight w:val="none"/>
              </w:rPr>
            </w:pPr>
            <w:r>
              <w:rPr>
                <w:rFonts w:hint="eastAsia"/>
                <w:color w:val="auto"/>
                <w:highlight w:val="none"/>
              </w:rPr>
              <w:t>通过上述方法妥善处置后，本项目产生的固废对周围环境影响较小。</w:t>
            </w:r>
          </w:p>
          <w:p w14:paraId="29A68213">
            <w:pPr>
              <w:pStyle w:val="2"/>
              <w:numPr>
                <w:ilvl w:val="0"/>
                <w:numId w:val="10"/>
              </w:numPr>
              <w:spacing w:before="156"/>
              <w:rPr>
                <w:rFonts w:hint="eastAsia" w:ascii="Times New Roman" w:hAnsi="Times New Roman" w:eastAsia="宋体" w:cs="Times New Roman"/>
                <w:b/>
                <w:bCs/>
                <w:color w:val="auto"/>
                <w:highlight w:val="none"/>
              </w:rPr>
            </w:pPr>
            <w:r>
              <w:rPr>
                <w:rFonts w:hint="eastAsia" w:ascii="Times New Roman" w:hAnsi="Times New Roman" w:eastAsia="宋体" w:cs="Times New Roman"/>
                <w:b/>
                <w:bCs/>
                <w:color w:val="auto"/>
                <w:highlight w:val="none"/>
              </w:rPr>
              <w:t>环境风险</w:t>
            </w:r>
          </w:p>
          <w:p w14:paraId="209F1A8E">
            <w:pPr>
              <w:pStyle w:val="3"/>
              <w:ind w:firstLine="482"/>
              <w:rPr>
                <w:color w:val="auto"/>
                <w:highlight w:val="none"/>
              </w:rPr>
            </w:pPr>
            <w:r>
              <w:rPr>
                <w:rFonts w:hint="eastAsia"/>
                <w:color w:val="auto"/>
                <w:highlight w:val="none"/>
              </w:rPr>
              <w:t>1）风险物质和风险源分布情况</w:t>
            </w:r>
          </w:p>
          <w:p w14:paraId="7CF32D91">
            <w:pPr>
              <w:pStyle w:val="18"/>
              <w:rPr>
                <w:rFonts w:hint="default"/>
                <w:color w:val="auto"/>
                <w:highlight w:val="none"/>
                <w:lang w:val="en-US" w:eastAsia="zh-CN"/>
              </w:rPr>
            </w:pPr>
            <w:r>
              <w:rPr>
                <w:rFonts w:hint="eastAsia"/>
                <w:color w:val="auto"/>
                <w:highlight w:val="none"/>
              </w:rPr>
              <w:t>根据《建设项目环境风险评价技术导则》（HJ169-2018）附录B以及《企业突发环境事件风险分级方法》（</w:t>
            </w:r>
            <w:r>
              <w:rPr>
                <w:color w:val="auto"/>
                <w:highlight w:val="none"/>
              </w:rPr>
              <w:t>HJ941-2018</w:t>
            </w:r>
            <w:r>
              <w:rPr>
                <w:rFonts w:hint="eastAsia"/>
                <w:color w:val="auto"/>
                <w:highlight w:val="none"/>
              </w:rPr>
              <w:t>）中“附录</w:t>
            </w:r>
            <w:r>
              <w:rPr>
                <w:color w:val="auto"/>
                <w:highlight w:val="none"/>
              </w:rPr>
              <w:t>A</w:t>
            </w:r>
            <w:r>
              <w:rPr>
                <w:rFonts w:hint="eastAsia"/>
                <w:color w:val="auto"/>
                <w:highlight w:val="none"/>
              </w:rPr>
              <w:t>突发环境事件风险物质及临界量清单”，根据项目使用原辅材料成分及性质，本项目主要风险物质主要包括：</w:t>
            </w:r>
            <w:r>
              <w:rPr>
                <w:rFonts w:hint="eastAsia"/>
                <w:color w:val="auto"/>
                <w:highlight w:val="none"/>
                <w:lang w:val="en-US" w:eastAsia="zh-CN"/>
              </w:rPr>
              <w:t>清洗剂、脱模剂、润滑油、液压油等原辅材料以及危险废物。</w:t>
            </w:r>
          </w:p>
          <w:p w14:paraId="1DC68CE5">
            <w:pPr>
              <w:pStyle w:val="18"/>
              <w:rPr>
                <w:rFonts w:hint="eastAsia"/>
                <w:color w:val="auto"/>
                <w:highlight w:val="none"/>
              </w:rPr>
            </w:pPr>
            <w:r>
              <w:rPr>
                <w:rFonts w:hint="eastAsia"/>
                <w:color w:val="auto"/>
                <w:highlight w:val="none"/>
              </w:rPr>
              <w:t>本项目环境风险物质情况详见</w:t>
            </w:r>
            <w:r>
              <w:rPr>
                <w:rFonts w:hint="eastAsia"/>
                <w:color w:val="auto"/>
                <w:highlight w:val="none"/>
              </w:rPr>
              <w:fldChar w:fldCharType="begin"/>
            </w:r>
            <w:r>
              <w:rPr>
                <w:rFonts w:hint="eastAsia"/>
                <w:color w:val="auto"/>
                <w:highlight w:val="none"/>
              </w:rPr>
              <w:instrText xml:space="preserve"> REF _Ref21744 \h </w:instrText>
            </w:r>
            <w:r>
              <w:rPr>
                <w:rFonts w:hint="eastAsia"/>
                <w:color w:val="auto"/>
                <w:highlight w:val="none"/>
              </w:rPr>
              <w:fldChar w:fldCharType="separate"/>
            </w:r>
            <w:r>
              <w:rPr>
                <w:color w:val="auto"/>
                <w:highlight w:val="none"/>
              </w:rPr>
              <w:t>表4-20</w:t>
            </w:r>
            <w:r>
              <w:rPr>
                <w:rFonts w:hint="eastAsia"/>
                <w:color w:val="auto"/>
                <w:highlight w:val="none"/>
              </w:rPr>
              <w:fldChar w:fldCharType="end"/>
            </w:r>
            <w:r>
              <w:rPr>
                <w:rFonts w:hint="eastAsia"/>
                <w:color w:val="auto"/>
                <w:highlight w:val="none"/>
              </w:rPr>
              <w:t>。</w:t>
            </w:r>
          </w:p>
          <w:p w14:paraId="7B3F12A7">
            <w:pPr>
              <w:pStyle w:val="19"/>
              <w:spacing w:before="156"/>
              <w:rPr>
                <w:rFonts w:hint="eastAsia"/>
                <w:color w:val="auto"/>
                <w:highlight w:val="none"/>
              </w:rPr>
            </w:pPr>
            <w:bookmarkStart w:id="51" w:name="_Ref21744"/>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21</w:t>
            </w:r>
            <w:r>
              <w:rPr>
                <w:color w:val="auto"/>
                <w:highlight w:val="none"/>
              </w:rPr>
              <w:fldChar w:fldCharType="end"/>
            </w:r>
            <w:bookmarkEnd w:id="51"/>
            <w:r>
              <w:rPr>
                <w:rFonts w:hint="eastAsia"/>
                <w:color w:val="auto"/>
                <w:highlight w:val="none"/>
              </w:rPr>
              <w:t xml:space="preserve">  环境风险物质及储存情况表</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25"/>
              <w:gridCol w:w="1141"/>
              <w:gridCol w:w="2472"/>
              <w:gridCol w:w="1142"/>
              <w:gridCol w:w="873"/>
              <w:gridCol w:w="994"/>
              <w:gridCol w:w="1226"/>
              <w:gridCol w:w="34"/>
            </w:tblGrid>
            <w:tr w14:paraId="4912B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9" w:type="pct"/>
                <w:trHeight w:val="567" w:hRule="atLeast"/>
                <w:jc w:val="center"/>
              </w:trPr>
              <w:tc>
                <w:tcPr>
                  <w:tcW w:w="313" w:type="pct"/>
                  <w:tcBorders>
                    <w:tl2br w:val="nil"/>
                    <w:tr2bl w:val="nil"/>
                  </w:tcBorders>
                  <w:vAlign w:val="center"/>
                </w:tcPr>
                <w:p w14:paraId="2D7570F8">
                  <w:pPr>
                    <w:pStyle w:val="20"/>
                    <w:spacing w:before="31"/>
                    <w:rPr>
                      <w:b/>
                      <w:bCs/>
                      <w:color w:val="auto"/>
                      <w:highlight w:val="none"/>
                    </w:rPr>
                  </w:pPr>
                  <w:r>
                    <w:rPr>
                      <w:rFonts w:hint="eastAsia"/>
                      <w:b/>
                      <w:bCs/>
                      <w:color w:val="auto"/>
                      <w:highlight w:val="none"/>
                    </w:rPr>
                    <w:t>序号</w:t>
                  </w:r>
                </w:p>
              </w:tc>
              <w:tc>
                <w:tcPr>
                  <w:tcW w:w="679" w:type="pct"/>
                  <w:tcBorders>
                    <w:tl2br w:val="nil"/>
                    <w:tr2bl w:val="nil"/>
                  </w:tcBorders>
                  <w:vAlign w:val="center"/>
                </w:tcPr>
                <w:p w14:paraId="6339A4C9">
                  <w:pPr>
                    <w:pStyle w:val="20"/>
                    <w:spacing w:before="31"/>
                    <w:rPr>
                      <w:b/>
                      <w:bCs/>
                      <w:color w:val="auto"/>
                      <w:highlight w:val="none"/>
                    </w:rPr>
                  </w:pPr>
                  <w:r>
                    <w:rPr>
                      <w:rFonts w:hint="eastAsia"/>
                      <w:b/>
                      <w:bCs/>
                      <w:color w:val="auto"/>
                      <w:highlight w:val="none"/>
                    </w:rPr>
                    <w:t>名称</w:t>
                  </w:r>
                </w:p>
              </w:tc>
              <w:tc>
                <w:tcPr>
                  <w:tcW w:w="1470" w:type="pct"/>
                  <w:tcBorders>
                    <w:tl2br w:val="nil"/>
                    <w:tr2bl w:val="nil"/>
                  </w:tcBorders>
                  <w:vAlign w:val="center"/>
                </w:tcPr>
                <w:p w14:paraId="07D2E294">
                  <w:pPr>
                    <w:pStyle w:val="20"/>
                    <w:spacing w:before="31"/>
                    <w:rPr>
                      <w:rFonts w:hint="default" w:eastAsia="宋体"/>
                      <w:b/>
                      <w:bCs/>
                      <w:color w:val="auto"/>
                      <w:highlight w:val="none"/>
                      <w:lang w:val="en-US" w:eastAsia="zh-CN"/>
                    </w:rPr>
                  </w:pPr>
                  <w:r>
                    <w:rPr>
                      <w:rFonts w:hint="eastAsia"/>
                      <w:b/>
                      <w:bCs/>
                      <w:color w:val="auto"/>
                      <w:highlight w:val="none"/>
                    </w:rPr>
                    <w:t>风险</w:t>
                  </w:r>
                  <w:r>
                    <w:rPr>
                      <w:rFonts w:hint="eastAsia"/>
                      <w:b/>
                      <w:bCs/>
                      <w:color w:val="auto"/>
                      <w:highlight w:val="none"/>
                      <w:lang w:val="en-US" w:eastAsia="zh-CN"/>
                    </w:rPr>
                    <w:t>成分/</w:t>
                  </w:r>
                  <w:r>
                    <w:rPr>
                      <w:rFonts w:hint="eastAsia"/>
                      <w:b/>
                      <w:bCs/>
                      <w:color w:val="auto"/>
                      <w:highlight w:val="none"/>
                    </w:rPr>
                    <w:t>GHS危险类别</w:t>
                  </w:r>
                </w:p>
              </w:tc>
              <w:tc>
                <w:tcPr>
                  <w:tcW w:w="679" w:type="pct"/>
                  <w:tcBorders>
                    <w:tl2br w:val="nil"/>
                    <w:tr2bl w:val="nil"/>
                  </w:tcBorders>
                  <w:vAlign w:val="center"/>
                </w:tcPr>
                <w:p w14:paraId="63BDEE7C">
                  <w:pPr>
                    <w:pStyle w:val="20"/>
                    <w:spacing w:before="31"/>
                    <w:rPr>
                      <w:b/>
                      <w:bCs/>
                      <w:color w:val="auto"/>
                      <w:highlight w:val="none"/>
                    </w:rPr>
                  </w:pPr>
                  <w:r>
                    <w:rPr>
                      <w:rFonts w:hint="eastAsia"/>
                      <w:b/>
                      <w:bCs/>
                      <w:color w:val="auto"/>
                      <w:highlight w:val="none"/>
                    </w:rPr>
                    <w:t>最大储存量（</w:t>
                  </w:r>
                  <w:r>
                    <w:rPr>
                      <w:b/>
                      <w:bCs/>
                      <w:color w:val="auto"/>
                      <w:highlight w:val="none"/>
                    </w:rPr>
                    <w:t>t</w:t>
                  </w:r>
                  <w:r>
                    <w:rPr>
                      <w:rFonts w:hint="eastAsia"/>
                      <w:b/>
                      <w:bCs/>
                      <w:color w:val="auto"/>
                      <w:highlight w:val="none"/>
                    </w:rPr>
                    <w:t>）</w:t>
                  </w:r>
                </w:p>
              </w:tc>
              <w:tc>
                <w:tcPr>
                  <w:tcW w:w="518" w:type="pct"/>
                  <w:tcBorders>
                    <w:tl2br w:val="nil"/>
                    <w:tr2bl w:val="nil"/>
                  </w:tcBorders>
                  <w:vAlign w:val="center"/>
                </w:tcPr>
                <w:p w14:paraId="2E345390">
                  <w:pPr>
                    <w:pStyle w:val="20"/>
                    <w:spacing w:before="31"/>
                    <w:rPr>
                      <w:b/>
                      <w:bCs/>
                      <w:color w:val="auto"/>
                      <w:highlight w:val="none"/>
                    </w:rPr>
                  </w:pPr>
                  <w:r>
                    <w:rPr>
                      <w:rFonts w:hint="eastAsia"/>
                      <w:b/>
                      <w:bCs/>
                      <w:color w:val="auto"/>
                      <w:highlight w:val="none"/>
                    </w:rPr>
                    <w:t>临界量（</w:t>
                  </w:r>
                  <w:r>
                    <w:rPr>
                      <w:b/>
                      <w:bCs/>
                      <w:color w:val="auto"/>
                      <w:highlight w:val="none"/>
                    </w:rPr>
                    <w:t>t</w:t>
                  </w:r>
                  <w:r>
                    <w:rPr>
                      <w:rFonts w:hint="eastAsia"/>
                      <w:b/>
                      <w:bCs/>
                      <w:color w:val="auto"/>
                      <w:highlight w:val="none"/>
                    </w:rPr>
                    <w:t>）</w:t>
                  </w:r>
                </w:p>
              </w:tc>
              <w:tc>
                <w:tcPr>
                  <w:tcW w:w="591" w:type="pct"/>
                  <w:tcBorders>
                    <w:tl2br w:val="nil"/>
                    <w:tr2bl w:val="nil"/>
                  </w:tcBorders>
                  <w:vAlign w:val="center"/>
                </w:tcPr>
                <w:p w14:paraId="11B97401">
                  <w:pPr>
                    <w:pStyle w:val="20"/>
                    <w:spacing w:before="31"/>
                    <w:rPr>
                      <w:b/>
                      <w:bCs/>
                      <w:color w:val="auto"/>
                      <w:highlight w:val="none"/>
                    </w:rPr>
                  </w:pPr>
                  <w:r>
                    <w:rPr>
                      <w:rFonts w:hint="eastAsia"/>
                      <w:b/>
                      <w:bCs/>
                      <w:color w:val="auto"/>
                      <w:highlight w:val="none"/>
                    </w:rPr>
                    <w:t>Q</w:t>
                  </w:r>
                </w:p>
              </w:tc>
              <w:tc>
                <w:tcPr>
                  <w:tcW w:w="729" w:type="pct"/>
                  <w:tcBorders>
                    <w:tl2br w:val="nil"/>
                    <w:tr2bl w:val="nil"/>
                  </w:tcBorders>
                  <w:vAlign w:val="center"/>
                </w:tcPr>
                <w:p w14:paraId="44735281">
                  <w:pPr>
                    <w:pStyle w:val="20"/>
                    <w:spacing w:before="31"/>
                    <w:rPr>
                      <w:b/>
                      <w:bCs/>
                      <w:color w:val="auto"/>
                      <w:highlight w:val="none"/>
                    </w:rPr>
                  </w:pPr>
                  <w:r>
                    <w:rPr>
                      <w:rFonts w:hint="eastAsia"/>
                      <w:b/>
                      <w:bCs/>
                      <w:color w:val="auto"/>
                      <w:highlight w:val="none"/>
                    </w:rPr>
                    <w:t>位置</w:t>
                  </w:r>
                </w:p>
              </w:tc>
            </w:tr>
            <w:tr w14:paraId="2F89B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9" w:type="pct"/>
                <w:trHeight w:val="454" w:hRule="atLeast"/>
                <w:jc w:val="center"/>
              </w:trPr>
              <w:tc>
                <w:tcPr>
                  <w:tcW w:w="313" w:type="pct"/>
                  <w:tcBorders>
                    <w:tl2br w:val="nil"/>
                    <w:tr2bl w:val="nil"/>
                  </w:tcBorders>
                  <w:vAlign w:val="center"/>
                </w:tcPr>
                <w:p w14:paraId="1444F8CC">
                  <w:pPr>
                    <w:pStyle w:val="20"/>
                    <w:bidi w:val="0"/>
                    <w:rPr>
                      <w:color w:val="auto"/>
                      <w:highlight w:val="none"/>
                    </w:rPr>
                  </w:pPr>
                  <w:r>
                    <w:rPr>
                      <w:rFonts w:hint="eastAsia"/>
                      <w:color w:val="auto"/>
                      <w:highlight w:val="none"/>
                    </w:rPr>
                    <w:t>1</w:t>
                  </w:r>
                </w:p>
              </w:tc>
              <w:tc>
                <w:tcPr>
                  <w:tcW w:w="679" w:type="pct"/>
                  <w:tcBorders>
                    <w:tl2br w:val="nil"/>
                    <w:tr2bl w:val="nil"/>
                  </w:tcBorders>
                  <w:vAlign w:val="center"/>
                </w:tcPr>
                <w:p w14:paraId="5A650FAE">
                  <w:pPr>
                    <w:pStyle w:val="20"/>
                    <w:bidi w:val="0"/>
                    <w:rPr>
                      <w:color w:val="auto"/>
                      <w:highlight w:val="none"/>
                    </w:rPr>
                  </w:pPr>
                  <w:r>
                    <w:rPr>
                      <w:rFonts w:hint="eastAsia"/>
                      <w:color w:val="auto"/>
                      <w:highlight w:val="none"/>
                      <w:lang w:val="en-US" w:eastAsia="zh-CN"/>
                    </w:rPr>
                    <w:t>清洗剂</w:t>
                  </w:r>
                </w:p>
              </w:tc>
              <w:tc>
                <w:tcPr>
                  <w:tcW w:w="1470" w:type="pct"/>
                  <w:tcBorders>
                    <w:tl2br w:val="nil"/>
                    <w:tr2bl w:val="nil"/>
                  </w:tcBorders>
                  <w:vAlign w:val="center"/>
                </w:tcPr>
                <w:p w14:paraId="1B723D3F">
                  <w:pPr>
                    <w:pStyle w:val="20"/>
                    <w:bidi w:val="0"/>
                    <w:rPr>
                      <w:rFonts w:hint="eastAsia"/>
                      <w:color w:val="auto"/>
                      <w:highlight w:val="none"/>
                      <w:lang w:val="en-US" w:eastAsia="zh-CN"/>
                    </w:rPr>
                  </w:pPr>
                  <w:r>
                    <w:rPr>
                      <w:rFonts w:hint="eastAsia"/>
                      <w:color w:val="auto"/>
                      <w:highlight w:val="none"/>
                      <w:lang w:val="en-US" w:eastAsia="zh-CN"/>
                    </w:rPr>
                    <w:t>第2.1类易燃气体</w:t>
                  </w:r>
                </w:p>
              </w:tc>
              <w:tc>
                <w:tcPr>
                  <w:tcW w:w="679" w:type="pct"/>
                  <w:tcBorders>
                    <w:tl2br w:val="nil"/>
                    <w:tr2bl w:val="nil"/>
                  </w:tcBorders>
                  <w:vAlign w:val="center"/>
                </w:tcPr>
                <w:p w14:paraId="2ACCC6ED">
                  <w:pPr>
                    <w:pStyle w:val="20"/>
                    <w:bidi w:val="0"/>
                    <w:rPr>
                      <w:rFonts w:hint="default"/>
                      <w:color w:val="auto"/>
                      <w:highlight w:val="none"/>
                      <w:lang w:val="en-US" w:eastAsia="zh-CN"/>
                    </w:rPr>
                  </w:pPr>
                  <w:r>
                    <w:rPr>
                      <w:rFonts w:hint="eastAsia"/>
                      <w:color w:val="auto"/>
                      <w:highlight w:val="none"/>
                      <w:lang w:val="en-US" w:eastAsia="zh-CN"/>
                    </w:rPr>
                    <w:t>0.0144</w:t>
                  </w:r>
                </w:p>
              </w:tc>
              <w:tc>
                <w:tcPr>
                  <w:tcW w:w="518" w:type="pct"/>
                  <w:vMerge w:val="restart"/>
                  <w:tcBorders>
                    <w:tl2br w:val="nil"/>
                    <w:tr2bl w:val="nil"/>
                  </w:tcBorders>
                  <w:vAlign w:val="center"/>
                </w:tcPr>
                <w:p w14:paraId="4F8981BC">
                  <w:pPr>
                    <w:pStyle w:val="20"/>
                    <w:bidi w:val="0"/>
                    <w:rPr>
                      <w:rFonts w:hint="default"/>
                      <w:color w:val="auto"/>
                      <w:highlight w:val="none"/>
                      <w:lang w:val="en-US"/>
                    </w:rPr>
                  </w:pPr>
                  <w:r>
                    <w:rPr>
                      <w:rFonts w:hint="eastAsia"/>
                      <w:color w:val="auto"/>
                      <w:highlight w:val="none"/>
                      <w:lang w:val="en-US" w:eastAsia="zh-CN"/>
                    </w:rPr>
                    <w:t>5*</w:t>
                  </w:r>
                </w:p>
              </w:tc>
              <w:tc>
                <w:tcPr>
                  <w:tcW w:w="591" w:type="pct"/>
                  <w:tcBorders>
                    <w:tl2br w:val="nil"/>
                    <w:tr2bl w:val="nil"/>
                  </w:tcBorders>
                  <w:vAlign w:val="center"/>
                </w:tcPr>
                <w:p w14:paraId="71A6FF78">
                  <w:pPr>
                    <w:pStyle w:val="20"/>
                    <w:bidi w:val="0"/>
                    <w:rPr>
                      <w:rFonts w:hint="default"/>
                      <w:color w:val="auto"/>
                      <w:highlight w:val="none"/>
                      <w:lang w:val="en-US" w:eastAsia="zh-CN"/>
                    </w:rPr>
                  </w:pPr>
                  <w:r>
                    <w:rPr>
                      <w:rFonts w:hint="eastAsia"/>
                      <w:color w:val="auto"/>
                      <w:highlight w:val="none"/>
                      <w:lang w:val="en-US" w:eastAsia="zh-CN"/>
                    </w:rPr>
                    <w:t>0.00144</w:t>
                  </w:r>
                </w:p>
              </w:tc>
              <w:tc>
                <w:tcPr>
                  <w:tcW w:w="729" w:type="pct"/>
                  <w:vMerge w:val="restart"/>
                  <w:tcBorders>
                    <w:tl2br w:val="nil"/>
                    <w:tr2bl w:val="nil"/>
                  </w:tcBorders>
                  <w:vAlign w:val="center"/>
                </w:tcPr>
                <w:p w14:paraId="4BDCA27C">
                  <w:pPr>
                    <w:pStyle w:val="20"/>
                    <w:bidi w:val="0"/>
                    <w:rPr>
                      <w:color w:val="auto"/>
                      <w:highlight w:val="none"/>
                    </w:rPr>
                  </w:pPr>
                  <w:r>
                    <w:rPr>
                      <w:rFonts w:hint="eastAsia"/>
                      <w:color w:val="auto"/>
                      <w:highlight w:val="none"/>
                      <w:lang w:val="en-US" w:eastAsia="zh-CN"/>
                    </w:rPr>
                    <w:t>五金备件库</w:t>
                  </w:r>
                </w:p>
              </w:tc>
            </w:tr>
            <w:tr w14:paraId="47345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9" w:type="pct"/>
                <w:trHeight w:val="454" w:hRule="atLeast"/>
                <w:jc w:val="center"/>
              </w:trPr>
              <w:tc>
                <w:tcPr>
                  <w:tcW w:w="313" w:type="pct"/>
                  <w:tcBorders>
                    <w:tl2br w:val="nil"/>
                    <w:tr2bl w:val="nil"/>
                  </w:tcBorders>
                  <w:vAlign w:val="center"/>
                </w:tcPr>
                <w:p w14:paraId="3EC08B3F">
                  <w:pPr>
                    <w:pStyle w:val="20"/>
                    <w:bidi w:val="0"/>
                    <w:rPr>
                      <w:color w:val="auto"/>
                      <w:highlight w:val="none"/>
                    </w:rPr>
                  </w:pPr>
                  <w:r>
                    <w:rPr>
                      <w:rFonts w:hint="eastAsia"/>
                      <w:color w:val="auto"/>
                      <w:highlight w:val="none"/>
                    </w:rPr>
                    <w:t>2</w:t>
                  </w:r>
                </w:p>
              </w:tc>
              <w:tc>
                <w:tcPr>
                  <w:tcW w:w="679" w:type="pct"/>
                  <w:tcBorders>
                    <w:tl2br w:val="nil"/>
                    <w:tr2bl w:val="nil"/>
                  </w:tcBorders>
                  <w:vAlign w:val="center"/>
                </w:tcPr>
                <w:p w14:paraId="66FEAEFB">
                  <w:pPr>
                    <w:pStyle w:val="20"/>
                    <w:bidi w:val="0"/>
                    <w:rPr>
                      <w:color w:val="auto"/>
                      <w:highlight w:val="none"/>
                    </w:rPr>
                  </w:pPr>
                  <w:r>
                    <w:rPr>
                      <w:rFonts w:hint="eastAsia"/>
                      <w:color w:val="auto"/>
                      <w:highlight w:val="none"/>
                      <w:lang w:val="en-US" w:eastAsia="zh-CN"/>
                    </w:rPr>
                    <w:t>脱模剂</w:t>
                  </w:r>
                </w:p>
              </w:tc>
              <w:tc>
                <w:tcPr>
                  <w:tcW w:w="1470" w:type="pct"/>
                  <w:tcBorders>
                    <w:tl2br w:val="nil"/>
                    <w:tr2bl w:val="nil"/>
                  </w:tcBorders>
                  <w:vAlign w:val="center"/>
                </w:tcPr>
                <w:p w14:paraId="1D56C9D5">
                  <w:pPr>
                    <w:pStyle w:val="20"/>
                    <w:bidi w:val="0"/>
                    <w:rPr>
                      <w:color w:val="auto"/>
                      <w:highlight w:val="none"/>
                    </w:rPr>
                  </w:pPr>
                  <w:r>
                    <w:rPr>
                      <w:rFonts w:hint="eastAsia"/>
                      <w:color w:val="auto"/>
                      <w:highlight w:val="none"/>
                      <w:lang w:val="en-US" w:eastAsia="zh-CN"/>
                    </w:rPr>
                    <w:t>第2.1类易燃气体</w:t>
                  </w:r>
                </w:p>
              </w:tc>
              <w:tc>
                <w:tcPr>
                  <w:tcW w:w="679" w:type="pct"/>
                  <w:tcBorders>
                    <w:tl2br w:val="nil"/>
                    <w:tr2bl w:val="nil"/>
                  </w:tcBorders>
                  <w:vAlign w:val="center"/>
                </w:tcPr>
                <w:p w14:paraId="75FDC3EF">
                  <w:pPr>
                    <w:pStyle w:val="20"/>
                    <w:bidi w:val="0"/>
                    <w:rPr>
                      <w:color w:val="auto"/>
                      <w:highlight w:val="none"/>
                    </w:rPr>
                  </w:pPr>
                  <w:r>
                    <w:rPr>
                      <w:rFonts w:hint="eastAsia"/>
                      <w:color w:val="auto"/>
                      <w:highlight w:val="none"/>
                      <w:lang w:val="en-US" w:eastAsia="zh-CN"/>
                    </w:rPr>
                    <w:t>0.0144</w:t>
                  </w:r>
                </w:p>
              </w:tc>
              <w:tc>
                <w:tcPr>
                  <w:tcW w:w="518" w:type="pct"/>
                  <w:vMerge w:val="continue"/>
                  <w:tcBorders>
                    <w:tl2br w:val="nil"/>
                    <w:tr2bl w:val="nil"/>
                  </w:tcBorders>
                  <w:vAlign w:val="center"/>
                </w:tcPr>
                <w:p w14:paraId="4408AADA">
                  <w:pPr>
                    <w:pStyle w:val="20"/>
                    <w:bidi w:val="0"/>
                    <w:rPr>
                      <w:color w:val="auto"/>
                      <w:highlight w:val="none"/>
                    </w:rPr>
                  </w:pPr>
                </w:p>
              </w:tc>
              <w:tc>
                <w:tcPr>
                  <w:tcW w:w="591" w:type="pct"/>
                  <w:tcBorders>
                    <w:tl2br w:val="nil"/>
                    <w:tr2bl w:val="nil"/>
                  </w:tcBorders>
                  <w:vAlign w:val="center"/>
                </w:tcPr>
                <w:p w14:paraId="7BF519C5">
                  <w:pPr>
                    <w:pStyle w:val="20"/>
                    <w:bidi w:val="0"/>
                    <w:rPr>
                      <w:color w:val="auto"/>
                      <w:highlight w:val="none"/>
                    </w:rPr>
                  </w:pPr>
                  <w:r>
                    <w:rPr>
                      <w:rFonts w:hint="eastAsia"/>
                      <w:color w:val="auto"/>
                      <w:highlight w:val="none"/>
                      <w:lang w:val="en-US" w:eastAsia="zh-CN"/>
                    </w:rPr>
                    <w:t>0.00144</w:t>
                  </w:r>
                </w:p>
              </w:tc>
              <w:tc>
                <w:tcPr>
                  <w:tcW w:w="729" w:type="pct"/>
                  <w:vMerge w:val="continue"/>
                  <w:tcBorders>
                    <w:tl2br w:val="nil"/>
                    <w:tr2bl w:val="nil"/>
                  </w:tcBorders>
                  <w:vAlign w:val="center"/>
                </w:tcPr>
                <w:p w14:paraId="6A0D2EAA">
                  <w:pPr>
                    <w:pStyle w:val="20"/>
                    <w:bidi w:val="0"/>
                    <w:rPr>
                      <w:color w:val="auto"/>
                      <w:highlight w:val="none"/>
                    </w:rPr>
                  </w:pPr>
                </w:p>
              </w:tc>
            </w:tr>
            <w:tr w14:paraId="4974B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9" w:type="pct"/>
                <w:trHeight w:val="454" w:hRule="atLeast"/>
                <w:jc w:val="center"/>
              </w:trPr>
              <w:tc>
                <w:tcPr>
                  <w:tcW w:w="313" w:type="pct"/>
                  <w:tcBorders>
                    <w:tl2br w:val="nil"/>
                    <w:tr2bl w:val="nil"/>
                  </w:tcBorders>
                  <w:shd w:val="clear" w:color="auto" w:fill="auto"/>
                  <w:vAlign w:val="center"/>
                </w:tcPr>
                <w:p w14:paraId="26213A86">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3</w:t>
                  </w:r>
                </w:p>
              </w:tc>
              <w:tc>
                <w:tcPr>
                  <w:tcW w:w="679" w:type="pct"/>
                  <w:tcBorders>
                    <w:tl2br w:val="nil"/>
                    <w:tr2bl w:val="nil"/>
                  </w:tcBorders>
                  <w:vAlign w:val="center"/>
                </w:tcPr>
                <w:p w14:paraId="7F45DDC9">
                  <w:pPr>
                    <w:pStyle w:val="20"/>
                    <w:bidi w:val="0"/>
                    <w:rPr>
                      <w:color w:val="auto"/>
                      <w:highlight w:val="none"/>
                    </w:rPr>
                  </w:pPr>
                  <w:r>
                    <w:rPr>
                      <w:rFonts w:hint="eastAsia"/>
                      <w:color w:val="auto"/>
                      <w:highlight w:val="none"/>
                    </w:rPr>
                    <w:t>润滑油</w:t>
                  </w:r>
                </w:p>
              </w:tc>
              <w:tc>
                <w:tcPr>
                  <w:tcW w:w="1470" w:type="pct"/>
                  <w:tcBorders>
                    <w:tl2br w:val="nil"/>
                    <w:tr2bl w:val="nil"/>
                  </w:tcBorders>
                  <w:vAlign w:val="center"/>
                </w:tcPr>
                <w:p w14:paraId="649E6DDF">
                  <w:pPr>
                    <w:pStyle w:val="20"/>
                    <w:bidi w:val="0"/>
                    <w:rPr>
                      <w:color w:val="auto"/>
                      <w:highlight w:val="none"/>
                    </w:rPr>
                  </w:pPr>
                  <w:r>
                    <w:rPr>
                      <w:rFonts w:hint="eastAsia"/>
                      <w:color w:val="auto"/>
                      <w:highlight w:val="none"/>
                    </w:rPr>
                    <w:t>油类物质</w:t>
                  </w:r>
                </w:p>
              </w:tc>
              <w:tc>
                <w:tcPr>
                  <w:tcW w:w="679" w:type="pct"/>
                  <w:tcBorders>
                    <w:tl2br w:val="nil"/>
                    <w:tr2bl w:val="nil"/>
                  </w:tcBorders>
                  <w:vAlign w:val="center"/>
                </w:tcPr>
                <w:p w14:paraId="4FBBA9F7">
                  <w:pPr>
                    <w:pStyle w:val="20"/>
                    <w:bidi w:val="0"/>
                    <w:rPr>
                      <w:color w:val="auto"/>
                      <w:highlight w:val="none"/>
                    </w:rPr>
                  </w:pPr>
                  <w:r>
                    <w:rPr>
                      <w:rFonts w:hint="eastAsia"/>
                      <w:color w:val="auto"/>
                      <w:highlight w:val="none"/>
                    </w:rPr>
                    <w:t>0.1</w:t>
                  </w:r>
                </w:p>
              </w:tc>
              <w:tc>
                <w:tcPr>
                  <w:tcW w:w="518" w:type="pct"/>
                  <w:vMerge w:val="restart"/>
                  <w:tcBorders>
                    <w:tl2br w:val="nil"/>
                    <w:tr2bl w:val="nil"/>
                  </w:tcBorders>
                  <w:vAlign w:val="center"/>
                </w:tcPr>
                <w:p w14:paraId="6B7D5845">
                  <w:pPr>
                    <w:pStyle w:val="20"/>
                    <w:bidi w:val="0"/>
                    <w:rPr>
                      <w:rFonts w:hint="eastAsia"/>
                      <w:color w:val="auto"/>
                      <w:highlight w:val="none"/>
                    </w:rPr>
                  </w:pPr>
                  <w:r>
                    <w:rPr>
                      <w:rFonts w:hint="eastAsia"/>
                      <w:color w:val="auto"/>
                      <w:highlight w:val="none"/>
                    </w:rPr>
                    <w:t>2500</w:t>
                  </w:r>
                </w:p>
              </w:tc>
              <w:tc>
                <w:tcPr>
                  <w:tcW w:w="591" w:type="pct"/>
                  <w:tcBorders>
                    <w:tl2br w:val="nil"/>
                    <w:tr2bl w:val="nil"/>
                  </w:tcBorders>
                  <w:vAlign w:val="center"/>
                </w:tcPr>
                <w:p w14:paraId="4C04B1F9">
                  <w:pPr>
                    <w:pStyle w:val="20"/>
                    <w:bidi w:val="0"/>
                    <w:rPr>
                      <w:color w:val="auto"/>
                      <w:highlight w:val="none"/>
                    </w:rPr>
                  </w:pPr>
                  <w:r>
                    <w:rPr>
                      <w:rFonts w:hint="default"/>
                      <w:color w:val="auto"/>
                      <w:highlight w:val="none"/>
                      <w:lang w:val="en-US" w:eastAsia="zh-CN"/>
                    </w:rPr>
                    <w:t>0.0000</w:t>
                  </w:r>
                  <w:r>
                    <w:rPr>
                      <w:rFonts w:hint="eastAsia"/>
                      <w:color w:val="auto"/>
                      <w:highlight w:val="none"/>
                      <w:lang w:val="en-US" w:eastAsia="zh-CN"/>
                    </w:rPr>
                    <w:t>4</w:t>
                  </w:r>
                </w:p>
              </w:tc>
              <w:tc>
                <w:tcPr>
                  <w:tcW w:w="729" w:type="pct"/>
                  <w:vMerge w:val="restart"/>
                  <w:tcBorders>
                    <w:tl2br w:val="nil"/>
                    <w:tr2bl w:val="nil"/>
                  </w:tcBorders>
                  <w:vAlign w:val="center"/>
                </w:tcPr>
                <w:p w14:paraId="7F33DE34">
                  <w:pPr>
                    <w:pStyle w:val="20"/>
                    <w:bidi w:val="0"/>
                    <w:rPr>
                      <w:rFonts w:hint="default"/>
                      <w:color w:val="auto"/>
                      <w:highlight w:val="none"/>
                      <w:lang w:val="en-US"/>
                    </w:rPr>
                  </w:pPr>
                  <w:r>
                    <w:rPr>
                      <w:rFonts w:hint="eastAsia"/>
                      <w:color w:val="auto"/>
                      <w:highlight w:val="none"/>
                      <w:lang w:val="en-US" w:eastAsia="zh-CN"/>
                    </w:rPr>
                    <w:t>五金备件库</w:t>
                  </w:r>
                </w:p>
              </w:tc>
            </w:tr>
            <w:tr w14:paraId="39074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9" w:type="pct"/>
                <w:trHeight w:val="454" w:hRule="atLeast"/>
                <w:jc w:val="center"/>
              </w:trPr>
              <w:tc>
                <w:tcPr>
                  <w:tcW w:w="313" w:type="pct"/>
                  <w:tcBorders>
                    <w:tl2br w:val="nil"/>
                    <w:tr2bl w:val="nil"/>
                  </w:tcBorders>
                  <w:shd w:val="clear" w:color="auto" w:fill="auto"/>
                  <w:vAlign w:val="center"/>
                </w:tcPr>
                <w:p w14:paraId="6C793352">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4</w:t>
                  </w:r>
                </w:p>
              </w:tc>
              <w:tc>
                <w:tcPr>
                  <w:tcW w:w="679" w:type="pct"/>
                  <w:tcBorders>
                    <w:tl2br w:val="nil"/>
                    <w:tr2bl w:val="nil"/>
                  </w:tcBorders>
                  <w:vAlign w:val="center"/>
                </w:tcPr>
                <w:p w14:paraId="719330FE">
                  <w:pPr>
                    <w:pStyle w:val="20"/>
                    <w:bidi w:val="0"/>
                    <w:rPr>
                      <w:rFonts w:hint="default"/>
                      <w:color w:val="auto"/>
                      <w:highlight w:val="none"/>
                      <w:lang w:val="en-US" w:eastAsia="zh-CN"/>
                    </w:rPr>
                  </w:pPr>
                  <w:r>
                    <w:rPr>
                      <w:rFonts w:hint="eastAsia"/>
                      <w:color w:val="auto"/>
                      <w:highlight w:val="none"/>
                      <w:lang w:val="en-US" w:eastAsia="zh-CN"/>
                    </w:rPr>
                    <w:t>液压油</w:t>
                  </w:r>
                </w:p>
              </w:tc>
              <w:tc>
                <w:tcPr>
                  <w:tcW w:w="1470" w:type="pct"/>
                  <w:tcBorders>
                    <w:tl2br w:val="nil"/>
                    <w:tr2bl w:val="nil"/>
                  </w:tcBorders>
                  <w:vAlign w:val="center"/>
                </w:tcPr>
                <w:p w14:paraId="2F52E604">
                  <w:pPr>
                    <w:pStyle w:val="20"/>
                    <w:bidi w:val="0"/>
                    <w:rPr>
                      <w:rFonts w:hint="eastAsia"/>
                      <w:color w:val="auto"/>
                      <w:highlight w:val="none"/>
                    </w:rPr>
                  </w:pPr>
                  <w:r>
                    <w:rPr>
                      <w:rFonts w:hint="eastAsia"/>
                      <w:color w:val="auto"/>
                      <w:highlight w:val="none"/>
                    </w:rPr>
                    <w:t>油类物质</w:t>
                  </w:r>
                </w:p>
              </w:tc>
              <w:tc>
                <w:tcPr>
                  <w:tcW w:w="679" w:type="pct"/>
                  <w:tcBorders>
                    <w:tl2br w:val="nil"/>
                    <w:tr2bl w:val="nil"/>
                  </w:tcBorders>
                  <w:vAlign w:val="center"/>
                </w:tcPr>
                <w:p w14:paraId="40DEB47F">
                  <w:pPr>
                    <w:pStyle w:val="20"/>
                    <w:bidi w:val="0"/>
                    <w:rPr>
                      <w:rFonts w:hint="default"/>
                      <w:color w:val="auto"/>
                      <w:highlight w:val="none"/>
                      <w:lang w:val="en-US" w:eastAsia="zh-CN"/>
                    </w:rPr>
                  </w:pPr>
                  <w:r>
                    <w:rPr>
                      <w:rFonts w:hint="eastAsia"/>
                      <w:color w:val="auto"/>
                      <w:highlight w:val="none"/>
                      <w:lang w:val="en-US" w:eastAsia="zh-CN"/>
                    </w:rPr>
                    <w:t>0.34</w:t>
                  </w:r>
                </w:p>
              </w:tc>
              <w:tc>
                <w:tcPr>
                  <w:tcW w:w="518" w:type="pct"/>
                  <w:vMerge w:val="continue"/>
                  <w:tcBorders>
                    <w:tl2br w:val="nil"/>
                    <w:tr2bl w:val="nil"/>
                  </w:tcBorders>
                  <w:vAlign w:val="center"/>
                </w:tcPr>
                <w:p w14:paraId="77411925">
                  <w:pPr>
                    <w:pStyle w:val="20"/>
                    <w:bidi w:val="0"/>
                    <w:rPr>
                      <w:rFonts w:hint="eastAsia"/>
                      <w:color w:val="auto"/>
                      <w:highlight w:val="none"/>
                    </w:rPr>
                  </w:pPr>
                </w:p>
              </w:tc>
              <w:tc>
                <w:tcPr>
                  <w:tcW w:w="591" w:type="pct"/>
                  <w:tcBorders>
                    <w:tl2br w:val="nil"/>
                    <w:tr2bl w:val="nil"/>
                  </w:tcBorders>
                  <w:vAlign w:val="center"/>
                </w:tcPr>
                <w:p w14:paraId="50609082">
                  <w:pPr>
                    <w:pStyle w:val="20"/>
                    <w:bidi w:val="0"/>
                    <w:rPr>
                      <w:rFonts w:hint="default"/>
                      <w:color w:val="auto"/>
                      <w:highlight w:val="none"/>
                      <w:lang w:val="en-US" w:eastAsia="zh-CN"/>
                    </w:rPr>
                  </w:pPr>
                  <w:r>
                    <w:rPr>
                      <w:rFonts w:hint="eastAsia"/>
                      <w:color w:val="auto"/>
                      <w:highlight w:val="none"/>
                      <w:lang w:val="en-US" w:eastAsia="zh-CN"/>
                    </w:rPr>
                    <w:t>0.000136</w:t>
                  </w:r>
                </w:p>
              </w:tc>
              <w:tc>
                <w:tcPr>
                  <w:tcW w:w="729" w:type="pct"/>
                  <w:vMerge w:val="continue"/>
                  <w:tcBorders>
                    <w:tl2br w:val="nil"/>
                    <w:tr2bl w:val="nil"/>
                  </w:tcBorders>
                  <w:vAlign w:val="center"/>
                </w:tcPr>
                <w:p w14:paraId="0F3957ED">
                  <w:pPr>
                    <w:pStyle w:val="20"/>
                    <w:bidi w:val="0"/>
                    <w:rPr>
                      <w:color w:val="auto"/>
                      <w:highlight w:val="none"/>
                    </w:rPr>
                  </w:pPr>
                </w:p>
              </w:tc>
            </w:tr>
            <w:tr w14:paraId="4D743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9" w:type="pct"/>
                <w:trHeight w:val="454" w:hRule="atLeast"/>
                <w:jc w:val="center"/>
              </w:trPr>
              <w:tc>
                <w:tcPr>
                  <w:tcW w:w="313" w:type="pct"/>
                  <w:tcBorders>
                    <w:tl2br w:val="nil"/>
                    <w:tr2bl w:val="nil"/>
                  </w:tcBorders>
                  <w:shd w:val="clear" w:color="auto" w:fill="auto"/>
                  <w:vAlign w:val="center"/>
                </w:tcPr>
                <w:p w14:paraId="03647B7C">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5</w:t>
                  </w:r>
                </w:p>
              </w:tc>
              <w:tc>
                <w:tcPr>
                  <w:tcW w:w="679" w:type="pct"/>
                  <w:tcBorders>
                    <w:tl2br w:val="nil"/>
                    <w:tr2bl w:val="nil"/>
                  </w:tcBorders>
                  <w:vAlign w:val="center"/>
                </w:tcPr>
                <w:p w14:paraId="006E00DD">
                  <w:pPr>
                    <w:pStyle w:val="20"/>
                    <w:bidi w:val="0"/>
                    <w:rPr>
                      <w:rFonts w:hint="default"/>
                      <w:color w:val="auto"/>
                      <w:highlight w:val="none"/>
                      <w:lang w:val="en-US" w:eastAsia="zh-CN"/>
                    </w:rPr>
                  </w:pPr>
                  <w:r>
                    <w:rPr>
                      <w:rFonts w:hint="eastAsia"/>
                      <w:color w:val="auto"/>
                      <w:highlight w:val="none"/>
                      <w:lang w:val="en-US" w:eastAsia="zh-CN"/>
                    </w:rPr>
                    <w:t>危险废物</w:t>
                  </w:r>
                </w:p>
              </w:tc>
              <w:tc>
                <w:tcPr>
                  <w:tcW w:w="1470" w:type="pct"/>
                  <w:tcBorders>
                    <w:tl2br w:val="nil"/>
                    <w:tr2bl w:val="nil"/>
                  </w:tcBorders>
                  <w:vAlign w:val="center"/>
                </w:tcPr>
                <w:p w14:paraId="5DA8E0CE">
                  <w:pPr>
                    <w:pStyle w:val="20"/>
                    <w:bidi w:val="0"/>
                    <w:rPr>
                      <w:rFonts w:hint="default"/>
                      <w:color w:val="auto"/>
                      <w:highlight w:val="none"/>
                      <w:lang w:val="en-US" w:eastAsia="zh-CN"/>
                    </w:rPr>
                  </w:pPr>
                  <w:r>
                    <w:rPr>
                      <w:rFonts w:hint="eastAsia"/>
                      <w:color w:val="auto"/>
                      <w:highlight w:val="none"/>
                    </w:rPr>
                    <w:t>油类物质</w:t>
                  </w:r>
                  <w:r>
                    <w:rPr>
                      <w:rFonts w:hint="eastAsia"/>
                      <w:color w:val="auto"/>
                      <w:highlight w:val="none"/>
                      <w:lang w:eastAsia="zh-CN"/>
                    </w:rPr>
                    <w:t>、</w:t>
                  </w:r>
                  <w:r>
                    <w:rPr>
                      <w:rFonts w:hint="eastAsia"/>
                      <w:color w:val="auto"/>
                      <w:highlight w:val="none"/>
                      <w:lang w:val="en-US" w:eastAsia="zh-CN"/>
                    </w:rPr>
                    <w:t>含汞灯管、吸附的有机污染物等，主要</w:t>
                  </w:r>
                  <w:r>
                    <w:rPr>
                      <w:rFonts w:hint="eastAsia"/>
                      <w:color w:val="auto"/>
                      <w:highlight w:val="none"/>
                    </w:rPr>
                    <w:t>环境危险特性</w:t>
                  </w:r>
                  <w:r>
                    <w:rPr>
                      <w:rFonts w:hint="eastAsia"/>
                      <w:color w:val="auto"/>
                      <w:highlight w:val="none"/>
                      <w:lang w:val="en-US" w:eastAsia="zh-CN"/>
                    </w:rPr>
                    <w:t>为毒性</w:t>
                  </w:r>
                </w:p>
              </w:tc>
              <w:tc>
                <w:tcPr>
                  <w:tcW w:w="679" w:type="pct"/>
                  <w:tcBorders>
                    <w:tl2br w:val="nil"/>
                    <w:tr2bl w:val="nil"/>
                  </w:tcBorders>
                  <w:vAlign w:val="center"/>
                </w:tcPr>
                <w:p w14:paraId="17DE1BF7">
                  <w:pPr>
                    <w:pStyle w:val="20"/>
                    <w:bidi w:val="0"/>
                    <w:rPr>
                      <w:rFonts w:hint="default"/>
                      <w:color w:val="auto"/>
                      <w:highlight w:val="none"/>
                      <w:lang w:val="en-US" w:eastAsia="zh-CN"/>
                    </w:rPr>
                  </w:pPr>
                  <w:r>
                    <w:rPr>
                      <w:rFonts w:hint="eastAsia"/>
                      <w:color w:val="auto"/>
                      <w:highlight w:val="none"/>
                      <w:lang w:val="en-US" w:eastAsia="zh-CN"/>
                    </w:rPr>
                    <w:t>1.655</w:t>
                  </w:r>
                </w:p>
              </w:tc>
              <w:tc>
                <w:tcPr>
                  <w:tcW w:w="518" w:type="pct"/>
                  <w:tcBorders>
                    <w:tl2br w:val="nil"/>
                    <w:tr2bl w:val="nil"/>
                  </w:tcBorders>
                  <w:vAlign w:val="center"/>
                </w:tcPr>
                <w:p w14:paraId="0E5454BE">
                  <w:pPr>
                    <w:pStyle w:val="20"/>
                    <w:bidi w:val="0"/>
                    <w:rPr>
                      <w:rFonts w:hint="default"/>
                      <w:color w:val="auto"/>
                      <w:highlight w:val="none"/>
                      <w:lang w:val="en-US" w:eastAsia="zh-CN"/>
                    </w:rPr>
                  </w:pPr>
                  <w:r>
                    <w:rPr>
                      <w:rFonts w:hint="eastAsia"/>
                      <w:color w:val="auto"/>
                      <w:highlight w:val="none"/>
                      <w:lang w:val="en-US" w:eastAsia="zh-CN"/>
                    </w:rPr>
                    <w:t>50*</w:t>
                  </w:r>
                </w:p>
              </w:tc>
              <w:tc>
                <w:tcPr>
                  <w:tcW w:w="591" w:type="pct"/>
                  <w:tcBorders>
                    <w:tl2br w:val="nil"/>
                    <w:tr2bl w:val="nil"/>
                  </w:tcBorders>
                  <w:vAlign w:val="center"/>
                </w:tcPr>
                <w:p w14:paraId="094DF62E">
                  <w:pPr>
                    <w:pStyle w:val="20"/>
                    <w:bidi w:val="0"/>
                    <w:rPr>
                      <w:rFonts w:hint="default"/>
                      <w:color w:val="auto"/>
                      <w:highlight w:val="none"/>
                      <w:lang w:val="en-US" w:eastAsia="zh-CN"/>
                    </w:rPr>
                  </w:pPr>
                  <w:r>
                    <w:rPr>
                      <w:rFonts w:hint="eastAsia"/>
                      <w:color w:val="auto"/>
                      <w:highlight w:val="none"/>
                      <w:lang w:val="en-US" w:eastAsia="zh-CN"/>
                    </w:rPr>
                    <w:t>0.0331</w:t>
                  </w:r>
                </w:p>
              </w:tc>
              <w:tc>
                <w:tcPr>
                  <w:tcW w:w="729" w:type="pct"/>
                  <w:tcBorders>
                    <w:tl2br w:val="nil"/>
                    <w:tr2bl w:val="nil"/>
                  </w:tcBorders>
                  <w:vAlign w:val="center"/>
                </w:tcPr>
                <w:p w14:paraId="2722FA80">
                  <w:pPr>
                    <w:pStyle w:val="20"/>
                    <w:bidi w:val="0"/>
                    <w:rPr>
                      <w:rFonts w:hint="default"/>
                      <w:color w:val="auto"/>
                      <w:highlight w:val="none"/>
                      <w:lang w:val="en-US" w:eastAsia="zh-CN"/>
                    </w:rPr>
                  </w:pPr>
                  <w:r>
                    <w:rPr>
                      <w:rFonts w:hint="eastAsia"/>
                      <w:color w:val="auto"/>
                      <w:highlight w:val="none"/>
                      <w:lang w:val="en-US" w:eastAsia="zh-CN"/>
                    </w:rPr>
                    <w:t>危险废物贮存点</w:t>
                  </w:r>
                </w:p>
              </w:tc>
            </w:tr>
            <w:tr w14:paraId="0E9A1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13" w:type="pct"/>
                  <w:tcBorders>
                    <w:tl2br w:val="nil"/>
                    <w:tr2bl w:val="nil"/>
                  </w:tcBorders>
                  <w:vAlign w:val="center"/>
                </w:tcPr>
                <w:p w14:paraId="0F93CC4F">
                  <w:pPr>
                    <w:pStyle w:val="20"/>
                    <w:bidi w:val="0"/>
                    <w:rPr>
                      <w:color w:val="auto"/>
                      <w:highlight w:val="none"/>
                    </w:rPr>
                  </w:pPr>
                  <w:r>
                    <w:rPr>
                      <w:rFonts w:hint="eastAsia"/>
                      <w:color w:val="auto"/>
                      <w:highlight w:val="none"/>
                    </w:rPr>
                    <w:t>合计</w:t>
                  </w:r>
                </w:p>
              </w:tc>
              <w:tc>
                <w:tcPr>
                  <w:tcW w:w="3347" w:type="pct"/>
                  <w:gridSpan w:val="4"/>
                  <w:tcBorders>
                    <w:tl2br w:val="nil"/>
                    <w:tr2bl w:val="nil"/>
                  </w:tcBorders>
                  <w:vAlign w:val="center"/>
                </w:tcPr>
                <w:p w14:paraId="6319EF98">
                  <w:pPr>
                    <w:pStyle w:val="20"/>
                    <w:bidi w:val="0"/>
                    <w:rPr>
                      <w:color w:val="auto"/>
                      <w:highlight w:val="none"/>
                    </w:rPr>
                  </w:pPr>
                  <w:r>
                    <w:rPr>
                      <w:color w:val="auto"/>
                      <w:highlight w:val="none"/>
                    </w:rPr>
                    <w:t>Q=q1/Q1+ q2/Q2+…+ qn/Qn</w:t>
                  </w:r>
                </w:p>
              </w:tc>
              <w:tc>
                <w:tcPr>
                  <w:tcW w:w="591" w:type="pct"/>
                  <w:tcBorders>
                    <w:tl2br w:val="nil"/>
                    <w:tr2bl w:val="nil"/>
                  </w:tcBorders>
                  <w:vAlign w:val="center"/>
                </w:tcPr>
                <w:p w14:paraId="13FDE40F">
                  <w:pPr>
                    <w:pStyle w:val="20"/>
                    <w:bidi w:val="0"/>
                    <w:rPr>
                      <w:rFonts w:hint="default"/>
                      <w:color w:val="auto"/>
                      <w:highlight w:val="none"/>
                      <w:lang w:val="en-US" w:eastAsia="zh-CN"/>
                    </w:rPr>
                  </w:pPr>
                  <w:r>
                    <w:rPr>
                      <w:rFonts w:hint="eastAsia"/>
                      <w:color w:val="auto"/>
                      <w:highlight w:val="none"/>
                      <w:lang w:val="en-US" w:eastAsia="zh-CN"/>
                    </w:rPr>
                    <w:t>0.036156</w:t>
                  </w:r>
                </w:p>
              </w:tc>
              <w:tc>
                <w:tcPr>
                  <w:tcW w:w="748" w:type="pct"/>
                  <w:gridSpan w:val="2"/>
                  <w:tcBorders>
                    <w:tl2br w:val="nil"/>
                    <w:tr2bl w:val="nil"/>
                  </w:tcBorders>
                  <w:vAlign w:val="center"/>
                </w:tcPr>
                <w:p w14:paraId="38518BAC">
                  <w:pPr>
                    <w:pStyle w:val="20"/>
                    <w:bidi w:val="0"/>
                    <w:rPr>
                      <w:color w:val="auto"/>
                      <w:highlight w:val="none"/>
                    </w:rPr>
                  </w:pPr>
                  <w:r>
                    <w:rPr>
                      <w:rFonts w:hint="eastAsia"/>
                      <w:color w:val="auto"/>
                      <w:highlight w:val="none"/>
                    </w:rPr>
                    <w:t>/</w:t>
                  </w:r>
                </w:p>
              </w:tc>
            </w:tr>
            <w:tr w14:paraId="6DCD5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000" w:type="pct"/>
                  <w:gridSpan w:val="8"/>
                  <w:tcBorders>
                    <w:tl2br w:val="nil"/>
                    <w:tr2bl w:val="nil"/>
                  </w:tcBorders>
                  <w:vAlign w:val="center"/>
                </w:tcPr>
                <w:p w14:paraId="5F469452">
                  <w:pPr>
                    <w:pStyle w:val="20"/>
                    <w:bidi w:val="0"/>
                    <w:jc w:val="both"/>
                    <w:rPr>
                      <w:rFonts w:hint="eastAsia"/>
                      <w:color w:val="auto"/>
                      <w:highlight w:val="none"/>
                      <w:lang w:val="en-US" w:eastAsia="zh-CN"/>
                    </w:rPr>
                  </w:pPr>
                  <w:r>
                    <w:rPr>
                      <w:rFonts w:hint="eastAsia"/>
                      <w:color w:val="auto"/>
                      <w:highlight w:val="none"/>
                      <w:lang w:val="en-US" w:eastAsia="zh-CN"/>
                    </w:rPr>
                    <w:t>注：易燃气体，参照</w:t>
                  </w:r>
                  <w:r>
                    <w:rPr>
                      <w:color w:val="auto"/>
                      <w:highlight w:val="none"/>
                    </w:rPr>
                    <w:t>HJ941-2018</w:t>
                  </w:r>
                  <w:r>
                    <w:rPr>
                      <w:rFonts w:hint="eastAsia"/>
                      <w:color w:val="auto"/>
                      <w:highlight w:val="none"/>
                      <w:lang w:eastAsia="zh-CN"/>
                    </w:rPr>
                    <w:t>，</w:t>
                  </w:r>
                  <w:r>
                    <w:rPr>
                      <w:rFonts w:hint="eastAsia"/>
                      <w:color w:val="auto"/>
                      <w:highlight w:val="none"/>
                      <w:lang w:val="en-US" w:eastAsia="zh-CN"/>
                    </w:rPr>
                    <w:t>易燃易爆气态物质，临界量为5~10t，按5t计。</w:t>
                  </w:r>
                </w:p>
                <w:p w14:paraId="6588CBC5">
                  <w:pPr>
                    <w:pStyle w:val="20"/>
                    <w:bidi w:val="0"/>
                    <w:ind w:firstLine="420" w:firstLineChars="200"/>
                    <w:jc w:val="both"/>
                    <w:rPr>
                      <w:rFonts w:hint="eastAsia"/>
                      <w:color w:val="auto"/>
                      <w:highlight w:val="none"/>
                    </w:rPr>
                  </w:pPr>
                  <w:r>
                    <w:rPr>
                      <w:rFonts w:hint="eastAsia"/>
                      <w:color w:val="auto"/>
                      <w:highlight w:val="none"/>
                      <w:lang w:val="en-US" w:eastAsia="zh-CN"/>
                    </w:rPr>
                    <w:t>危险废物，主要</w:t>
                  </w:r>
                  <w:r>
                    <w:rPr>
                      <w:rFonts w:hint="eastAsia"/>
                      <w:color w:val="auto"/>
                      <w:highlight w:val="none"/>
                    </w:rPr>
                    <w:t>环境危险特性</w:t>
                  </w:r>
                  <w:r>
                    <w:rPr>
                      <w:rFonts w:hint="eastAsia"/>
                      <w:color w:val="auto"/>
                      <w:highlight w:val="none"/>
                      <w:lang w:val="en-US" w:eastAsia="zh-CN"/>
                    </w:rPr>
                    <w:t>为毒性，参照《建设项目环境风险评价技术导则》（</w:t>
                  </w:r>
                  <w:r>
                    <w:rPr>
                      <w:rFonts w:hint="default"/>
                      <w:color w:val="auto"/>
                      <w:highlight w:val="none"/>
                      <w:lang w:val="en-US" w:eastAsia="zh-CN"/>
                    </w:rPr>
                    <w:t>HJ169-2018</w:t>
                  </w:r>
                  <w:r>
                    <w:rPr>
                      <w:rFonts w:hint="eastAsia"/>
                      <w:color w:val="auto"/>
                      <w:highlight w:val="none"/>
                      <w:lang w:val="en-US" w:eastAsia="zh-CN"/>
                    </w:rPr>
                    <w:t>）表</w:t>
                  </w:r>
                  <w:r>
                    <w:rPr>
                      <w:rFonts w:hint="default"/>
                      <w:color w:val="auto"/>
                      <w:highlight w:val="none"/>
                      <w:lang w:val="en-US" w:eastAsia="zh-CN"/>
                    </w:rPr>
                    <w:t xml:space="preserve">B.2 </w:t>
                  </w:r>
                  <w:r>
                    <w:rPr>
                      <w:rFonts w:hint="eastAsia"/>
                      <w:color w:val="auto"/>
                      <w:highlight w:val="none"/>
                      <w:lang w:val="en-US" w:eastAsia="zh-CN"/>
                    </w:rPr>
                    <w:t>健康危险急性毒性物质（类别</w:t>
                  </w:r>
                  <w:r>
                    <w:rPr>
                      <w:rFonts w:hint="default"/>
                      <w:color w:val="auto"/>
                      <w:highlight w:val="none"/>
                      <w:lang w:val="en-US" w:eastAsia="zh-CN"/>
                    </w:rPr>
                    <w:t>2</w:t>
                  </w:r>
                  <w:r>
                    <w:rPr>
                      <w:rFonts w:hint="eastAsia"/>
                      <w:color w:val="auto"/>
                      <w:highlight w:val="none"/>
                      <w:lang w:val="en-US" w:eastAsia="zh-CN"/>
                    </w:rPr>
                    <w:t>，类别</w:t>
                  </w:r>
                  <w:r>
                    <w:rPr>
                      <w:rFonts w:hint="default"/>
                      <w:color w:val="auto"/>
                      <w:highlight w:val="none"/>
                      <w:lang w:val="en-US" w:eastAsia="zh-CN"/>
                    </w:rPr>
                    <w:t>3</w:t>
                  </w:r>
                  <w:r>
                    <w:rPr>
                      <w:rFonts w:hint="eastAsia"/>
                      <w:color w:val="auto"/>
                      <w:highlight w:val="none"/>
                      <w:lang w:val="en-US" w:eastAsia="zh-CN"/>
                    </w:rPr>
                    <w:t>）50t临界量执行。</w:t>
                  </w:r>
                </w:p>
              </w:tc>
            </w:tr>
          </w:tbl>
          <w:p w14:paraId="7D3B06C6">
            <w:pPr>
              <w:pStyle w:val="18"/>
              <w:rPr>
                <w:color w:val="auto"/>
                <w:highlight w:val="none"/>
              </w:rPr>
            </w:pPr>
            <w:r>
              <w:rPr>
                <w:rFonts w:hint="eastAsia"/>
                <w:color w:val="auto"/>
                <w:highlight w:val="none"/>
              </w:rPr>
              <w:t>根据《环境风险评价技术导则》（HJ169-2018）附录</w:t>
            </w:r>
            <w:r>
              <w:rPr>
                <w:color w:val="auto"/>
                <w:highlight w:val="none"/>
              </w:rPr>
              <w:t>C</w:t>
            </w:r>
            <w:r>
              <w:rPr>
                <w:rFonts w:hint="eastAsia"/>
                <w:color w:val="auto"/>
                <w:highlight w:val="none"/>
              </w:rPr>
              <w:t>，当只涉及一种危险物质时，计算该物质的总量与其临界量比值，即为</w:t>
            </w:r>
            <w:r>
              <w:rPr>
                <w:color w:val="auto"/>
                <w:highlight w:val="none"/>
              </w:rPr>
              <w:t>Q</w:t>
            </w:r>
            <w:r>
              <w:rPr>
                <w:rFonts w:hint="eastAsia"/>
                <w:color w:val="auto"/>
                <w:highlight w:val="none"/>
              </w:rPr>
              <w:t>。当存在多种危险物质时，则按下式计算：</w:t>
            </w:r>
          </w:p>
          <w:p w14:paraId="51B1D53E">
            <w:pPr>
              <w:pStyle w:val="18"/>
              <w:jc w:val="center"/>
              <w:rPr>
                <w:color w:val="auto"/>
                <w:highlight w:val="none"/>
              </w:rPr>
            </w:pPr>
            <w:r>
              <w:rPr>
                <w:color w:val="auto"/>
                <w:highlight w:val="none"/>
              </w:rPr>
              <w:drawing>
                <wp:inline distT="0" distB="0" distL="114300" distR="114300">
                  <wp:extent cx="1482725" cy="417195"/>
                  <wp:effectExtent l="0" t="0" r="10795" b="9525"/>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32" cstate="print"/>
                          <a:stretch>
                            <a:fillRect/>
                          </a:stretch>
                        </pic:blipFill>
                        <pic:spPr>
                          <a:xfrm>
                            <a:off x="0" y="0"/>
                            <a:ext cx="1482725" cy="417195"/>
                          </a:xfrm>
                          <a:prstGeom prst="rect">
                            <a:avLst/>
                          </a:prstGeom>
                          <a:noFill/>
                          <a:ln>
                            <a:noFill/>
                          </a:ln>
                        </pic:spPr>
                      </pic:pic>
                    </a:graphicData>
                  </a:graphic>
                </wp:inline>
              </w:drawing>
            </w:r>
          </w:p>
          <w:p w14:paraId="4A947CD9">
            <w:pPr>
              <w:pStyle w:val="18"/>
              <w:rPr>
                <w:color w:val="auto"/>
                <w:highlight w:val="none"/>
              </w:rPr>
            </w:pPr>
            <w:r>
              <w:rPr>
                <w:rFonts w:hint="eastAsia"/>
                <w:color w:val="auto"/>
                <w:highlight w:val="none"/>
              </w:rPr>
              <w:t>当Q＜1时，该项目环境风险潜势为</w:t>
            </w:r>
            <w:r>
              <w:rPr>
                <w:color w:val="auto"/>
                <w:highlight w:val="none"/>
              </w:rPr>
              <w:t>I</w:t>
            </w:r>
            <w:r>
              <w:rPr>
                <w:rFonts w:hint="eastAsia"/>
                <w:color w:val="auto"/>
                <w:highlight w:val="none"/>
              </w:rPr>
              <w:t>。</w:t>
            </w:r>
          </w:p>
          <w:p w14:paraId="4273EDAB">
            <w:pPr>
              <w:pStyle w:val="18"/>
              <w:rPr>
                <w:color w:val="auto"/>
                <w:highlight w:val="none"/>
              </w:rPr>
            </w:pPr>
            <w:r>
              <w:rPr>
                <w:rFonts w:hint="eastAsia"/>
                <w:color w:val="auto"/>
                <w:highlight w:val="none"/>
              </w:rPr>
              <w:t>当</w:t>
            </w:r>
            <w:r>
              <w:rPr>
                <w:color w:val="auto"/>
                <w:highlight w:val="none"/>
              </w:rPr>
              <w:t>Q</w:t>
            </w:r>
            <w:r>
              <w:rPr>
                <w:rFonts w:hint="eastAsia"/>
                <w:color w:val="auto"/>
                <w:highlight w:val="none"/>
              </w:rPr>
              <w:t>≥</w:t>
            </w:r>
            <w:r>
              <w:rPr>
                <w:color w:val="auto"/>
                <w:highlight w:val="none"/>
              </w:rPr>
              <w:t>1</w:t>
            </w:r>
            <w:r>
              <w:rPr>
                <w:rFonts w:hint="eastAsia"/>
                <w:color w:val="auto"/>
                <w:highlight w:val="none"/>
              </w:rPr>
              <w:t>，时</w:t>
            </w:r>
            <w:r>
              <w:rPr>
                <w:color w:val="auto"/>
                <w:highlight w:val="none"/>
              </w:rPr>
              <w:t>Q</w:t>
            </w:r>
            <w:r>
              <w:rPr>
                <w:rFonts w:hint="eastAsia"/>
                <w:color w:val="auto"/>
                <w:highlight w:val="none"/>
              </w:rPr>
              <w:t xml:space="preserve">值划分为：① </w:t>
            </w:r>
            <w:r>
              <w:rPr>
                <w:color w:val="auto"/>
                <w:highlight w:val="none"/>
              </w:rPr>
              <w:t>1</w:t>
            </w:r>
            <w:r>
              <w:rPr>
                <w:rFonts w:hint="eastAsia"/>
                <w:color w:val="auto"/>
                <w:highlight w:val="none"/>
              </w:rPr>
              <w:t>≤</w:t>
            </w:r>
            <w:r>
              <w:rPr>
                <w:color w:val="auto"/>
                <w:highlight w:val="none"/>
              </w:rPr>
              <w:t>Q</w:t>
            </w:r>
            <w:r>
              <w:rPr>
                <w:rFonts w:hint="eastAsia"/>
                <w:color w:val="auto"/>
                <w:highlight w:val="none"/>
              </w:rPr>
              <w:t>＜</w:t>
            </w:r>
            <w:r>
              <w:rPr>
                <w:color w:val="auto"/>
                <w:highlight w:val="none"/>
              </w:rPr>
              <w:t>10</w:t>
            </w:r>
            <w:r>
              <w:rPr>
                <w:rFonts w:hint="eastAsia"/>
                <w:color w:val="auto"/>
                <w:highlight w:val="none"/>
              </w:rPr>
              <w:t xml:space="preserve">；② </w:t>
            </w:r>
            <w:r>
              <w:rPr>
                <w:color w:val="auto"/>
                <w:highlight w:val="none"/>
              </w:rPr>
              <w:t>10</w:t>
            </w:r>
            <w:r>
              <w:rPr>
                <w:rFonts w:hint="eastAsia"/>
                <w:color w:val="auto"/>
                <w:highlight w:val="none"/>
              </w:rPr>
              <w:t>≤</w:t>
            </w:r>
            <w:r>
              <w:rPr>
                <w:color w:val="auto"/>
                <w:highlight w:val="none"/>
              </w:rPr>
              <w:t>Q</w:t>
            </w:r>
            <w:r>
              <w:rPr>
                <w:rFonts w:hint="eastAsia"/>
                <w:color w:val="auto"/>
                <w:highlight w:val="none"/>
              </w:rPr>
              <w:t>＜</w:t>
            </w:r>
            <w:r>
              <w:rPr>
                <w:color w:val="auto"/>
                <w:highlight w:val="none"/>
              </w:rPr>
              <w:t>100</w:t>
            </w:r>
            <w:r>
              <w:rPr>
                <w:rFonts w:hint="eastAsia"/>
                <w:color w:val="auto"/>
                <w:highlight w:val="none"/>
              </w:rPr>
              <w:t xml:space="preserve">；③ </w:t>
            </w:r>
            <w:r>
              <w:rPr>
                <w:color w:val="auto"/>
                <w:highlight w:val="none"/>
              </w:rPr>
              <w:t>Q</w:t>
            </w:r>
            <w:r>
              <w:rPr>
                <w:rFonts w:hint="eastAsia"/>
                <w:color w:val="auto"/>
                <w:highlight w:val="none"/>
              </w:rPr>
              <w:t>≥</w:t>
            </w:r>
            <w:r>
              <w:rPr>
                <w:color w:val="auto"/>
                <w:highlight w:val="none"/>
              </w:rPr>
              <w:t>100</w:t>
            </w:r>
            <w:r>
              <w:rPr>
                <w:rFonts w:hint="eastAsia"/>
                <w:color w:val="auto"/>
                <w:highlight w:val="none"/>
              </w:rPr>
              <w:t>。</w:t>
            </w:r>
          </w:p>
          <w:p w14:paraId="3E5E05B6">
            <w:pPr>
              <w:pStyle w:val="18"/>
              <w:rPr>
                <w:color w:val="auto"/>
                <w:highlight w:val="none"/>
              </w:rPr>
            </w:pPr>
            <w:r>
              <w:rPr>
                <w:rFonts w:hint="eastAsia"/>
                <w:color w:val="auto"/>
                <w:highlight w:val="none"/>
              </w:rPr>
              <w:t>本项目</w:t>
            </w:r>
            <w:r>
              <w:rPr>
                <w:color w:val="auto"/>
                <w:highlight w:val="none"/>
              </w:rPr>
              <w:t>Q=</w:t>
            </w:r>
            <w:r>
              <w:rPr>
                <w:rFonts w:hint="eastAsia"/>
                <w:color w:val="auto"/>
                <w:highlight w:val="none"/>
                <w:lang w:val="en-US" w:eastAsia="zh-CN"/>
              </w:rPr>
              <w:t>0.036156</w:t>
            </w:r>
            <w:r>
              <w:rPr>
                <w:rFonts w:hint="eastAsia"/>
                <w:color w:val="auto"/>
                <w:highlight w:val="none"/>
              </w:rPr>
              <w:t>＜</w:t>
            </w:r>
            <w:r>
              <w:rPr>
                <w:color w:val="auto"/>
                <w:highlight w:val="none"/>
              </w:rPr>
              <w:t>1</w:t>
            </w:r>
            <w:r>
              <w:rPr>
                <w:rFonts w:hint="eastAsia"/>
                <w:color w:val="auto"/>
                <w:highlight w:val="none"/>
              </w:rPr>
              <w:t>，因此本项目环境风险潜势为</w:t>
            </w:r>
            <w:r>
              <w:rPr>
                <w:color w:val="auto"/>
                <w:highlight w:val="none"/>
              </w:rPr>
              <w:t>I</w:t>
            </w:r>
            <w:r>
              <w:rPr>
                <w:rFonts w:hint="eastAsia"/>
                <w:color w:val="auto"/>
                <w:highlight w:val="none"/>
              </w:rPr>
              <w:t>，可只开展简单分析。</w:t>
            </w:r>
          </w:p>
          <w:p w14:paraId="56381755">
            <w:pPr>
              <w:pStyle w:val="3"/>
              <w:ind w:firstLine="482"/>
              <w:rPr>
                <w:color w:val="auto"/>
                <w:highlight w:val="none"/>
              </w:rPr>
            </w:pPr>
            <w:r>
              <w:rPr>
                <w:rFonts w:hint="eastAsia"/>
                <w:color w:val="auto"/>
                <w:highlight w:val="none"/>
              </w:rPr>
              <w:t>2）风险影响途径分析</w:t>
            </w:r>
          </w:p>
          <w:p w14:paraId="3CD65EA0">
            <w:pPr>
              <w:pStyle w:val="18"/>
              <w:bidi w:val="0"/>
              <w:rPr>
                <w:rFonts w:hint="eastAsia" w:eastAsia="宋体"/>
                <w:color w:val="auto"/>
                <w:highlight w:val="none"/>
                <w:lang w:eastAsia="zh-CN"/>
              </w:rPr>
            </w:pPr>
            <w:r>
              <w:rPr>
                <w:rFonts w:hint="eastAsia"/>
                <w:color w:val="auto"/>
                <w:highlight w:val="none"/>
                <w:lang w:eastAsia="zh-CN"/>
              </w:rPr>
              <w:t>扩建项目</w:t>
            </w:r>
            <w:r>
              <w:rPr>
                <w:color w:val="auto"/>
                <w:highlight w:val="none"/>
              </w:rPr>
              <w:t>主要的风险影响途径</w:t>
            </w:r>
            <w:r>
              <w:rPr>
                <w:rFonts w:hint="eastAsia"/>
                <w:color w:val="auto"/>
                <w:highlight w:val="none"/>
                <w:lang w:val="en-US" w:eastAsia="zh-CN"/>
              </w:rPr>
              <w:t>见</w:t>
            </w:r>
            <w:r>
              <w:rPr>
                <w:rFonts w:hint="eastAsia"/>
                <w:color w:val="auto"/>
                <w:highlight w:val="none"/>
              </w:rPr>
              <w:fldChar w:fldCharType="begin"/>
            </w:r>
            <w:r>
              <w:rPr>
                <w:rFonts w:hint="eastAsia"/>
                <w:color w:val="auto"/>
                <w:highlight w:val="none"/>
              </w:rPr>
              <w:instrText xml:space="preserve"> REF _Ref3034 \h </w:instrText>
            </w:r>
            <w:r>
              <w:rPr>
                <w:rFonts w:hint="eastAsia"/>
                <w:color w:val="auto"/>
                <w:highlight w:val="none"/>
              </w:rPr>
              <w:fldChar w:fldCharType="separate"/>
            </w:r>
            <w:r>
              <w:rPr>
                <w:b w:val="0"/>
                <w:bCs w:val="0"/>
                <w:color w:val="auto"/>
                <w:highlight w:val="none"/>
              </w:rPr>
              <w:t>表4-21</w:t>
            </w:r>
            <w:r>
              <w:rPr>
                <w:rFonts w:hint="eastAsia"/>
                <w:color w:val="auto"/>
                <w:highlight w:val="none"/>
              </w:rPr>
              <w:fldChar w:fldCharType="end"/>
            </w:r>
            <w:r>
              <w:rPr>
                <w:rFonts w:hint="eastAsia"/>
                <w:color w:val="auto"/>
                <w:highlight w:val="none"/>
                <w:lang w:eastAsia="zh-CN"/>
              </w:rPr>
              <w:t>。</w:t>
            </w:r>
          </w:p>
          <w:p w14:paraId="4C13A072">
            <w:pPr>
              <w:pStyle w:val="19"/>
              <w:spacing w:before="156"/>
              <w:rPr>
                <w:rFonts w:hint="eastAsia" w:eastAsia="黑体"/>
                <w:b w:val="0"/>
                <w:bCs w:val="0"/>
                <w:color w:val="auto"/>
                <w:highlight w:val="none"/>
                <w:lang w:eastAsia="zh-CN"/>
              </w:rPr>
            </w:pPr>
            <w:bookmarkStart w:id="52" w:name="_Ref3034"/>
            <w:r>
              <w:rPr>
                <w:b w:val="0"/>
                <w:bCs w:val="0"/>
                <w:color w:val="auto"/>
                <w:highlight w:val="none"/>
              </w:rPr>
              <w:t>表4-</w:t>
            </w:r>
            <w:r>
              <w:rPr>
                <w:b w:val="0"/>
                <w:bCs w:val="0"/>
                <w:color w:val="auto"/>
                <w:highlight w:val="none"/>
              </w:rPr>
              <w:fldChar w:fldCharType="begin"/>
            </w:r>
            <w:r>
              <w:rPr>
                <w:b w:val="0"/>
                <w:bCs w:val="0"/>
                <w:color w:val="auto"/>
                <w:highlight w:val="none"/>
              </w:rPr>
              <w:instrText xml:space="preserve"> SEQ 表4- \* ARABIC </w:instrText>
            </w:r>
            <w:r>
              <w:rPr>
                <w:b w:val="0"/>
                <w:bCs w:val="0"/>
                <w:color w:val="auto"/>
                <w:highlight w:val="none"/>
              </w:rPr>
              <w:fldChar w:fldCharType="separate"/>
            </w:r>
            <w:r>
              <w:rPr>
                <w:b w:val="0"/>
                <w:bCs w:val="0"/>
                <w:color w:val="auto"/>
                <w:highlight w:val="none"/>
              </w:rPr>
              <w:t>22</w:t>
            </w:r>
            <w:r>
              <w:rPr>
                <w:b w:val="0"/>
                <w:bCs w:val="0"/>
                <w:color w:val="auto"/>
                <w:highlight w:val="none"/>
              </w:rPr>
              <w:fldChar w:fldCharType="end"/>
            </w:r>
            <w:bookmarkEnd w:id="52"/>
            <w:r>
              <w:rPr>
                <w:rFonts w:hint="eastAsia"/>
                <w:b w:val="0"/>
                <w:bCs w:val="0"/>
                <w:color w:val="auto"/>
                <w:highlight w:val="none"/>
              </w:rPr>
              <w:t xml:space="preserve">  环境风险</w:t>
            </w:r>
            <w:r>
              <w:rPr>
                <w:b w:val="0"/>
                <w:bCs w:val="0"/>
                <w:color w:val="auto"/>
                <w:highlight w:val="none"/>
              </w:rPr>
              <w:t>影响途径</w:t>
            </w:r>
            <w:r>
              <w:rPr>
                <w:rFonts w:hint="eastAsia"/>
                <w:b w:val="0"/>
                <w:bCs w:val="0"/>
                <w:color w:val="auto"/>
                <w:highlight w:val="none"/>
                <w:lang w:val="en-US" w:eastAsia="zh-CN"/>
              </w:rPr>
              <w:t>分析</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076"/>
              <w:gridCol w:w="1249"/>
              <w:gridCol w:w="6079"/>
            </w:tblGrid>
            <w:tr w14:paraId="33477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640" w:type="pct"/>
                  <w:vAlign w:val="center"/>
                </w:tcPr>
                <w:p w14:paraId="0C4593A5">
                  <w:pPr>
                    <w:pStyle w:val="20"/>
                    <w:bidi w:val="0"/>
                    <w:rPr>
                      <w:rFonts w:hint="default"/>
                      <w:b/>
                      <w:bCs/>
                      <w:color w:val="auto"/>
                      <w:highlight w:val="none"/>
                      <w:lang w:val="en-US" w:eastAsia="zh-CN"/>
                    </w:rPr>
                  </w:pPr>
                  <w:r>
                    <w:rPr>
                      <w:rFonts w:hint="eastAsia"/>
                      <w:b/>
                      <w:bCs/>
                      <w:color w:val="auto"/>
                      <w:highlight w:val="none"/>
                      <w:lang w:val="en-US" w:eastAsia="zh-CN"/>
                    </w:rPr>
                    <w:t>风险源</w:t>
                  </w:r>
                </w:p>
              </w:tc>
              <w:tc>
                <w:tcPr>
                  <w:tcW w:w="743" w:type="pct"/>
                  <w:vAlign w:val="center"/>
                </w:tcPr>
                <w:p w14:paraId="0D82B4ED">
                  <w:pPr>
                    <w:pStyle w:val="20"/>
                    <w:bidi w:val="0"/>
                    <w:rPr>
                      <w:rFonts w:hint="default"/>
                      <w:b/>
                      <w:bCs/>
                      <w:color w:val="auto"/>
                      <w:highlight w:val="none"/>
                      <w:lang w:val="en-US" w:eastAsia="zh-CN"/>
                    </w:rPr>
                  </w:pPr>
                  <w:r>
                    <w:rPr>
                      <w:rFonts w:hint="eastAsia"/>
                      <w:b/>
                      <w:bCs/>
                      <w:color w:val="auto"/>
                      <w:highlight w:val="none"/>
                      <w:lang w:val="en-US" w:eastAsia="zh-CN"/>
                    </w:rPr>
                    <w:t>风险物质</w:t>
                  </w:r>
                </w:p>
              </w:tc>
              <w:tc>
                <w:tcPr>
                  <w:tcW w:w="3616" w:type="pct"/>
                  <w:vAlign w:val="center"/>
                </w:tcPr>
                <w:p w14:paraId="1F80D225">
                  <w:pPr>
                    <w:pStyle w:val="20"/>
                    <w:bidi w:val="0"/>
                    <w:rPr>
                      <w:rFonts w:hint="default"/>
                      <w:b/>
                      <w:bCs/>
                      <w:color w:val="auto"/>
                      <w:highlight w:val="none"/>
                      <w:lang w:val="en-US" w:eastAsia="zh-CN"/>
                    </w:rPr>
                  </w:pPr>
                  <w:r>
                    <w:rPr>
                      <w:b/>
                      <w:bCs/>
                      <w:color w:val="auto"/>
                      <w:highlight w:val="none"/>
                    </w:rPr>
                    <w:t>风险影响途径</w:t>
                  </w:r>
                </w:p>
              </w:tc>
            </w:tr>
            <w:tr w14:paraId="1B040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640" w:type="pct"/>
                  <w:vAlign w:val="center"/>
                </w:tcPr>
                <w:p w14:paraId="26F7A7C9">
                  <w:pPr>
                    <w:pStyle w:val="20"/>
                    <w:bidi w:val="0"/>
                    <w:rPr>
                      <w:rFonts w:hint="eastAsia" w:eastAsia="宋体"/>
                      <w:color w:val="auto"/>
                      <w:highlight w:val="none"/>
                      <w:lang w:val="en-US" w:eastAsia="zh-CN"/>
                    </w:rPr>
                  </w:pPr>
                  <w:r>
                    <w:rPr>
                      <w:rFonts w:hint="eastAsia"/>
                      <w:color w:val="auto"/>
                      <w:highlight w:val="none"/>
                      <w:lang w:val="en-US" w:eastAsia="zh-CN"/>
                    </w:rPr>
                    <w:t>五金备件库</w:t>
                  </w:r>
                </w:p>
              </w:tc>
              <w:tc>
                <w:tcPr>
                  <w:tcW w:w="743" w:type="pct"/>
                  <w:vAlign w:val="center"/>
                </w:tcPr>
                <w:p w14:paraId="00E1EE4E">
                  <w:pPr>
                    <w:pStyle w:val="20"/>
                    <w:bidi w:val="0"/>
                    <w:rPr>
                      <w:rFonts w:hint="default"/>
                      <w:color w:val="auto"/>
                      <w:highlight w:val="none"/>
                      <w:lang w:val="en-US" w:eastAsia="zh-CN"/>
                    </w:rPr>
                  </w:pPr>
                  <w:r>
                    <w:rPr>
                      <w:rFonts w:hint="eastAsia"/>
                      <w:color w:val="auto"/>
                      <w:highlight w:val="none"/>
                      <w:lang w:val="en-US" w:eastAsia="zh-CN"/>
                    </w:rPr>
                    <w:t>清洗剂、脱模剂、润滑油、液压油</w:t>
                  </w:r>
                </w:p>
              </w:tc>
              <w:tc>
                <w:tcPr>
                  <w:tcW w:w="3616" w:type="pct"/>
                  <w:vAlign w:val="center"/>
                </w:tcPr>
                <w:p w14:paraId="7CBD60C9">
                  <w:pPr>
                    <w:pStyle w:val="20"/>
                    <w:bidi w:val="0"/>
                    <w:jc w:val="both"/>
                    <w:rPr>
                      <w:rFonts w:hint="eastAsia"/>
                      <w:color w:val="auto"/>
                      <w:highlight w:val="none"/>
                    </w:rPr>
                  </w:pPr>
                  <w:r>
                    <w:rPr>
                      <w:rFonts w:hint="eastAsia"/>
                      <w:color w:val="auto"/>
                      <w:highlight w:val="none"/>
                    </w:rPr>
                    <w:t>操作不当</w:t>
                  </w:r>
                  <w:r>
                    <w:rPr>
                      <w:rFonts w:hint="eastAsia"/>
                      <w:color w:val="auto"/>
                      <w:highlight w:val="none"/>
                      <w:lang w:val="en-US" w:eastAsia="zh-CN"/>
                    </w:rPr>
                    <w:t>导致油料泄漏，</w:t>
                  </w:r>
                  <w:r>
                    <w:rPr>
                      <w:rFonts w:hint="eastAsia"/>
                      <w:color w:val="auto"/>
                      <w:highlight w:val="none"/>
                    </w:rPr>
                    <w:t>泄漏至外环境对水生环境造成影响。油类物质如遇明火易发生火灾事故，产生有毒有害物质，对环境空气造成影响，也对人的生命财产安全造成威胁。</w:t>
                  </w:r>
                  <w:r>
                    <w:rPr>
                      <w:rFonts w:hint="eastAsia"/>
                      <w:color w:val="auto"/>
                      <w:highlight w:val="none"/>
                      <w:lang w:val="en-US" w:eastAsia="zh-CN"/>
                    </w:rPr>
                    <w:t>清洗剂等气瓶遇高温明火易燃烧、爆炸，引发火灾事故。</w:t>
                  </w:r>
                </w:p>
              </w:tc>
            </w:tr>
            <w:tr w14:paraId="33284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640" w:type="pct"/>
                  <w:vAlign w:val="center"/>
                </w:tcPr>
                <w:p w14:paraId="46567E19">
                  <w:pPr>
                    <w:pStyle w:val="20"/>
                    <w:bidi w:val="0"/>
                    <w:rPr>
                      <w:rFonts w:hint="default" w:eastAsia="宋体"/>
                      <w:color w:val="auto"/>
                      <w:highlight w:val="none"/>
                      <w:lang w:val="en-US" w:eastAsia="zh-CN"/>
                    </w:rPr>
                  </w:pPr>
                  <w:r>
                    <w:rPr>
                      <w:rFonts w:hint="eastAsia"/>
                      <w:color w:val="auto"/>
                      <w:highlight w:val="none"/>
                      <w:lang w:val="en-US" w:eastAsia="zh-CN"/>
                    </w:rPr>
                    <w:t>危险废物贮存点</w:t>
                  </w:r>
                </w:p>
              </w:tc>
              <w:tc>
                <w:tcPr>
                  <w:tcW w:w="743" w:type="pct"/>
                  <w:vAlign w:val="center"/>
                </w:tcPr>
                <w:p w14:paraId="762EE0F9">
                  <w:pPr>
                    <w:pStyle w:val="20"/>
                    <w:bidi w:val="0"/>
                    <w:rPr>
                      <w:rFonts w:hint="default"/>
                      <w:color w:val="auto"/>
                      <w:highlight w:val="none"/>
                      <w:lang w:val="en-US" w:eastAsia="zh-CN"/>
                    </w:rPr>
                  </w:pPr>
                  <w:r>
                    <w:rPr>
                      <w:rFonts w:hint="eastAsia"/>
                      <w:color w:val="auto"/>
                      <w:highlight w:val="none"/>
                      <w:lang w:val="en-US" w:eastAsia="zh-CN"/>
                    </w:rPr>
                    <w:t>危险废物</w:t>
                  </w:r>
                </w:p>
              </w:tc>
              <w:tc>
                <w:tcPr>
                  <w:tcW w:w="3616" w:type="pct"/>
                  <w:vAlign w:val="center"/>
                </w:tcPr>
                <w:p w14:paraId="4961BFAC">
                  <w:pPr>
                    <w:pStyle w:val="20"/>
                    <w:bidi w:val="0"/>
                    <w:jc w:val="both"/>
                    <w:rPr>
                      <w:rFonts w:hint="default"/>
                      <w:color w:val="auto"/>
                      <w:highlight w:val="none"/>
                      <w:lang w:val="en-US" w:eastAsia="zh-CN"/>
                    </w:rPr>
                  </w:pPr>
                  <w:r>
                    <w:rPr>
                      <w:rFonts w:hint="eastAsia"/>
                      <w:color w:val="auto"/>
                      <w:highlight w:val="none"/>
                      <w:lang w:val="en-US" w:eastAsia="zh-CN"/>
                    </w:rPr>
                    <w:t>危险废物暂存过程中，管理不当导致物料泄漏，</w:t>
                  </w:r>
                  <w:r>
                    <w:rPr>
                      <w:rFonts w:hint="eastAsia"/>
                      <w:color w:val="auto"/>
                      <w:highlight w:val="none"/>
                    </w:rPr>
                    <w:t>泄漏至外环境对水生环境造成影响。油类物质如遇明火易发生火灾事故，产生有毒有害物质，对环境空气造成影响，也对人的生命财产安全造成威胁。</w:t>
                  </w:r>
                </w:p>
              </w:tc>
            </w:tr>
          </w:tbl>
          <w:p w14:paraId="434932E8">
            <w:pPr>
              <w:pStyle w:val="3"/>
              <w:ind w:firstLine="482"/>
              <w:rPr>
                <w:color w:val="auto"/>
                <w:highlight w:val="none"/>
              </w:rPr>
            </w:pPr>
            <w:r>
              <w:rPr>
                <w:rFonts w:hint="eastAsia"/>
                <w:color w:val="auto"/>
                <w:highlight w:val="none"/>
              </w:rPr>
              <w:t>3）</w:t>
            </w:r>
            <w:r>
              <w:rPr>
                <w:color w:val="auto"/>
                <w:highlight w:val="none"/>
              </w:rPr>
              <w:t>风险防范措施</w:t>
            </w:r>
          </w:p>
          <w:p w14:paraId="57B43DEC">
            <w:pPr>
              <w:pStyle w:val="18"/>
              <w:rPr>
                <w:rFonts w:hint="default"/>
                <w:color w:val="auto"/>
                <w:highlight w:val="none"/>
                <w:lang w:val="en-US" w:eastAsia="zh-CN"/>
              </w:rPr>
            </w:pPr>
            <w:r>
              <w:rPr>
                <w:rFonts w:hint="eastAsia"/>
                <w:color w:val="auto"/>
                <w:highlight w:val="none"/>
                <w:lang w:val="en-US" w:eastAsia="zh-CN"/>
              </w:rPr>
              <w:t>五金备件库</w:t>
            </w:r>
            <w:r>
              <w:rPr>
                <w:rFonts w:hint="eastAsia"/>
                <w:color w:val="auto"/>
                <w:highlight w:val="none"/>
              </w:rPr>
              <w:t>设置在远离热源和避免阳光直射的地方，禁止一切烟火，禁止使用易产生火花的机械设备和工具。</w:t>
            </w:r>
            <w:r>
              <w:rPr>
                <w:rFonts w:hint="eastAsia"/>
                <w:color w:val="auto"/>
                <w:highlight w:val="none"/>
                <w:lang w:val="en-US" w:eastAsia="zh-CN"/>
              </w:rPr>
              <w:t>库房</w:t>
            </w:r>
            <w:r>
              <w:rPr>
                <w:rFonts w:hint="eastAsia"/>
                <w:color w:val="auto"/>
                <w:highlight w:val="none"/>
              </w:rPr>
              <w:t>设置明确的防火标识，严禁烟火，做好消防措施，设置一定数量的手提式干粉灭火器，并定期检查，保持有效状态</w:t>
            </w:r>
            <w:r>
              <w:rPr>
                <w:rFonts w:hint="eastAsia"/>
                <w:color w:val="auto"/>
                <w:highlight w:val="none"/>
                <w:lang w:eastAsia="zh-CN"/>
              </w:rPr>
              <w:t>。</w:t>
            </w:r>
            <w:r>
              <w:rPr>
                <w:rFonts w:hint="eastAsia"/>
                <w:color w:val="auto"/>
                <w:highlight w:val="none"/>
                <w:lang w:val="en-US" w:eastAsia="zh-CN"/>
              </w:rPr>
              <w:t>油料区域重点防渗设置，配备相应泄漏堵漏应急物资，个体防护物资以及泄漏吸附物资。</w:t>
            </w:r>
          </w:p>
          <w:p w14:paraId="6A4A3392">
            <w:pPr>
              <w:pStyle w:val="18"/>
              <w:rPr>
                <w:rFonts w:hint="default"/>
                <w:color w:val="auto"/>
                <w:highlight w:val="none"/>
                <w:lang w:val="en-US" w:eastAsia="zh-CN"/>
              </w:rPr>
            </w:pPr>
            <w:r>
              <w:rPr>
                <w:rFonts w:hint="eastAsia"/>
                <w:color w:val="auto"/>
                <w:highlight w:val="none"/>
                <w:lang w:val="en-US" w:eastAsia="zh-CN"/>
              </w:rPr>
              <w:t>危险废物贮存点</w:t>
            </w:r>
            <w:r>
              <w:rPr>
                <w:rFonts w:hint="eastAsia"/>
                <w:color w:val="auto"/>
                <w:highlight w:val="none"/>
              </w:rPr>
              <w:t>重点防渗，区域裙角及地面防渗设置，形成围堰容积大于最大物料包装规格。设置在远离热源和避免阳光直射的地方，禁止一切烟火，禁止使用易产生火花的机械设备和工具。</w:t>
            </w:r>
            <w:r>
              <w:rPr>
                <w:rFonts w:hint="eastAsia"/>
                <w:color w:val="auto"/>
                <w:highlight w:val="none"/>
                <w:lang w:val="en-US" w:eastAsia="zh-CN"/>
              </w:rPr>
              <w:t>库房</w:t>
            </w:r>
            <w:r>
              <w:rPr>
                <w:rFonts w:hint="eastAsia"/>
                <w:color w:val="auto"/>
                <w:highlight w:val="none"/>
              </w:rPr>
              <w:t>设置明确的防火标识，严禁烟火，做好消防措施，设置一定数量的手提式干粉灭火器，并定期检查，保持有效状态</w:t>
            </w:r>
            <w:r>
              <w:rPr>
                <w:rFonts w:hint="eastAsia"/>
                <w:color w:val="auto"/>
                <w:highlight w:val="none"/>
                <w:lang w:eastAsia="zh-CN"/>
              </w:rPr>
              <w:t>。</w:t>
            </w:r>
            <w:r>
              <w:rPr>
                <w:rFonts w:hint="eastAsia"/>
                <w:color w:val="auto"/>
                <w:highlight w:val="none"/>
                <w:lang w:val="en-US" w:eastAsia="zh-CN"/>
              </w:rPr>
              <w:t>配备相应泄漏堵漏应急物资，个体防护物资以及泄漏吸附物资。</w:t>
            </w:r>
          </w:p>
          <w:p w14:paraId="5B2CD015">
            <w:pPr>
              <w:pStyle w:val="18"/>
              <w:rPr>
                <w:color w:val="auto"/>
                <w:highlight w:val="none"/>
              </w:rPr>
            </w:pPr>
            <w:r>
              <w:rPr>
                <w:rFonts w:hint="eastAsia"/>
                <w:color w:val="auto"/>
                <w:highlight w:val="none"/>
              </w:rPr>
              <w:t>全厂做好消防措施，保持灭火器、消防栓等有效状态。配备完善的应急救援物资，包括个体防护装备、消防物资、应急救援物资、应急处置设施等，包括但不限于：防护服、防护手套、防护靴、护目镜、防毒面具、吸油毡、备用桶、消防沙、急救箱、泄漏容器封堵材料等。加强员工管理，严格要求岗位操作规程，加强操作人员的岗位培训和职业素质教育，严禁烟火，规范生产。</w:t>
            </w:r>
          </w:p>
          <w:p w14:paraId="7DC1B088">
            <w:pPr>
              <w:pStyle w:val="18"/>
              <w:rPr>
                <w:color w:val="auto"/>
                <w:highlight w:val="none"/>
              </w:rPr>
            </w:pPr>
            <w:r>
              <w:rPr>
                <w:color w:val="auto"/>
                <w:highlight w:val="none"/>
              </w:rPr>
              <w:t>综上，企业严格</w:t>
            </w:r>
            <w:r>
              <w:rPr>
                <w:rFonts w:hint="eastAsia"/>
                <w:color w:val="auto"/>
                <w:highlight w:val="none"/>
              </w:rPr>
              <w:t>执行上述</w:t>
            </w:r>
            <w:r>
              <w:rPr>
                <w:color w:val="auto"/>
                <w:highlight w:val="none"/>
              </w:rPr>
              <w:t>风险防范措施</w:t>
            </w:r>
            <w:r>
              <w:rPr>
                <w:rFonts w:hint="eastAsia"/>
                <w:color w:val="auto"/>
                <w:highlight w:val="none"/>
              </w:rPr>
              <w:t>，</w:t>
            </w:r>
            <w:r>
              <w:rPr>
                <w:color w:val="auto"/>
                <w:highlight w:val="none"/>
              </w:rPr>
              <w:t>发生</w:t>
            </w:r>
            <w:r>
              <w:rPr>
                <w:rFonts w:hint="eastAsia"/>
                <w:color w:val="auto"/>
                <w:highlight w:val="none"/>
              </w:rPr>
              <w:t>环境风险事故</w:t>
            </w:r>
            <w:r>
              <w:rPr>
                <w:color w:val="auto"/>
                <w:highlight w:val="none"/>
              </w:rPr>
              <w:t>的可能性将进一步降低，环境风险可以控制在可预知、可控制、可解决的情况之下，不会对外环境造成大的危害影响。</w:t>
            </w:r>
          </w:p>
          <w:p w14:paraId="39009A50">
            <w:pPr>
              <w:pStyle w:val="2"/>
              <w:numPr>
                <w:ilvl w:val="0"/>
                <w:numId w:val="10"/>
              </w:numPr>
              <w:spacing w:before="156"/>
              <w:rPr>
                <w:rFonts w:hint="eastAsia" w:ascii="Times New Roman" w:hAnsi="Times New Roman" w:eastAsia="宋体" w:cs="Times New Roman"/>
                <w:b/>
                <w:bCs/>
                <w:color w:val="auto"/>
                <w:highlight w:val="none"/>
              </w:rPr>
            </w:pPr>
            <w:r>
              <w:rPr>
                <w:rFonts w:hint="eastAsia" w:ascii="Times New Roman" w:hAnsi="Times New Roman" w:eastAsia="宋体" w:cs="Times New Roman"/>
                <w:b/>
                <w:bCs/>
                <w:color w:val="auto"/>
                <w:highlight w:val="none"/>
              </w:rPr>
              <w:t>地下水、土壤环境影响和保护措施</w:t>
            </w:r>
          </w:p>
          <w:p w14:paraId="0F79E51C">
            <w:pPr>
              <w:pStyle w:val="18"/>
              <w:bidi w:val="0"/>
              <w:rPr>
                <w:rFonts w:hint="default"/>
                <w:color w:val="auto"/>
                <w:highlight w:val="none"/>
                <w:lang w:val="en-US" w:eastAsia="zh-CN"/>
              </w:rPr>
            </w:pPr>
            <w:r>
              <w:rPr>
                <w:rFonts w:hint="eastAsia"/>
                <w:color w:val="auto"/>
                <w:highlight w:val="none"/>
                <w:lang w:eastAsia="zh-CN"/>
              </w:rPr>
              <w:t>扩建项目</w:t>
            </w:r>
            <w:r>
              <w:rPr>
                <w:rFonts w:hint="eastAsia"/>
                <w:color w:val="auto"/>
                <w:highlight w:val="none"/>
              </w:rPr>
              <w:t>生产过程中无地下水、土壤污染途径。极端情况下，风险物质发生泄漏，有毒有害物质经地面进入地下水以及土壤，从而造成环境污染。</w:t>
            </w:r>
          </w:p>
          <w:p w14:paraId="5580C80D">
            <w:pPr>
              <w:pStyle w:val="18"/>
              <w:bidi w:val="0"/>
              <w:rPr>
                <w:rFonts w:hint="eastAsia"/>
                <w:color w:val="auto"/>
                <w:highlight w:val="none"/>
                <w:lang w:val="en-US" w:eastAsia="zh-CN"/>
              </w:rPr>
            </w:pPr>
            <w:r>
              <w:rPr>
                <w:rFonts w:hint="eastAsia"/>
                <w:color w:val="auto"/>
                <w:highlight w:val="none"/>
                <w:lang w:val="en-US" w:eastAsia="zh-CN"/>
              </w:rPr>
              <w:t>通过采取防渗措施，防治</w:t>
            </w:r>
            <w:r>
              <w:rPr>
                <w:rFonts w:hint="eastAsia"/>
                <w:color w:val="auto"/>
                <w:highlight w:val="none"/>
              </w:rPr>
              <w:t>地下水、土壤</w:t>
            </w:r>
            <w:r>
              <w:rPr>
                <w:rFonts w:hint="eastAsia"/>
                <w:color w:val="auto"/>
                <w:highlight w:val="none"/>
                <w:lang w:val="en-US" w:eastAsia="zh-CN"/>
              </w:rPr>
              <w:t>污染，危险废物贮存点</w:t>
            </w:r>
            <w:r>
              <w:rPr>
                <w:rFonts w:hint="eastAsia"/>
                <w:color w:val="auto"/>
                <w:highlight w:val="none"/>
              </w:rPr>
              <w:t>重点防渗</w:t>
            </w:r>
            <w:r>
              <w:rPr>
                <w:rFonts w:hint="eastAsia"/>
                <w:color w:val="auto"/>
                <w:highlight w:val="none"/>
                <w:lang w:eastAsia="zh-CN"/>
              </w:rPr>
              <w:t>，</w:t>
            </w:r>
            <w:r>
              <w:rPr>
                <w:rFonts w:hint="eastAsia"/>
                <w:color w:val="auto"/>
                <w:highlight w:val="none"/>
                <w:lang w:val="en-US" w:eastAsia="zh-CN"/>
              </w:rPr>
              <w:t>五金备件库内油料区域重点防渗，</w:t>
            </w:r>
            <w:r>
              <w:rPr>
                <w:rFonts w:hint="eastAsia"/>
                <w:color w:val="auto"/>
                <w:highlight w:val="none"/>
              </w:rPr>
              <w:t>区域裙角及地面防渗设置，形成围堰容积大于最大物料包装规格</w:t>
            </w:r>
            <w:r>
              <w:rPr>
                <w:rFonts w:hint="eastAsia"/>
                <w:color w:val="auto"/>
                <w:highlight w:val="none"/>
                <w:lang w:eastAsia="zh-CN"/>
              </w:rPr>
              <w:t>，</w:t>
            </w:r>
            <w:r>
              <w:rPr>
                <w:rFonts w:hint="eastAsia"/>
                <w:color w:val="auto"/>
                <w:highlight w:val="none"/>
                <w:lang w:val="en-US" w:eastAsia="zh-CN"/>
              </w:rPr>
              <w:t>配备相应泄漏堵漏应急物资。</w:t>
            </w:r>
          </w:p>
          <w:p w14:paraId="530D926E">
            <w:pPr>
              <w:pStyle w:val="18"/>
              <w:bidi w:val="0"/>
              <w:rPr>
                <w:color w:val="auto"/>
                <w:highlight w:val="none"/>
              </w:rPr>
            </w:pPr>
            <w:r>
              <w:rPr>
                <w:rFonts w:hint="eastAsia"/>
                <w:color w:val="auto"/>
                <w:highlight w:val="none"/>
                <w:lang w:eastAsia="zh-CN"/>
              </w:rPr>
              <w:t>扩建项目</w:t>
            </w:r>
            <w:r>
              <w:rPr>
                <w:rFonts w:hint="eastAsia"/>
                <w:color w:val="auto"/>
                <w:highlight w:val="none"/>
              </w:rPr>
              <w:t>在做好相关防渗措施、应急措施后，可将对地下水、土壤环境影响降到最低，对地下水、土壤环境影响较小。</w:t>
            </w:r>
          </w:p>
          <w:p w14:paraId="362258C5">
            <w:pPr>
              <w:pStyle w:val="2"/>
              <w:numPr>
                <w:ilvl w:val="0"/>
                <w:numId w:val="10"/>
              </w:numPr>
              <w:spacing w:before="156"/>
              <w:rPr>
                <w:rFonts w:hint="eastAsia" w:ascii="Times New Roman" w:hAnsi="Times New Roman" w:eastAsia="宋体" w:cs="Times New Roman"/>
                <w:b/>
                <w:bCs/>
                <w:color w:val="auto"/>
                <w:highlight w:val="none"/>
              </w:rPr>
            </w:pPr>
            <w:r>
              <w:rPr>
                <w:rFonts w:hint="eastAsia" w:ascii="Times New Roman" w:hAnsi="Times New Roman" w:eastAsia="宋体" w:cs="Times New Roman"/>
                <w:b/>
                <w:bCs/>
                <w:color w:val="auto"/>
                <w:highlight w:val="none"/>
              </w:rPr>
              <w:t>生态</w:t>
            </w:r>
          </w:p>
          <w:p w14:paraId="1B4D185F">
            <w:pPr>
              <w:pStyle w:val="18"/>
              <w:rPr>
                <w:color w:val="auto"/>
                <w:highlight w:val="none"/>
              </w:rPr>
            </w:pPr>
            <w:r>
              <w:rPr>
                <w:rFonts w:hint="eastAsia"/>
                <w:color w:val="auto"/>
                <w:highlight w:val="none"/>
              </w:rPr>
              <w:t>项目不新增用地，且无生态环境保护目标，故本项目不涉及生态影响。</w:t>
            </w:r>
          </w:p>
          <w:p w14:paraId="5AFEF31E">
            <w:pPr>
              <w:pStyle w:val="2"/>
              <w:numPr>
                <w:ilvl w:val="0"/>
                <w:numId w:val="10"/>
              </w:numPr>
              <w:spacing w:before="156"/>
              <w:rPr>
                <w:rFonts w:hint="eastAsia" w:ascii="Times New Roman" w:hAnsi="Times New Roman" w:eastAsia="宋体" w:cs="Times New Roman"/>
                <w:b/>
                <w:bCs/>
                <w:color w:val="auto"/>
                <w:highlight w:val="none"/>
              </w:rPr>
            </w:pPr>
            <w:r>
              <w:rPr>
                <w:rFonts w:hint="eastAsia" w:ascii="Times New Roman" w:hAnsi="Times New Roman" w:eastAsia="宋体" w:cs="Times New Roman"/>
                <w:b/>
                <w:bCs/>
                <w:color w:val="auto"/>
                <w:highlight w:val="none"/>
              </w:rPr>
              <w:t>电磁辐射</w:t>
            </w:r>
          </w:p>
          <w:p w14:paraId="056C6580">
            <w:pPr>
              <w:pStyle w:val="18"/>
              <w:rPr>
                <w:color w:val="auto"/>
                <w:highlight w:val="none"/>
              </w:rPr>
            </w:pPr>
            <w:r>
              <w:rPr>
                <w:rFonts w:hint="eastAsia"/>
                <w:color w:val="auto"/>
                <w:highlight w:val="none"/>
              </w:rPr>
              <w:t>无</w:t>
            </w:r>
          </w:p>
          <w:p w14:paraId="74C0A6F5">
            <w:pPr>
              <w:pStyle w:val="18"/>
              <w:rPr>
                <w:color w:val="auto"/>
                <w:highlight w:val="none"/>
              </w:rPr>
            </w:pPr>
          </w:p>
          <w:p w14:paraId="565F6749">
            <w:pPr>
              <w:pStyle w:val="18"/>
              <w:rPr>
                <w:color w:val="auto"/>
                <w:highlight w:val="none"/>
              </w:rPr>
            </w:pPr>
          </w:p>
          <w:p w14:paraId="2935D43C">
            <w:pPr>
              <w:pStyle w:val="18"/>
              <w:rPr>
                <w:color w:val="auto"/>
                <w:highlight w:val="none"/>
              </w:rPr>
            </w:pPr>
          </w:p>
          <w:p w14:paraId="6E95D496">
            <w:pPr>
              <w:pStyle w:val="18"/>
              <w:rPr>
                <w:color w:val="auto"/>
                <w:highlight w:val="none"/>
              </w:rPr>
            </w:pPr>
          </w:p>
          <w:p w14:paraId="0D0463AE">
            <w:pPr>
              <w:pStyle w:val="18"/>
              <w:rPr>
                <w:color w:val="auto"/>
                <w:highlight w:val="none"/>
              </w:rPr>
            </w:pPr>
          </w:p>
          <w:p w14:paraId="19E74BDE">
            <w:pPr>
              <w:pStyle w:val="18"/>
              <w:rPr>
                <w:color w:val="auto"/>
                <w:highlight w:val="none"/>
              </w:rPr>
            </w:pPr>
          </w:p>
          <w:p w14:paraId="4CF740BF">
            <w:pPr>
              <w:pStyle w:val="18"/>
              <w:rPr>
                <w:color w:val="auto"/>
                <w:highlight w:val="none"/>
              </w:rPr>
            </w:pPr>
          </w:p>
          <w:p w14:paraId="7205DFD2">
            <w:pPr>
              <w:pStyle w:val="18"/>
              <w:rPr>
                <w:color w:val="auto"/>
                <w:highlight w:val="none"/>
              </w:rPr>
            </w:pPr>
          </w:p>
          <w:p w14:paraId="15A0A993">
            <w:pPr>
              <w:pStyle w:val="18"/>
              <w:rPr>
                <w:color w:val="auto"/>
                <w:highlight w:val="none"/>
              </w:rPr>
            </w:pPr>
          </w:p>
          <w:p w14:paraId="5A311CA8">
            <w:pPr>
              <w:pStyle w:val="18"/>
              <w:rPr>
                <w:color w:val="auto"/>
                <w:highlight w:val="none"/>
              </w:rPr>
            </w:pPr>
          </w:p>
          <w:p w14:paraId="2EA28B3F">
            <w:pPr>
              <w:pStyle w:val="18"/>
              <w:rPr>
                <w:color w:val="auto"/>
                <w:highlight w:val="none"/>
              </w:rPr>
            </w:pPr>
          </w:p>
          <w:p w14:paraId="3933E4AE">
            <w:pPr>
              <w:pStyle w:val="18"/>
              <w:rPr>
                <w:color w:val="auto"/>
                <w:highlight w:val="none"/>
              </w:rPr>
            </w:pPr>
          </w:p>
          <w:p w14:paraId="2C520E88">
            <w:pPr>
              <w:pStyle w:val="18"/>
              <w:rPr>
                <w:color w:val="auto"/>
                <w:highlight w:val="none"/>
              </w:rPr>
            </w:pPr>
          </w:p>
          <w:p w14:paraId="20537CA1">
            <w:pPr>
              <w:pStyle w:val="18"/>
              <w:rPr>
                <w:color w:val="auto"/>
                <w:highlight w:val="none"/>
              </w:rPr>
            </w:pPr>
          </w:p>
          <w:p w14:paraId="7DFBF00D">
            <w:pPr>
              <w:pStyle w:val="18"/>
              <w:rPr>
                <w:color w:val="auto"/>
                <w:highlight w:val="none"/>
              </w:rPr>
            </w:pPr>
          </w:p>
          <w:p w14:paraId="615A0A32">
            <w:pPr>
              <w:pStyle w:val="18"/>
              <w:rPr>
                <w:color w:val="auto"/>
                <w:highlight w:val="none"/>
              </w:rPr>
            </w:pPr>
          </w:p>
          <w:p w14:paraId="4DC67027">
            <w:pPr>
              <w:pStyle w:val="18"/>
              <w:rPr>
                <w:color w:val="auto"/>
                <w:highlight w:val="none"/>
              </w:rPr>
            </w:pPr>
          </w:p>
          <w:p w14:paraId="7115E65E">
            <w:pPr>
              <w:pStyle w:val="18"/>
              <w:rPr>
                <w:color w:val="auto"/>
                <w:highlight w:val="none"/>
              </w:rPr>
            </w:pPr>
          </w:p>
          <w:p w14:paraId="29D4E914">
            <w:pPr>
              <w:pStyle w:val="18"/>
              <w:rPr>
                <w:color w:val="auto"/>
                <w:highlight w:val="none"/>
              </w:rPr>
            </w:pPr>
          </w:p>
          <w:p w14:paraId="733E5849">
            <w:pPr>
              <w:pStyle w:val="18"/>
              <w:rPr>
                <w:color w:val="auto"/>
                <w:highlight w:val="none"/>
              </w:rPr>
            </w:pPr>
          </w:p>
          <w:p w14:paraId="23891BCF">
            <w:pPr>
              <w:pStyle w:val="18"/>
              <w:rPr>
                <w:color w:val="auto"/>
                <w:highlight w:val="none"/>
              </w:rPr>
            </w:pPr>
          </w:p>
          <w:p w14:paraId="125F1A84">
            <w:pPr>
              <w:pStyle w:val="18"/>
              <w:rPr>
                <w:color w:val="auto"/>
                <w:highlight w:val="none"/>
              </w:rPr>
            </w:pPr>
          </w:p>
          <w:p w14:paraId="112DD740">
            <w:pPr>
              <w:pStyle w:val="18"/>
              <w:rPr>
                <w:color w:val="auto"/>
                <w:highlight w:val="none"/>
              </w:rPr>
            </w:pPr>
          </w:p>
          <w:p w14:paraId="3BD2720A">
            <w:pPr>
              <w:pStyle w:val="18"/>
              <w:rPr>
                <w:color w:val="auto"/>
                <w:highlight w:val="none"/>
              </w:rPr>
            </w:pPr>
          </w:p>
          <w:p w14:paraId="578B462E">
            <w:pPr>
              <w:rPr>
                <w:color w:val="auto"/>
                <w:highlight w:val="none"/>
                <w:vertAlign w:val="baseline"/>
              </w:rPr>
            </w:pPr>
          </w:p>
        </w:tc>
      </w:tr>
    </w:tbl>
    <w:p w14:paraId="154CBFDB">
      <w:pPr>
        <w:rPr>
          <w:color w:val="auto"/>
          <w:highlight w:val="none"/>
        </w:rPr>
        <w:sectPr>
          <w:pgSz w:w="11905" w:h="16838"/>
          <w:pgMar w:top="1440" w:right="1463" w:bottom="1440" w:left="1463" w:header="851" w:footer="850" w:gutter="0"/>
          <w:cols w:space="0" w:num="1"/>
          <w:docGrid w:type="linesAndChars" w:linePitch="312" w:charSpace="0"/>
        </w:sectPr>
      </w:pPr>
    </w:p>
    <w:p w14:paraId="33F88D16">
      <w:pPr>
        <w:spacing w:beforeLines="10" w:afterLines="10"/>
        <w:jc w:val="center"/>
        <w:outlineLvl w:val="0"/>
        <w:rPr>
          <w:rFonts w:eastAsia="黑体"/>
          <w:snapToGrid w:val="0"/>
          <w:color w:val="auto"/>
          <w:sz w:val="30"/>
          <w:szCs w:val="30"/>
          <w:highlight w:val="none"/>
        </w:rPr>
      </w:pPr>
      <w:r>
        <w:rPr>
          <w:rFonts w:hint="eastAsia" w:eastAsia="黑体"/>
          <w:snapToGrid w:val="0"/>
          <w:color w:val="auto"/>
          <w:sz w:val="30"/>
          <w:szCs w:val="30"/>
          <w:highlight w:val="none"/>
        </w:rPr>
        <w:t>五、</w:t>
      </w:r>
      <w:bookmarkStart w:id="53" w:name="_Hlk54167917"/>
      <w:r>
        <w:rPr>
          <w:rFonts w:hint="eastAsia" w:eastAsia="黑体"/>
          <w:snapToGrid w:val="0"/>
          <w:color w:val="auto"/>
          <w:sz w:val="30"/>
          <w:szCs w:val="30"/>
          <w:highlight w:val="none"/>
        </w:rPr>
        <w:t>环境保护措施监督检查清单</w:t>
      </w:r>
      <w:bookmarkEnd w:id="53"/>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525"/>
        <w:gridCol w:w="2009"/>
        <w:gridCol w:w="2307"/>
        <w:gridCol w:w="5120"/>
        <w:gridCol w:w="3103"/>
      </w:tblGrid>
      <w:tr w14:paraId="5AA7E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42" w:type="pct"/>
            <w:tcBorders>
              <w:tl2br w:val="single" w:color="auto" w:sz="4" w:space="0"/>
            </w:tcBorders>
          </w:tcPr>
          <w:p w14:paraId="32C06017">
            <w:pPr>
              <w:pStyle w:val="24"/>
              <w:spacing w:before="93" w:after="93"/>
              <w:ind w:left="360" w:leftChars="150"/>
              <w:rPr>
                <w:b/>
                <w:bCs/>
                <w:color w:val="auto"/>
                <w:highlight w:val="none"/>
              </w:rPr>
            </w:pPr>
            <w:r>
              <w:rPr>
                <w:rFonts w:hint="eastAsia"/>
                <w:b/>
                <w:bCs/>
                <w:color w:val="auto"/>
                <w:highlight w:val="none"/>
              </w:rPr>
              <w:t>内容</w:t>
            </w:r>
          </w:p>
          <w:p w14:paraId="1AD7DFA3">
            <w:pPr>
              <w:pStyle w:val="24"/>
              <w:spacing w:before="93" w:after="93"/>
              <w:ind w:right="360" w:rightChars="150"/>
              <w:rPr>
                <w:b/>
                <w:bCs/>
                <w:color w:val="auto"/>
                <w:highlight w:val="none"/>
              </w:rPr>
            </w:pPr>
            <w:r>
              <w:rPr>
                <w:rFonts w:hint="eastAsia"/>
                <w:b/>
                <w:bCs/>
                <w:color w:val="auto"/>
                <w:highlight w:val="none"/>
              </w:rPr>
              <w:t>要素</w:t>
            </w:r>
          </w:p>
        </w:tc>
        <w:tc>
          <w:tcPr>
            <w:tcW w:w="714" w:type="pct"/>
            <w:vAlign w:val="center"/>
          </w:tcPr>
          <w:p w14:paraId="26223B53">
            <w:pPr>
              <w:pStyle w:val="24"/>
              <w:spacing w:before="93" w:after="93"/>
              <w:rPr>
                <w:b/>
                <w:bCs/>
                <w:color w:val="auto"/>
                <w:highlight w:val="none"/>
              </w:rPr>
            </w:pPr>
            <w:r>
              <w:rPr>
                <w:rFonts w:hint="eastAsia"/>
                <w:b/>
                <w:bCs/>
                <w:color w:val="auto"/>
                <w:highlight w:val="none"/>
              </w:rPr>
              <w:t>排放口（编号、名称）/污染源</w:t>
            </w:r>
          </w:p>
        </w:tc>
        <w:tc>
          <w:tcPr>
            <w:tcW w:w="820" w:type="pct"/>
            <w:vAlign w:val="center"/>
          </w:tcPr>
          <w:p w14:paraId="382CFCE9">
            <w:pPr>
              <w:pStyle w:val="24"/>
              <w:spacing w:before="93" w:after="93"/>
              <w:rPr>
                <w:b/>
                <w:bCs/>
                <w:color w:val="auto"/>
                <w:highlight w:val="none"/>
              </w:rPr>
            </w:pPr>
            <w:r>
              <w:rPr>
                <w:rFonts w:hint="eastAsia"/>
                <w:b/>
                <w:bCs/>
                <w:color w:val="auto"/>
                <w:highlight w:val="none"/>
              </w:rPr>
              <w:t>污染物项目</w:t>
            </w:r>
          </w:p>
        </w:tc>
        <w:tc>
          <w:tcPr>
            <w:tcW w:w="1820" w:type="pct"/>
            <w:vAlign w:val="center"/>
          </w:tcPr>
          <w:p w14:paraId="31812DA2">
            <w:pPr>
              <w:pStyle w:val="24"/>
              <w:spacing w:before="93" w:after="93"/>
              <w:rPr>
                <w:b/>
                <w:bCs/>
                <w:color w:val="auto"/>
                <w:highlight w:val="none"/>
              </w:rPr>
            </w:pPr>
            <w:r>
              <w:rPr>
                <w:rFonts w:hint="eastAsia"/>
                <w:b/>
                <w:bCs/>
                <w:color w:val="auto"/>
                <w:highlight w:val="none"/>
              </w:rPr>
              <w:t>环境保护措施</w:t>
            </w:r>
          </w:p>
        </w:tc>
        <w:tc>
          <w:tcPr>
            <w:tcW w:w="1101" w:type="pct"/>
            <w:vAlign w:val="center"/>
          </w:tcPr>
          <w:p w14:paraId="56A5F8BF">
            <w:pPr>
              <w:pStyle w:val="24"/>
              <w:spacing w:before="93" w:after="93"/>
              <w:rPr>
                <w:b/>
                <w:bCs/>
                <w:color w:val="auto"/>
                <w:highlight w:val="none"/>
              </w:rPr>
            </w:pPr>
            <w:r>
              <w:rPr>
                <w:rFonts w:hint="eastAsia"/>
                <w:b/>
                <w:bCs/>
                <w:color w:val="auto"/>
                <w:highlight w:val="none"/>
              </w:rPr>
              <w:t>执行标准</w:t>
            </w:r>
          </w:p>
        </w:tc>
      </w:tr>
      <w:tr w14:paraId="5A36F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42" w:type="pct"/>
            <w:vMerge w:val="restart"/>
            <w:vAlign w:val="center"/>
          </w:tcPr>
          <w:p w14:paraId="598288A6">
            <w:pPr>
              <w:pStyle w:val="24"/>
              <w:spacing w:before="93" w:after="93"/>
              <w:rPr>
                <w:b/>
                <w:bCs/>
                <w:color w:val="auto"/>
                <w:highlight w:val="none"/>
              </w:rPr>
            </w:pPr>
            <w:r>
              <w:rPr>
                <w:rFonts w:hint="eastAsia"/>
                <w:b/>
                <w:bCs/>
                <w:color w:val="auto"/>
                <w:highlight w:val="none"/>
              </w:rPr>
              <w:t>大气环境</w:t>
            </w:r>
          </w:p>
        </w:tc>
        <w:tc>
          <w:tcPr>
            <w:tcW w:w="714" w:type="pct"/>
            <w:vAlign w:val="center"/>
          </w:tcPr>
          <w:p w14:paraId="25F86669">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注塑废气（含清洗剂、脱模剂废气）DA001</w:t>
            </w:r>
          </w:p>
        </w:tc>
        <w:tc>
          <w:tcPr>
            <w:tcW w:w="820" w:type="pct"/>
            <w:vAlign w:val="center"/>
          </w:tcPr>
          <w:p w14:paraId="4D53D77F">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非甲烷总烃</w:t>
            </w:r>
            <w:r>
              <w:rPr>
                <w:rFonts w:hint="eastAsia"/>
                <w:color w:val="auto"/>
                <w:highlight w:val="none"/>
                <w:lang w:eastAsia="zh-CN"/>
              </w:rPr>
              <w:t>、</w:t>
            </w:r>
            <w:r>
              <w:rPr>
                <w:rFonts w:hint="eastAsia"/>
                <w:color w:val="auto"/>
                <w:highlight w:val="none"/>
              </w:rPr>
              <w:t>丙烯腈</w:t>
            </w:r>
            <w:r>
              <w:rPr>
                <w:rFonts w:hint="eastAsia"/>
                <w:color w:val="auto"/>
                <w:highlight w:val="none"/>
                <w:lang w:eastAsia="zh-CN"/>
              </w:rPr>
              <w:t>、</w:t>
            </w:r>
            <w:r>
              <w:rPr>
                <w:rFonts w:hint="eastAsia"/>
                <w:color w:val="auto"/>
                <w:highlight w:val="none"/>
              </w:rPr>
              <w:t>1,3-丁二烯</w:t>
            </w:r>
            <w:r>
              <w:rPr>
                <w:rFonts w:hint="eastAsia"/>
                <w:color w:val="auto"/>
                <w:highlight w:val="none"/>
                <w:lang w:eastAsia="zh-CN"/>
              </w:rPr>
              <w:t>、</w:t>
            </w:r>
            <w:r>
              <w:rPr>
                <w:rFonts w:hint="eastAsia"/>
                <w:color w:val="auto"/>
                <w:highlight w:val="none"/>
              </w:rPr>
              <w:t>苯乙烯</w:t>
            </w:r>
            <w:r>
              <w:rPr>
                <w:rFonts w:hint="eastAsia"/>
                <w:color w:val="auto"/>
                <w:highlight w:val="none"/>
                <w:lang w:eastAsia="zh-CN"/>
              </w:rPr>
              <w:t>、</w:t>
            </w:r>
            <w:r>
              <w:rPr>
                <w:rFonts w:hint="eastAsia"/>
                <w:color w:val="auto"/>
                <w:highlight w:val="none"/>
              </w:rPr>
              <w:t>甲苯</w:t>
            </w:r>
            <w:r>
              <w:rPr>
                <w:rFonts w:hint="eastAsia"/>
                <w:color w:val="auto"/>
                <w:highlight w:val="none"/>
                <w:lang w:eastAsia="zh-CN"/>
              </w:rPr>
              <w:t>、</w:t>
            </w:r>
            <w:r>
              <w:rPr>
                <w:rFonts w:hint="eastAsia"/>
                <w:color w:val="auto"/>
                <w:highlight w:val="none"/>
              </w:rPr>
              <w:t>乙苯</w:t>
            </w:r>
            <w:r>
              <w:rPr>
                <w:rFonts w:hint="eastAsia"/>
                <w:color w:val="auto"/>
                <w:highlight w:val="none"/>
                <w:lang w:eastAsia="zh-CN"/>
              </w:rPr>
              <w:t>、</w:t>
            </w:r>
            <w:r>
              <w:rPr>
                <w:rFonts w:hint="eastAsia"/>
                <w:color w:val="auto"/>
                <w:highlight w:val="none"/>
              </w:rPr>
              <w:t>甲基丙烯酸甲酯</w:t>
            </w:r>
            <w:r>
              <w:rPr>
                <w:rFonts w:hint="eastAsia"/>
                <w:color w:val="auto"/>
                <w:highlight w:val="none"/>
                <w:lang w:eastAsia="zh-CN"/>
              </w:rPr>
              <w:t>、</w:t>
            </w:r>
            <w:r>
              <w:rPr>
                <w:rFonts w:hint="eastAsia"/>
                <w:color w:val="auto"/>
                <w:highlight w:val="none"/>
              </w:rPr>
              <w:t>丙烯酸甲酯</w:t>
            </w:r>
            <w:r>
              <w:rPr>
                <w:rFonts w:hint="eastAsia"/>
                <w:color w:val="auto"/>
                <w:highlight w:val="none"/>
                <w:lang w:eastAsia="zh-CN"/>
              </w:rPr>
              <w:t>、</w:t>
            </w:r>
            <w:r>
              <w:rPr>
                <w:rFonts w:hint="eastAsia"/>
                <w:color w:val="auto"/>
                <w:highlight w:val="none"/>
              </w:rPr>
              <w:t>丙烯酸</w:t>
            </w:r>
            <w:r>
              <w:rPr>
                <w:rFonts w:hint="eastAsia"/>
                <w:color w:val="auto"/>
                <w:highlight w:val="none"/>
                <w:lang w:eastAsia="zh-CN"/>
              </w:rPr>
              <w:t>、</w:t>
            </w:r>
            <w:r>
              <w:rPr>
                <w:rFonts w:hint="eastAsia"/>
                <w:color w:val="auto"/>
                <w:highlight w:val="none"/>
              </w:rPr>
              <w:t>丙烯酸丁酯</w:t>
            </w:r>
            <w:r>
              <w:rPr>
                <w:rFonts w:hint="eastAsia"/>
                <w:color w:val="auto"/>
                <w:highlight w:val="none"/>
                <w:lang w:eastAsia="zh-CN"/>
              </w:rPr>
              <w:t>、</w:t>
            </w:r>
            <w:r>
              <w:rPr>
                <w:rFonts w:hint="eastAsia"/>
                <w:color w:val="auto"/>
                <w:highlight w:val="none"/>
              </w:rPr>
              <w:t>颗粒物</w:t>
            </w:r>
            <w:r>
              <w:rPr>
                <w:rFonts w:hint="eastAsia"/>
                <w:color w:val="auto"/>
                <w:highlight w:val="none"/>
                <w:lang w:eastAsia="zh-CN"/>
              </w:rPr>
              <w:t>、</w:t>
            </w:r>
            <w:r>
              <w:rPr>
                <w:rFonts w:hint="eastAsia"/>
                <w:color w:val="auto"/>
                <w:highlight w:val="none"/>
                <w:lang w:val="en-US" w:eastAsia="zh-CN"/>
              </w:rPr>
              <w:t>臭气浓度</w:t>
            </w:r>
          </w:p>
        </w:tc>
        <w:tc>
          <w:tcPr>
            <w:tcW w:w="1820" w:type="pct"/>
            <w:vAlign w:val="center"/>
          </w:tcPr>
          <w:p w14:paraId="5B32698E">
            <w:pPr>
              <w:pStyle w:val="20"/>
              <w:spacing w:before="31"/>
              <w:rPr>
                <w:color w:val="auto"/>
                <w:highlight w:val="none"/>
              </w:rPr>
            </w:pPr>
            <w:r>
              <w:rPr>
                <w:rFonts w:hint="eastAsia"/>
                <w:color w:val="auto"/>
                <w:highlight w:val="none"/>
                <w:lang w:val="en-US" w:eastAsia="zh-CN"/>
              </w:rPr>
              <w:t>废气经注塑机出料口上方集气罩收集后经过滤棉+UV光氧化+二级活性炭吸附装置处置后经一根15m高排气筒DA001排放，设计风量20000m</w:t>
            </w:r>
            <w:r>
              <w:rPr>
                <w:rFonts w:hint="eastAsia"/>
                <w:color w:val="auto"/>
                <w:highlight w:val="none"/>
                <w:vertAlign w:val="superscript"/>
                <w:lang w:val="en-US" w:eastAsia="zh-CN"/>
              </w:rPr>
              <w:t>3</w:t>
            </w:r>
            <w:r>
              <w:rPr>
                <w:rFonts w:hint="eastAsia"/>
                <w:color w:val="auto"/>
                <w:highlight w:val="none"/>
                <w:lang w:val="en-US" w:eastAsia="zh-CN"/>
              </w:rPr>
              <w:t>/h。</w:t>
            </w:r>
          </w:p>
        </w:tc>
        <w:tc>
          <w:tcPr>
            <w:tcW w:w="1101" w:type="pct"/>
            <w:vAlign w:val="center"/>
          </w:tcPr>
          <w:p w14:paraId="65879C59">
            <w:pPr>
              <w:pStyle w:val="20"/>
              <w:spacing w:before="31"/>
              <w:rPr>
                <w:color w:val="auto"/>
                <w:highlight w:val="none"/>
              </w:rPr>
            </w:pPr>
            <w:r>
              <w:rPr>
                <w:color w:val="auto"/>
                <w:highlight w:val="none"/>
              </w:rPr>
              <w:t>《合成树脂工业污染物排放标准》（</w:t>
            </w:r>
            <w:r>
              <w:rPr>
                <w:rFonts w:hint="eastAsia"/>
                <w:color w:val="auto"/>
                <w:highlight w:val="none"/>
              </w:rPr>
              <w:t>GB31572-2015，含2024年修改单</w:t>
            </w:r>
            <w:r>
              <w:rPr>
                <w:rFonts w:hint="eastAsia"/>
                <w:color w:val="auto"/>
                <w:highlight w:val="none"/>
                <w:lang w:eastAsia="zh-CN"/>
              </w:rPr>
              <w:t>）</w:t>
            </w:r>
            <w:r>
              <w:rPr>
                <w:color w:val="auto"/>
                <w:highlight w:val="none"/>
              </w:rPr>
              <w:t>中表5特别排放限值</w:t>
            </w:r>
            <w:r>
              <w:rPr>
                <w:rFonts w:hint="eastAsia"/>
                <w:color w:val="auto"/>
                <w:highlight w:val="none"/>
                <w:lang w:eastAsia="zh-CN"/>
              </w:rPr>
              <w:t>；</w:t>
            </w:r>
            <w:r>
              <w:rPr>
                <w:rFonts w:hint="eastAsia"/>
                <w:color w:val="auto"/>
                <w:highlight w:val="none"/>
                <w:lang w:val="en-US" w:eastAsia="zh-CN"/>
              </w:rPr>
              <w:t>《恶臭污染物排放标准》（GB14554-93）</w:t>
            </w:r>
          </w:p>
        </w:tc>
      </w:tr>
      <w:tr w14:paraId="363BE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42" w:type="pct"/>
            <w:vMerge w:val="continue"/>
            <w:vAlign w:val="center"/>
          </w:tcPr>
          <w:p w14:paraId="6A9C7871">
            <w:pPr>
              <w:pStyle w:val="24"/>
              <w:spacing w:before="93" w:after="93"/>
              <w:rPr>
                <w:b/>
                <w:bCs/>
                <w:color w:val="auto"/>
                <w:highlight w:val="none"/>
              </w:rPr>
            </w:pPr>
          </w:p>
        </w:tc>
        <w:tc>
          <w:tcPr>
            <w:tcW w:w="714" w:type="pct"/>
            <w:vAlign w:val="center"/>
          </w:tcPr>
          <w:p w14:paraId="55BDB5A0">
            <w:pPr>
              <w:pStyle w:val="20"/>
              <w:spacing w:before="31"/>
              <w:rPr>
                <w:rFonts w:hint="default" w:eastAsia="宋体"/>
                <w:color w:val="auto"/>
                <w:highlight w:val="none"/>
                <w:lang w:val="en-US" w:eastAsia="zh-CN"/>
              </w:rPr>
            </w:pPr>
            <w:r>
              <w:rPr>
                <w:rFonts w:hint="eastAsia"/>
                <w:color w:val="auto"/>
                <w:highlight w:val="none"/>
              </w:rPr>
              <w:t>厂</w:t>
            </w:r>
            <w:r>
              <w:rPr>
                <w:rFonts w:hint="eastAsia"/>
                <w:color w:val="auto"/>
                <w:highlight w:val="none"/>
                <w:lang w:val="en-US" w:eastAsia="zh-CN"/>
              </w:rPr>
              <w:t>区内无组织</w:t>
            </w:r>
          </w:p>
        </w:tc>
        <w:tc>
          <w:tcPr>
            <w:tcW w:w="820" w:type="pct"/>
            <w:vAlign w:val="center"/>
          </w:tcPr>
          <w:p w14:paraId="248431FF">
            <w:pPr>
              <w:pStyle w:val="20"/>
              <w:spacing w:before="31"/>
              <w:rPr>
                <w:color w:val="auto"/>
                <w:highlight w:val="none"/>
              </w:rPr>
            </w:pPr>
            <w:r>
              <w:rPr>
                <w:rFonts w:hint="eastAsia"/>
                <w:color w:val="auto"/>
                <w:highlight w:val="none"/>
              </w:rPr>
              <w:t>非甲烷总烃</w:t>
            </w:r>
          </w:p>
        </w:tc>
        <w:tc>
          <w:tcPr>
            <w:tcW w:w="1820" w:type="pct"/>
            <w:vAlign w:val="center"/>
          </w:tcPr>
          <w:p w14:paraId="4CD374FF">
            <w:pPr>
              <w:pStyle w:val="20"/>
              <w:spacing w:before="31"/>
              <w:rPr>
                <w:color w:val="auto"/>
                <w:highlight w:val="none"/>
              </w:rPr>
            </w:pPr>
            <w:r>
              <w:rPr>
                <w:rFonts w:hint="eastAsia"/>
                <w:color w:val="auto"/>
                <w:highlight w:val="none"/>
              </w:rPr>
              <w:t>加强车间通风</w:t>
            </w:r>
          </w:p>
        </w:tc>
        <w:tc>
          <w:tcPr>
            <w:tcW w:w="1101" w:type="pct"/>
            <w:vAlign w:val="center"/>
          </w:tcPr>
          <w:p w14:paraId="6A5C9492">
            <w:pPr>
              <w:pStyle w:val="20"/>
              <w:spacing w:before="31"/>
              <w:rPr>
                <w:color w:val="auto"/>
                <w:highlight w:val="none"/>
              </w:rPr>
            </w:pPr>
            <w:r>
              <w:rPr>
                <w:color w:val="auto"/>
                <w:highlight w:val="none"/>
              </w:rPr>
              <w:fldChar w:fldCharType="begin"/>
            </w:r>
            <w:r>
              <w:rPr>
                <w:color w:val="auto"/>
                <w:highlight w:val="none"/>
              </w:rPr>
              <w:instrText xml:space="preserve"> HYPERLINK "http://www.baidu.com/link?url=4_VsoQ6Wj0DrsF0CGrOWJK8XjkGxr17fRiEgiB6xxP16TvMacghBMd2aG4vpW-AAnP9VyuLVVIEPb1XOqMwRI9aQgbburhhbWFo8B82PoUa" \t "https://www.baidu.com/_blank" </w:instrText>
            </w:r>
            <w:r>
              <w:rPr>
                <w:color w:val="auto"/>
                <w:highlight w:val="none"/>
              </w:rPr>
              <w:fldChar w:fldCharType="separate"/>
            </w:r>
            <w:r>
              <w:rPr>
                <w:rFonts w:hint="eastAsia"/>
                <w:color w:val="auto"/>
                <w:highlight w:val="none"/>
              </w:rPr>
              <w:t>《挥发性有机物无组织排放控制标准》</w:t>
            </w:r>
            <w:r>
              <w:rPr>
                <w:rFonts w:hint="eastAsia"/>
                <w:color w:val="auto"/>
                <w:highlight w:val="none"/>
              </w:rPr>
              <w:fldChar w:fldCharType="end"/>
            </w:r>
            <w:r>
              <w:rPr>
                <w:rFonts w:hint="eastAsia"/>
                <w:color w:val="auto"/>
                <w:highlight w:val="none"/>
              </w:rPr>
              <w:t>（GB37822-2019）</w:t>
            </w:r>
          </w:p>
        </w:tc>
      </w:tr>
      <w:tr w14:paraId="16FF0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42" w:type="pct"/>
            <w:vMerge w:val="continue"/>
            <w:vAlign w:val="center"/>
          </w:tcPr>
          <w:p w14:paraId="190E82DF">
            <w:pPr>
              <w:pStyle w:val="24"/>
              <w:spacing w:before="93" w:after="93"/>
              <w:rPr>
                <w:b/>
                <w:bCs/>
                <w:color w:val="auto"/>
                <w:highlight w:val="none"/>
              </w:rPr>
            </w:pPr>
          </w:p>
        </w:tc>
        <w:tc>
          <w:tcPr>
            <w:tcW w:w="714" w:type="pct"/>
            <w:vAlign w:val="center"/>
          </w:tcPr>
          <w:p w14:paraId="3D31493A">
            <w:pPr>
              <w:pStyle w:val="20"/>
              <w:spacing w:before="31"/>
              <w:rPr>
                <w:color w:val="auto"/>
                <w:highlight w:val="none"/>
              </w:rPr>
            </w:pPr>
            <w:r>
              <w:rPr>
                <w:rFonts w:hint="eastAsia"/>
                <w:color w:val="auto"/>
                <w:highlight w:val="none"/>
              </w:rPr>
              <w:t>厂界无组织</w:t>
            </w:r>
          </w:p>
        </w:tc>
        <w:tc>
          <w:tcPr>
            <w:tcW w:w="820" w:type="pct"/>
            <w:vAlign w:val="center"/>
          </w:tcPr>
          <w:p w14:paraId="3268D364">
            <w:pPr>
              <w:pStyle w:val="20"/>
              <w:spacing w:before="31"/>
              <w:rPr>
                <w:rFonts w:hint="eastAsia" w:eastAsia="宋体"/>
                <w:color w:val="auto"/>
                <w:highlight w:val="none"/>
                <w:lang w:eastAsia="zh-CN"/>
              </w:rPr>
            </w:pPr>
            <w:r>
              <w:rPr>
                <w:rFonts w:hint="eastAsia"/>
                <w:color w:val="auto"/>
                <w:highlight w:val="none"/>
                <w:lang w:val="en-US" w:eastAsia="zh-CN"/>
              </w:rPr>
              <w:t>非甲烷总烃、甲苯、颗粒物、臭气浓度</w:t>
            </w:r>
          </w:p>
        </w:tc>
        <w:tc>
          <w:tcPr>
            <w:tcW w:w="1820" w:type="pct"/>
            <w:vAlign w:val="center"/>
          </w:tcPr>
          <w:p w14:paraId="6C8593DB">
            <w:pPr>
              <w:pStyle w:val="20"/>
              <w:spacing w:before="31"/>
              <w:rPr>
                <w:color w:val="auto"/>
                <w:highlight w:val="none"/>
              </w:rPr>
            </w:pPr>
            <w:r>
              <w:rPr>
                <w:rFonts w:hint="eastAsia"/>
                <w:color w:val="auto"/>
                <w:highlight w:val="none"/>
              </w:rPr>
              <w:t>加强车间通风</w:t>
            </w:r>
          </w:p>
        </w:tc>
        <w:tc>
          <w:tcPr>
            <w:tcW w:w="1101" w:type="pct"/>
            <w:vAlign w:val="center"/>
          </w:tcPr>
          <w:p w14:paraId="0EBDAFF7">
            <w:pPr>
              <w:pStyle w:val="20"/>
              <w:spacing w:before="31"/>
              <w:rPr>
                <w:rFonts w:hint="eastAsia" w:eastAsia="宋体"/>
                <w:color w:val="auto"/>
                <w:highlight w:val="none"/>
                <w:lang w:eastAsia="zh-CN"/>
              </w:rPr>
            </w:pPr>
            <w:r>
              <w:rPr>
                <w:color w:val="auto"/>
                <w:highlight w:val="none"/>
              </w:rPr>
              <w:t>《合成树脂工业污染物排放标准》（</w:t>
            </w:r>
            <w:r>
              <w:rPr>
                <w:rFonts w:hint="eastAsia"/>
                <w:color w:val="auto"/>
                <w:highlight w:val="none"/>
              </w:rPr>
              <w:t>GB31572-2015，含2024年修改单</w:t>
            </w:r>
            <w:r>
              <w:rPr>
                <w:rFonts w:hint="eastAsia"/>
                <w:color w:val="auto"/>
                <w:highlight w:val="none"/>
                <w:lang w:eastAsia="zh-CN"/>
              </w:rPr>
              <w:t>）</w:t>
            </w:r>
            <w:r>
              <w:rPr>
                <w:color w:val="auto"/>
                <w:highlight w:val="none"/>
              </w:rPr>
              <w:t>中表5特别排放限值</w:t>
            </w:r>
            <w:r>
              <w:rPr>
                <w:rFonts w:hint="eastAsia"/>
                <w:color w:val="auto"/>
                <w:highlight w:val="none"/>
                <w:lang w:eastAsia="zh-CN"/>
              </w:rPr>
              <w:t>；</w:t>
            </w:r>
            <w:r>
              <w:rPr>
                <w:rFonts w:hint="eastAsia"/>
                <w:color w:val="auto"/>
                <w:highlight w:val="none"/>
                <w:lang w:val="en-US" w:eastAsia="zh-CN"/>
              </w:rPr>
              <w:t>《恶臭污染物排放标准》（GB14554-93）</w:t>
            </w:r>
          </w:p>
        </w:tc>
      </w:tr>
      <w:tr w14:paraId="59276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42" w:type="pct"/>
            <w:vAlign w:val="center"/>
          </w:tcPr>
          <w:p w14:paraId="284B78FB">
            <w:pPr>
              <w:pStyle w:val="24"/>
              <w:spacing w:before="93" w:after="93"/>
              <w:rPr>
                <w:b/>
                <w:bCs/>
                <w:color w:val="auto"/>
                <w:highlight w:val="none"/>
              </w:rPr>
            </w:pPr>
            <w:r>
              <w:rPr>
                <w:rFonts w:hint="eastAsia"/>
                <w:b/>
                <w:bCs/>
                <w:color w:val="auto"/>
                <w:highlight w:val="none"/>
              </w:rPr>
              <w:t>地表水环境</w:t>
            </w:r>
          </w:p>
        </w:tc>
        <w:tc>
          <w:tcPr>
            <w:tcW w:w="714" w:type="pct"/>
            <w:vAlign w:val="center"/>
          </w:tcPr>
          <w:p w14:paraId="7DFD0448">
            <w:pPr>
              <w:pStyle w:val="20"/>
              <w:spacing w:before="31"/>
              <w:rPr>
                <w:color w:val="auto"/>
                <w:highlight w:val="none"/>
              </w:rPr>
            </w:pPr>
            <w:r>
              <w:rPr>
                <w:rFonts w:hint="eastAsia"/>
                <w:color w:val="auto"/>
                <w:highlight w:val="none"/>
              </w:rPr>
              <w:t>DW001</w:t>
            </w:r>
            <w:r>
              <w:rPr>
                <w:rFonts w:hint="eastAsia"/>
                <w:color w:val="auto"/>
                <w:highlight w:val="none"/>
                <w:lang w:val="en-US" w:eastAsia="zh-CN"/>
              </w:rPr>
              <w:t>废水</w:t>
            </w:r>
            <w:r>
              <w:rPr>
                <w:rFonts w:hint="eastAsia"/>
                <w:color w:val="auto"/>
                <w:highlight w:val="none"/>
              </w:rPr>
              <w:t>排放口</w:t>
            </w:r>
          </w:p>
        </w:tc>
        <w:tc>
          <w:tcPr>
            <w:tcW w:w="820" w:type="pct"/>
            <w:vAlign w:val="center"/>
          </w:tcPr>
          <w:p w14:paraId="629792CD">
            <w:pPr>
              <w:pStyle w:val="20"/>
              <w:spacing w:before="31"/>
              <w:rPr>
                <w:rFonts w:hint="default"/>
                <w:color w:val="auto"/>
                <w:highlight w:val="none"/>
                <w:lang w:val="en-US"/>
              </w:rPr>
            </w:pPr>
            <w:r>
              <w:rPr>
                <w:rFonts w:hint="eastAsia"/>
                <w:color w:val="auto"/>
                <w:highlight w:val="none"/>
              </w:rPr>
              <w:t>pH、COD、BOD</w:t>
            </w:r>
            <w:r>
              <w:rPr>
                <w:rFonts w:hint="eastAsia"/>
                <w:color w:val="auto"/>
                <w:highlight w:val="none"/>
                <w:vertAlign w:val="subscript"/>
              </w:rPr>
              <w:t>5</w:t>
            </w:r>
            <w:r>
              <w:rPr>
                <w:rFonts w:hint="eastAsia"/>
                <w:color w:val="auto"/>
                <w:highlight w:val="none"/>
              </w:rPr>
              <w:t>、SS、</w:t>
            </w:r>
            <w:r>
              <w:rPr>
                <w:rFonts w:hint="eastAsia"/>
                <w:color w:val="auto"/>
                <w:highlight w:val="none"/>
                <w:lang w:val="en-US" w:eastAsia="zh-CN"/>
              </w:rPr>
              <w:t>氨氮、</w:t>
            </w:r>
            <w:r>
              <w:rPr>
                <w:rFonts w:hint="eastAsia"/>
                <w:color w:val="auto"/>
                <w:highlight w:val="none"/>
              </w:rPr>
              <w:t>石油类</w:t>
            </w:r>
            <w:r>
              <w:rPr>
                <w:rFonts w:hint="eastAsia"/>
                <w:color w:val="auto"/>
                <w:highlight w:val="none"/>
                <w:lang w:eastAsia="zh-CN"/>
              </w:rPr>
              <w:t>、</w:t>
            </w:r>
            <w:r>
              <w:rPr>
                <w:rFonts w:hint="eastAsia"/>
                <w:color w:val="auto"/>
                <w:highlight w:val="none"/>
                <w:lang w:val="en-US" w:eastAsia="zh-CN"/>
              </w:rPr>
              <w:t>TP、TN</w:t>
            </w:r>
          </w:p>
        </w:tc>
        <w:tc>
          <w:tcPr>
            <w:tcW w:w="1820" w:type="pct"/>
            <w:vAlign w:val="center"/>
          </w:tcPr>
          <w:p w14:paraId="1BED45C3">
            <w:pPr>
              <w:pStyle w:val="20"/>
              <w:spacing w:before="31"/>
              <w:rPr>
                <w:color w:val="auto"/>
                <w:highlight w:val="none"/>
              </w:rPr>
            </w:pPr>
            <w:r>
              <w:rPr>
                <w:rFonts w:hint="eastAsia"/>
                <w:color w:val="auto"/>
                <w:highlight w:val="none"/>
              </w:rPr>
              <w:t>生活污水</w:t>
            </w:r>
            <w:r>
              <w:rPr>
                <w:rFonts w:hint="eastAsia"/>
                <w:color w:val="auto"/>
                <w:highlight w:val="none"/>
                <w:lang w:eastAsia="zh-CN"/>
              </w:rPr>
              <w:t>、</w:t>
            </w:r>
            <w:r>
              <w:rPr>
                <w:rFonts w:hint="eastAsia"/>
                <w:color w:val="auto"/>
                <w:highlight w:val="none"/>
                <w:lang w:val="en-US" w:eastAsia="zh-CN"/>
              </w:rPr>
              <w:t>地面清洗废气</w:t>
            </w:r>
            <w:r>
              <w:rPr>
                <w:rFonts w:hint="eastAsia"/>
                <w:color w:val="auto"/>
                <w:highlight w:val="none"/>
              </w:rPr>
              <w:t>进入厂区已建生化池处理（处理能力</w:t>
            </w:r>
            <w:r>
              <w:rPr>
                <w:rFonts w:hint="eastAsia"/>
                <w:color w:val="auto"/>
                <w:highlight w:val="none"/>
                <w:lang w:val="en-US" w:eastAsia="zh-CN"/>
              </w:rPr>
              <w:t>6</w:t>
            </w:r>
            <w:r>
              <w:rPr>
                <w:rFonts w:hint="eastAsia"/>
                <w:color w:val="auto"/>
                <w:highlight w:val="none"/>
              </w:rPr>
              <w:t>m</w:t>
            </w:r>
            <w:r>
              <w:rPr>
                <w:rFonts w:hint="eastAsia"/>
                <w:color w:val="auto"/>
                <w:highlight w:val="none"/>
                <w:vertAlign w:val="superscript"/>
              </w:rPr>
              <w:t>3</w:t>
            </w:r>
            <w:r>
              <w:rPr>
                <w:rFonts w:hint="eastAsia"/>
                <w:color w:val="auto"/>
                <w:highlight w:val="none"/>
              </w:rPr>
              <w:t>/d，处理工艺：厌氧）达《污水综合排放标准》（GB8978-1996）三级标准</w:t>
            </w:r>
            <w:r>
              <w:rPr>
                <w:rFonts w:hint="eastAsia"/>
                <w:color w:val="auto"/>
                <w:highlight w:val="none"/>
                <w:lang w:eastAsia="zh-CN"/>
              </w:rPr>
              <w:t>，</w:t>
            </w:r>
            <w:r>
              <w:rPr>
                <w:rFonts w:hint="eastAsia"/>
                <w:color w:val="auto"/>
                <w:highlight w:val="none"/>
                <w:lang w:val="en-US" w:eastAsia="zh-CN"/>
              </w:rPr>
              <w:t>同循环冷却水经厂区废水排放口进入市政污水管网</w:t>
            </w:r>
            <w:r>
              <w:rPr>
                <w:rFonts w:hint="eastAsia"/>
                <w:color w:val="auto"/>
                <w:highlight w:val="none"/>
                <w:lang w:eastAsia="zh-CN"/>
              </w:rPr>
              <w:t>，</w:t>
            </w:r>
            <w:r>
              <w:rPr>
                <w:rFonts w:hint="eastAsia"/>
                <w:color w:val="auto"/>
                <w:highlight w:val="none"/>
              </w:rPr>
              <w:t>进入西彭工业园区污水处理厂处理达《污水综合排放标准》（GB8978-1996）一级标准后排入桥头河，最终汇入</w:t>
            </w:r>
            <w:r>
              <w:rPr>
                <w:color w:val="auto"/>
                <w:highlight w:val="none"/>
              </w:rPr>
              <w:t>长江</w:t>
            </w:r>
            <w:r>
              <w:rPr>
                <w:rFonts w:hint="eastAsia"/>
                <w:color w:val="auto"/>
                <w:highlight w:val="none"/>
              </w:rPr>
              <w:t>。</w:t>
            </w:r>
          </w:p>
        </w:tc>
        <w:tc>
          <w:tcPr>
            <w:tcW w:w="1101" w:type="pct"/>
            <w:vAlign w:val="center"/>
          </w:tcPr>
          <w:p w14:paraId="02381D52">
            <w:pPr>
              <w:pStyle w:val="20"/>
              <w:spacing w:before="31"/>
              <w:rPr>
                <w:color w:val="auto"/>
                <w:highlight w:val="none"/>
              </w:rPr>
            </w:pPr>
            <w:r>
              <w:rPr>
                <w:rFonts w:hint="eastAsia"/>
                <w:color w:val="auto"/>
                <w:highlight w:val="none"/>
              </w:rPr>
              <w:t>《污水综合排放标准》（GB8978-1996）三级标准，其中氨氮、</w:t>
            </w:r>
            <w:r>
              <w:rPr>
                <w:rFonts w:hint="eastAsia"/>
                <w:color w:val="auto"/>
                <w:highlight w:val="none"/>
                <w:lang w:val="en-US" w:eastAsia="zh-CN"/>
              </w:rPr>
              <w:t>TP、TN</w:t>
            </w:r>
            <w:r>
              <w:rPr>
                <w:rFonts w:hint="eastAsia"/>
                <w:color w:val="auto"/>
                <w:highlight w:val="none"/>
              </w:rPr>
              <w:t>执行《污水排入城镇下水道水质标准》（GB/T31962-2015）</w:t>
            </w:r>
          </w:p>
        </w:tc>
      </w:tr>
      <w:tr w14:paraId="6F684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42" w:type="pct"/>
            <w:vAlign w:val="center"/>
          </w:tcPr>
          <w:p w14:paraId="3DED1A19">
            <w:pPr>
              <w:pStyle w:val="24"/>
              <w:spacing w:before="93" w:after="93"/>
              <w:rPr>
                <w:b/>
                <w:bCs/>
                <w:color w:val="auto"/>
                <w:highlight w:val="none"/>
              </w:rPr>
            </w:pPr>
            <w:r>
              <w:rPr>
                <w:rFonts w:hint="eastAsia"/>
                <w:b/>
                <w:bCs/>
                <w:color w:val="auto"/>
                <w:highlight w:val="none"/>
              </w:rPr>
              <w:t>声环境</w:t>
            </w:r>
          </w:p>
        </w:tc>
        <w:tc>
          <w:tcPr>
            <w:tcW w:w="714" w:type="pct"/>
            <w:vAlign w:val="center"/>
          </w:tcPr>
          <w:p w14:paraId="70B962C1">
            <w:pPr>
              <w:pStyle w:val="20"/>
              <w:spacing w:before="31"/>
              <w:rPr>
                <w:color w:val="auto"/>
                <w:highlight w:val="none"/>
              </w:rPr>
            </w:pPr>
            <w:r>
              <w:rPr>
                <w:rFonts w:hint="eastAsia"/>
                <w:color w:val="auto"/>
                <w:highlight w:val="none"/>
              </w:rPr>
              <w:t>设备噪声</w:t>
            </w:r>
          </w:p>
        </w:tc>
        <w:tc>
          <w:tcPr>
            <w:tcW w:w="820" w:type="pct"/>
            <w:vAlign w:val="center"/>
          </w:tcPr>
          <w:p w14:paraId="1A64E262">
            <w:pPr>
              <w:pStyle w:val="20"/>
              <w:spacing w:before="31"/>
              <w:rPr>
                <w:color w:val="auto"/>
                <w:highlight w:val="none"/>
              </w:rPr>
            </w:pPr>
            <w:r>
              <w:rPr>
                <w:rFonts w:hint="eastAsia"/>
                <w:color w:val="auto"/>
                <w:highlight w:val="none"/>
              </w:rPr>
              <w:t>等效连续A声级</w:t>
            </w:r>
          </w:p>
        </w:tc>
        <w:tc>
          <w:tcPr>
            <w:tcW w:w="1820" w:type="pct"/>
            <w:vAlign w:val="center"/>
          </w:tcPr>
          <w:p w14:paraId="2AB7C5D0">
            <w:pPr>
              <w:pStyle w:val="20"/>
              <w:spacing w:before="31"/>
              <w:rPr>
                <w:rFonts w:hint="default" w:eastAsia="宋体"/>
                <w:color w:val="auto"/>
                <w:highlight w:val="none"/>
                <w:lang w:val="en-US" w:eastAsia="zh-CN"/>
              </w:rPr>
            </w:pPr>
            <w:r>
              <w:rPr>
                <w:color w:val="auto"/>
                <w:highlight w:val="none"/>
              </w:rPr>
              <w:t>基础减振、墙体隔声和消声降噪</w:t>
            </w:r>
            <w:r>
              <w:rPr>
                <w:rFonts w:hint="eastAsia"/>
                <w:color w:val="auto"/>
                <w:highlight w:val="none"/>
              </w:rPr>
              <w:t>、合理布局</w:t>
            </w:r>
            <w:r>
              <w:rPr>
                <w:color w:val="auto"/>
                <w:highlight w:val="none"/>
              </w:rPr>
              <w:t>等措施</w:t>
            </w:r>
            <w:r>
              <w:rPr>
                <w:rFonts w:hint="eastAsia"/>
                <w:color w:val="auto"/>
                <w:highlight w:val="none"/>
                <w:lang w:eastAsia="zh-CN"/>
              </w:rPr>
              <w:t>，</w:t>
            </w:r>
            <w:r>
              <w:rPr>
                <w:rFonts w:hint="eastAsia"/>
                <w:color w:val="auto"/>
                <w:highlight w:val="none"/>
                <w:lang w:val="en-US" w:eastAsia="zh-CN"/>
              </w:rPr>
              <w:t>空压机设置空压机房隔声措施。</w:t>
            </w:r>
          </w:p>
        </w:tc>
        <w:tc>
          <w:tcPr>
            <w:tcW w:w="1101" w:type="pct"/>
            <w:vAlign w:val="center"/>
          </w:tcPr>
          <w:p w14:paraId="0D274CCF">
            <w:pPr>
              <w:pStyle w:val="20"/>
              <w:spacing w:before="31"/>
              <w:rPr>
                <w:color w:val="auto"/>
                <w:highlight w:val="none"/>
              </w:rPr>
            </w:pPr>
            <w:r>
              <w:rPr>
                <w:rFonts w:hint="eastAsia"/>
                <w:color w:val="auto"/>
                <w:highlight w:val="none"/>
              </w:rPr>
              <w:t>《工业企业厂界环境噪声排放标准》（GB12348-2008）3类标准</w:t>
            </w:r>
          </w:p>
        </w:tc>
      </w:tr>
      <w:tr w14:paraId="06B05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2" w:type="pct"/>
            <w:vAlign w:val="center"/>
          </w:tcPr>
          <w:p w14:paraId="7723D85F">
            <w:pPr>
              <w:pStyle w:val="24"/>
              <w:spacing w:before="93" w:after="93"/>
              <w:rPr>
                <w:b/>
                <w:bCs/>
                <w:color w:val="auto"/>
                <w:highlight w:val="none"/>
              </w:rPr>
            </w:pPr>
            <w:r>
              <w:rPr>
                <w:rFonts w:hint="eastAsia"/>
                <w:b/>
                <w:bCs/>
                <w:color w:val="auto"/>
                <w:highlight w:val="none"/>
              </w:rPr>
              <w:t>电磁辐射</w:t>
            </w:r>
          </w:p>
        </w:tc>
        <w:tc>
          <w:tcPr>
            <w:tcW w:w="4457" w:type="pct"/>
            <w:gridSpan w:val="4"/>
            <w:vAlign w:val="center"/>
          </w:tcPr>
          <w:p w14:paraId="3DDD1369">
            <w:pPr>
              <w:pStyle w:val="20"/>
              <w:spacing w:before="31"/>
              <w:rPr>
                <w:color w:val="auto"/>
                <w:highlight w:val="none"/>
              </w:rPr>
            </w:pPr>
            <w:r>
              <w:rPr>
                <w:rFonts w:hint="eastAsia"/>
                <w:color w:val="auto"/>
                <w:highlight w:val="none"/>
              </w:rPr>
              <w:t>/</w:t>
            </w:r>
          </w:p>
        </w:tc>
      </w:tr>
      <w:tr w14:paraId="1ACCF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42" w:type="pct"/>
            <w:vAlign w:val="center"/>
          </w:tcPr>
          <w:p w14:paraId="0D4E2207">
            <w:pPr>
              <w:pStyle w:val="24"/>
              <w:spacing w:before="93" w:after="93"/>
              <w:rPr>
                <w:b/>
                <w:bCs/>
                <w:color w:val="auto"/>
                <w:highlight w:val="none"/>
              </w:rPr>
            </w:pPr>
            <w:r>
              <w:rPr>
                <w:rFonts w:hint="eastAsia"/>
                <w:b/>
                <w:bCs/>
                <w:color w:val="auto"/>
                <w:highlight w:val="none"/>
              </w:rPr>
              <w:t>固体废物</w:t>
            </w:r>
          </w:p>
        </w:tc>
        <w:tc>
          <w:tcPr>
            <w:tcW w:w="4457" w:type="pct"/>
            <w:gridSpan w:val="4"/>
            <w:vAlign w:val="center"/>
          </w:tcPr>
          <w:p w14:paraId="795620FB">
            <w:pPr>
              <w:pStyle w:val="18"/>
              <w:rPr>
                <w:color w:val="auto"/>
                <w:highlight w:val="none"/>
              </w:rPr>
            </w:pPr>
            <w:r>
              <w:rPr>
                <w:rFonts w:hint="eastAsia"/>
                <w:color w:val="auto"/>
                <w:highlight w:val="none"/>
              </w:rPr>
              <w:t>一般工业固废：</w:t>
            </w:r>
            <w:r>
              <w:rPr>
                <w:rFonts w:hint="eastAsia"/>
                <w:color w:val="auto"/>
                <w:highlight w:val="none"/>
                <w:lang w:val="en-US" w:eastAsia="zh-CN"/>
              </w:rPr>
              <w:t>拟新</w:t>
            </w:r>
            <w:r>
              <w:rPr>
                <w:rFonts w:hint="eastAsia"/>
                <w:color w:val="auto"/>
                <w:highlight w:val="none"/>
              </w:rPr>
              <w:t>设置</w:t>
            </w:r>
            <w:r>
              <w:rPr>
                <w:color w:val="auto"/>
                <w:highlight w:val="none"/>
              </w:rPr>
              <w:t>一般工业固废暂存</w:t>
            </w:r>
            <w:r>
              <w:rPr>
                <w:rFonts w:hint="eastAsia"/>
                <w:color w:val="auto"/>
                <w:highlight w:val="none"/>
              </w:rPr>
              <w:t>间</w:t>
            </w:r>
            <w:r>
              <w:rPr>
                <w:color w:val="auto"/>
                <w:highlight w:val="none"/>
              </w:rPr>
              <w:t>1处，位于</w:t>
            </w:r>
            <w:r>
              <w:rPr>
                <w:rFonts w:hint="eastAsia"/>
                <w:color w:val="auto"/>
                <w:highlight w:val="none"/>
                <w:lang w:val="en-US" w:eastAsia="zh-CN"/>
              </w:rPr>
              <w:t>厂区北侧库房内</w:t>
            </w:r>
            <w:r>
              <w:rPr>
                <w:color w:val="auto"/>
                <w:highlight w:val="none"/>
              </w:rPr>
              <w:t>，面积</w:t>
            </w:r>
            <w:r>
              <w:rPr>
                <w:rFonts w:hint="eastAsia"/>
                <w:color w:val="auto"/>
                <w:highlight w:val="none"/>
              </w:rPr>
              <w:t>约</w:t>
            </w:r>
            <w:r>
              <w:rPr>
                <w:rFonts w:hint="eastAsia"/>
                <w:color w:val="auto"/>
                <w:highlight w:val="none"/>
                <w:lang w:val="en-US" w:eastAsia="zh-CN"/>
              </w:rPr>
              <w:t>5</w:t>
            </w:r>
            <w:r>
              <w:rPr>
                <w:rFonts w:hint="eastAsia"/>
                <w:color w:val="auto"/>
                <w:highlight w:val="none"/>
              </w:rPr>
              <w:t>0m</w:t>
            </w:r>
            <w:r>
              <w:rPr>
                <w:rFonts w:hint="eastAsia"/>
                <w:color w:val="auto"/>
                <w:highlight w:val="none"/>
                <w:vertAlign w:val="superscript"/>
              </w:rPr>
              <w:t>2</w:t>
            </w:r>
            <w:r>
              <w:rPr>
                <w:color w:val="auto"/>
                <w:highlight w:val="none"/>
              </w:rPr>
              <w:t>。</w:t>
            </w:r>
            <w:r>
              <w:rPr>
                <w:rFonts w:hint="eastAsia"/>
                <w:color w:val="auto"/>
                <w:highlight w:val="none"/>
              </w:rPr>
              <w:t>地面进行硬化，设置环保标识标牌，贮存过程应满足相应防渗漏、防雨淋、防扬尘等环境保护要求，不得混入生活垃圾或危险废物</w:t>
            </w:r>
            <w:r>
              <w:rPr>
                <w:color w:val="auto"/>
                <w:highlight w:val="none"/>
              </w:rPr>
              <w:t>。</w:t>
            </w:r>
          </w:p>
          <w:p w14:paraId="1C8C4E82">
            <w:pPr>
              <w:pStyle w:val="18"/>
              <w:rPr>
                <w:color w:val="auto"/>
                <w:highlight w:val="none"/>
              </w:rPr>
            </w:pPr>
            <w:r>
              <w:rPr>
                <w:rFonts w:hint="eastAsia"/>
                <w:color w:val="auto"/>
                <w:highlight w:val="none"/>
              </w:rPr>
              <w:t>危险废物：</w:t>
            </w:r>
            <w:r>
              <w:rPr>
                <w:rFonts w:hint="eastAsia"/>
                <w:color w:val="auto"/>
                <w:highlight w:val="none"/>
                <w:lang w:val="en-US" w:eastAsia="zh-CN"/>
              </w:rPr>
              <w:t>拟新</w:t>
            </w:r>
            <w:r>
              <w:rPr>
                <w:rFonts w:hint="eastAsia"/>
                <w:color w:val="auto"/>
                <w:highlight w:val="none"/>
              </w:rPr>
              <w:t>设置</w:t>
            </w:r>
            <w:r>
              <w:rPr>
                <w:rFonts w:hint="eastAsia"/>
                <w:color w:val="auto"/>
                <w:highlight w:val="none"/>
                <w:lang w:eastAsia="zh-CN"/>
              </w:rPr>
              <w:t>危险废物贮存点</w:t>
            </w:r>
            <w:r>
              <w:rPr>
                <w:rFonts w:hint="eastAsia"/>
                <w:color w:val="auto"/>
                <w:highlight w:val="none"/>
                <w:lang w:val="en-US" w:eastAsia="zh-CN"/>
              </w:rPr>
              <w:t>1处，</w:t>
            </w:r>
            <w:r>
              <w:rPr>
                <w:color w:val="auto"/>
                <w:highlight w:val="none"/>
              </w:rPr>
              <w:t>位于</w:t>
            </w:r>
            <w:r>
              <w:rPr>
                <w:rFonts w:hint="eastAsia"/>
                <w:color w:val="auto"/>
                <w:highlight w:val="none"/>
                <w:lang w:val="en-US" w:eastAsia="zh-CN"/>
              </w:rPr>
              <w:t>厂区北侧库房内，面积约20</w:t>
            </w:r>
            <w:r>
              <w:rPr>
                <w:color w:val="auto"/>
                <w:highlight w:val="none"/>
              </w:rPr>
              <w:t>m</w:t>
            </w:r>
            <w:r>
              <w:rPr>
                <w:color w:val="auto"/>
                <w:highlight w:val="none"/>
                <w:vertAlign w:val="superscript"/>
              </w:rPr>
              <w:t>2</w:t>
            </w:r>
            <w:r>
              <w:rPr>
                <w:color w:val="auto"/>
                <w:highlight w:val="none"/>
              </w:rPr>
              <w:t>。</w:t>
            </w:r>
            <w:r>
              <w:rPr>
                <w:rFonts w:hint="eastAsia"/>
                <w:color w:val="auto"/>
                <w:highlight w:val="none"/>
              </w:rPr>
              <w:t>危险废物采用合适的相容容器分区存放；地面、墙面裙脚、堵截泄漏的围堰、接触危险废物的隔板和墙体等应采用坚固的材料建造，表面无裂缝；地面与裙脚应采取表面防渗措施；设置液体泄漏堵截设施，堵截设施最小容积不应低于对应贮存区域最大液态废物容器容积。</w:t>
            </w:r>
          </w:p>
          <w:p w14:paraId="02924AA8">
            <w:pPr>
              <w:pStyle w:val="18"/>
              <w:rPr>
                <w:color w:val="auto"/>
                <w:highlight w:val="none"/>
              </w:rPr>
            </w:pPr>
            <w:r>
              <w:rPr>
                <w:rFonts w:hint="eastAsia"/>
                <w:color w:val="auto"/>
                <w:highlight w:val="none"/>
                <w:lang w:eastAsia="zh-CN"/>
              </w:rPr>
              <w:t>危险废物贮存点</w:t>
            </w:r>
            <w:r>
              <w:rPr>
                <w:rFonts w:hint="eastAsia"/>
                <w:color w:val="auto"/>
                <w:highlight w:val="none"/>
              </w:rPr>
              <w:t>必须严格按照《危险废物贮存污染控制标准》（GB18597-2023）要求设置，按照HJ 1276要求设置</w:t>
            </w:r>
            <w:r>
              <w:rPr>
                <w:rFonts w:hint="eastAsia"/>
                <w:color w:val="auto"/>
                <w:highlight w:val="none"/>
                <w:lang w:eastAsia="zh-CN"/>
              </w:rPr>
              <w:t>危险废物贮存点</w:t>
            </w:r>
            <w:r>
              <w:rPr>
                <w:rFonts w:hint="eastAsia"/>
                <w:color w:val="auto"/>
                <w:highlight w:val="none"/>
              </w:rPr>
              <w:t>或场所标志、危险废物贮存分区标志和危险废物标签等危险废物识别标志；采取技术和管理措施防止无关人员进入，加强危废管理。须做好危险废物情况的记录，指定专人进行日常管理。危废定期交有资质单位派专业技术人员和专用运输车辆进行运输，危废转移应按照《危险废物转移管理办法》（生态环境部公安部 交通运输部部令第23号）相关规定对危险废物进行登记、交接和转移的管理。</w:t>
            </w:r>
          </w:p>
          <w:p w14:paraId="416AB040">
            <w:pPr>
              <w:pStyle w:val="18"/>
              <w:rPr>
                <w:color w:val="auto"/>
                <w:highlight w:val="none"/>
              </w:rPr>
            </w:pPr>
            <w:r>
              <w:rPr>
                <w:rFonts w:hint="eastAsia"/>
                <w:color w:val="auto"/>
                <w:highlight w:val="none"/>
              </w:rPr>
              <w:t>生活垃圾：厂区设垃圾收集箱，</w:t>
            </w:r>
            <w:r>
              <w:rPr>
                <w:rFonts w:hint="eastAsia"/>
                <w:color w:val="auto"/>
                <w:highlight w:val="none"/>
                <w:lang w:val="en-US" w:eastAsia="zh-CN"/>
              </w:rPr>
              <w:t>由</w:t>
            </w:r>
            <w:r>
              <w:rPr>
                <w:rFonts w:hint="eastAsia"/>
                <w:color w:val="auto"/>
                <w:highlight w:val="none"/>
              </w:rPr>
              <w:t>环卫部门清运。</w:t>
            </w:r>
          </w:p>
        </w:tc>
      </w:tr>
      <w:tr w14:paraId="4214D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42" w:type="pct"/>
            <w:vAlign w:val="center"/>
          </w:tcPr>
          <w:p w14:paraId="0CB6E5C2">
            <w:pPr>
              <w:pStyle w:val="24"/>
              <w:spacing w:before="93" w:after="93"/>
              <w:rPr>
                <w:b/>
                <w:bCs/>
                <w:color w:val="auto"/>
                <w:highlight w:val="none"/>
              </w:rPr>
            </w:pPr>
            <w:r>
              <w:rPr>
                <w:rFonts w:hint="eastAsia"/>
                <w:b/>
                <w:bCs/>
                <w:color w:val="auto"/>
                <w:highlight w:val="none"/>
              </w:rPr>
              <w:t>土壤及地下水污染防治措施</w:t>
            </w:r>
          </w:p>
        </w:tc>
        <w:tc>
          <w:tcPr>
            <w:tcW w:w="4457" w:type="pct"/>
            <w:gridSpan w:val="4"/>
            <w:vAlign w:val="center"/>
          </w:tcPr>
          <w:p w14:paraId="3D00CB9F">
            <w:pPr>
              <w:pStyle w:val="18"/>
              <w:bidi w:val="0"/>
              <w:rPr>
                <w:color w:val="auto"/>
                <w:highlight w:val="none"/>
              </w:rPr>
            </w:pPr>
            <w:r>
              <w:rPr>
                <w:rFonts w:hint="eastAsia"/>
                <w:color w:val="auto"/>
                <w:highlight w:val="none"/>
                <w:lang w:val="en-US" w:eastAsia="zh-CN"/>
              </w:rPr>
              <w:t>危险废物贮存点</w:t>
            </w:r>
            <w:r>
              <w:rPr>
                <w:rFonts w:hint="eastAsia"/>
                <w:color w:val="auto"/>
                <w:highlight w:val="none"/>
              </w:rPr>
              <w:t>重点防渗</w:t>
            </w:r>
            <w:r>
              <w:rPr>
                <w:rFonts w:hint="eastAsia"/>
                <w:color w:val="auto"/>
                <w:highlight w:val="none"/>
                <w:lang w:eastAsia="zh-CN"/>
              </w:rPr>
              <w:t>，</w:t>
            </w:r>
            <w:r>
              <w:rPr>
                <w:rFonts w:hint="eastAsia"/>
                <w:color w:val="auto"/>
                <w:highlight w:val="none"/>
                <w:lang w:val="en-US" w:eastAsia="zh-CN"/>
              </w:rPr>
              <w:t>五金备件库内油料区域重点防渗，</w:t>
            </w:r>
            <w:r>
              <w:rPr>
                <w:rFonts w:hint="eastAsia"/>
                <w:color w:val="auto"/>
                <w:highlight w:val="none"/>
              </w:rPr>
              <w:t>区域裙角及地面防渗设置，形成围堰容积大于最大物料包装规格</w:t>
            </w:r>
            <w:r>
              <w:rPr>
                <w:rFonts w:hint="eastAsia"/>
                <w:color w:val="auto"/>
                <w:highlight w:val="none"/>
                <w:lang w:eastAsia="zh-CN"/>
              </w:rPr>
              <w:t>，</w:t>
            </w:r>
            <w:r>
              <w:rPr>
                <w:rFonts w:hint="eastAsia"/>
                <w:color w:val="auto"/>
                <w:highlight w:val="none"/>
                <w:lang w:val="en-US" w:eastAsia="zh-CN"/>
              </w:rPr>
              <w:t>配备相应泄漏堵漏应急物资</w:t>
            </w:r>
            <w:r>
              <w:rPr>
                <w:rFonts w:hint="eastAsia"/>
                <w:color w:val="auto"/>
                <w:highlight w:val="none"/>
              </w:rPr>
              <w:t>。</w:t>
            </w:r>
          </w:p>
        </w:tc>
      </w:tr>
      <w:tr w14:paraId="75743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2" w:type="pct"/>
            <w:vAlign w:val="center"/>
          </w:tcPr>
          <w:p w14:paraId="172DFEB0">
            <w:pPr>
              <w:pStyle w:val="24"/>
              <w:spacing w:before="93" w:after="93"/>
              <w:rPr>
                <w:b/>
                <w:bCs/>
                <w:color w:val="auto"/>
                <w:highlight w:val="none"/>
              </w:rPr>
            </w:pPr>
            <w:r>
              <w:rPr>
                <w:rFonts w:hint="eastAsia"/>
                <w:b/>
                <w:bCs/>
                <w:color w:val="auto"/>
                <w:highlight w:val="none"/>
              </w:rPr>
              <w:t>生态保护措施</w:t>
            </w:r>
          </w:p>
        </w:tc>
        <w:tc>
          <w:tcPr>
            <w:tcW w:w="4457" w:type="pct"/>
            <w:gridSpan w:val="4"/>
            <w:vAlign w:val="center"/>
          </w:tcPr>
          <w:p w14:paraId="74123913">
            <w:pPr>
              <w:pStyle w:val="18"/>
              <w:rPr>
                <w:color w:val="auto"/>
                <w:highlight w:val="none"/>
              </w:rPr>
            </w:pPr>
            <w:r>
              <w:rPr>
                <w:rFonts w:hint="eastAsia"/>
                <w:color w:val="auto"/>
                <w:highlight w:val="none"/>
              </w:rPr>
              <w:t>/</w:t>
            </w:r>
          </w:p>
        </w:tc>
      </w:tr>
      <w:tr w14:paraId="15EB8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42" w:type="pct"/>
            <w:vAlign w:val="center"/>
          </w:tcPr>
          <w:p w14:paraId="44B61FA5">
            <w:pPr>
              <w:pStyle w:val="24"/>
              <w:spacing w:before="93" w:after="93"/>
              <w:rPr>
                <w:b/>
                <w:bCs/>
                <w:color w:val="auto"/>
                <w:highlight w:val="none"/>
              </w:rPr>
            </w:pPr>
            <w:r>
              <w:rPr>
                <w:rFonts w:hint="eastAsia"/>
                <w:b/>
                <w:bCs/>
                <w:color w:val="auto"/>
                <w:highlight w:val="none"/>
              </w:rPr>
              <w:t>环境风险</w:t>
            </w:r>
          </w:p>
          <w:p w14:paraId="59E4F604">
            <w:pPr>
              <w:pStyle w:val="24"/>
              <w:spacing w:before="93" w:after="93"/>
              <w:rPr>
                <w:b/>
                <w:bCs/>
                <w:color w:val="auto"/>
                <w:highlight w:val="none"/>
              </w:rPr>
            </w:pPr>
            <w:r>
              <w:rPr>
                <w:rFonts w:hint="eastAsia"/>
                <w:b/>
                <w:bCs/>
                <w:color w:val="auto"/>
                <w:highlight w:val="none"/>
              </w:rPr>
              <w:t>防范措施</w:t>
            </w:r>
          </w:p>
        </w:tc>
        <w:tc>
          <w:tcPr>
            <w:tcW w:w="4457" w:type="pct"/>
            <w:gridSpan w:val="4"/>
            <w:vAlign w:val="center"/>
          </w:tcPr>
          <w:p w14:paraId="4B0C2ABC">
            <w:pPr>
              <w:pStyle w:val="18"/>
              <w:rPr>
                <w:rFonts w:hint="default"/>
                <w:color w:val="auto"/>
                <w:highlight w:val="none"/>
                <w:lang w:val="en-US" w:eastAsia="zh-CN"/>
              </w:rPr>
            </w:pPr>
            <w:r>
              <w:rPr>
                <w:rFonts w:hint="eastAsia"/>
                <w:color w:val="auto"/>
                <w:highlight w:val="none"/>
                <w:lang w:val="en-US" w:eastAsia="zh-CN"/>
              </w:rPr>
              <w:t>1.五金备件库</w:t>
            </w:r>
            <w:r>
              <w:rPr>
                <w:rFonts w:hint="eastAsia"/>
                <w:color w:val="auto"/>
                <w:highlight w:val="none"/>
              </w:rPr>
              <w:t>设置在远离热源和避免阳光直射的地方，禁止一切烟火</w:t>
            </w:r>
            <w:r>
              <w:rPr>
                <w:rFonts w:hint="eastAsia"/>
                <w:color w:val="auto"/>
                <w:highlight w:val="none"/>
                <w:lang w:val="en-US" w:eastAsia="zh-CN"/>
              </w:rPr>
              <w:t>。油料区域重点防渗设置，配备相应泄漏堵漏应急物资，个体防护物资以及泄漏吸附物资。</w:t>
            </w:r>
          </w:p>
          <w:p w14:paraId="76ACBDB4">
            <w:pPr>
              <w:pStyle w:val="18"/>
              <w:rPr>
                <w:rFonts w:hint="default"/>
                <w:color w:val="auto"/>
                <w:highlight w:val="none"/>
                <w:lang w:val="en-US" w:eastAsia="zh-CN"/>
              </w:rPr>
            </w:pPr>
            <w:r>
              <w:rPr>
                <w:rFonts w:hint="eastAsia"/>
                <w:color w:val="auto"/>
                <w:highlight w:val="none"/>
                <w:lang w:val="en-US" w:eastAsia="zh-CN"/>
              </w:rPr>
              <w:t>危险废物贮存点</w:t>
            </w:r>
            <w:r>
              <w:rPr>
                <w:rFonts w:hint="eastAsia"/>
                <w:color w:val="auto"/>
                <w:highlight w:val="none"/>
              </w:rPr>
              <w:t>重点防渗，区域裙角及地面防渗设置，形成围堰容积大于最大物料包装规格</w:t>
            </w:r>
            <w:r>
              <w:rPr>
                <w:rFonts w:hint="eastAsia"/>
                <w:color w:val="auto"/>
                <w:highlight w:val="none"/>
                <w:lang w:eastAsia="zh-CN"/>
              </w:rPr>
              <w:t>，</w:t>
            </w:r>
            <w:r>
              <w:rPr>
                <w:rFonts w:hint="eastAsia"/>
                <w:color w:val="auto"/>
                <w:highlight w:val="none"/>
              </w:rPr>
              <w:t>设置在远离热源和避免阳光直射的地方，禁止一切烟火，禁止使用易产生火花的机械设备和工具</w:t>
            </w:r>
            <w:r>
              <w:rPr>
                <w:rFonts w:hint="eastAsia"/>
                <w:color w:val="auto"/>
                <w:highlight w:val="none"/>
                <w:lang w:eastAsia="zh-CN"/>
              </w:rPr>
              <w:t>，</w:t>
            </w:r>
            <w:r>
              <w:rPr>
                <w:rFonts w:hint="eastAsia"/>
                <w:color w:val="auto"/>
                <w:highlight w:val="none"/>
                <w:lang w:val="en-US" w:eastAsia="zh-CN"/>
              </w:rPr>
              <w:t>配备相应泄漏堵漏应急物资，个体防护物资以及泄漏吸附物资。</w:t>
            </w:r>
          </w:p>
          <w:p w14:paraId="1526658E">
            <w:pPr>
              <w:pStyle w:val="18"/>
              <w:rPr>
                <w:color w:val="auto"/>
                <w:highlight w:val="none"/>
              </w:rPr>
            </w:pPr>
            <w:r>
              <w:rPr>
                <w:rFonts w:hint="eastAsia"/>
                <w:color w:val="auto"/>
                <w:highlight w:val="none"/>
              </w:rPr>
              <w:t>全厂做好消防措施，保持灭火器、消防栓等有效状态。配备完善的应急救援物资</w:t>
            </w:r>
            <w:r>
              <w:rPr>
                <w:rFonts w:hint="eastAsia"/>
                <w:color w:val="auto"/>
                <w:highlight w:val="none"/>
                <w:lang w:eastAsia="zh-CN"/>
              </w:rPr>
              <w:t>。强化</w:t>
            </w:r>
            <w:r>
              <w:rPr>
                <w:rFonts w:hint="eastAsia"/>
                <w:color w:val="auto"/>
                <w:highlight w:val="none"/>
              </w:rPr>
              <w:t>员工管理，严格要求岗位操作规程，加强操作人员的岗位培训和职业素质教育，严禁烟火，规范生产。</w:t>
            </w:r>
          </w:p>
        </w:tc>
      </w:tr>
      <w:tr w14:paraId="6006C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42" w:type="pct"/>
            <w:vAlign w:val="center"/>
          </w:tcPr>
          <w:p w14:paraId="10CAD0D2">
            <w:pPr>
              <w:pStyle w:val="24"/>
              <w:spacing w:before="93" w:after="93"/>
              <w:rPr>
                <w:b/>
                <w:bCs/>
                <w:color w:val="auto"/>
                <w:highlight w:val="none"/>
              </w:rPr>
            </w:pPr>
            <w:r>
              <w:rPr>
                <w:rFonts w:hint="eastAsia"/>
                <w:b/>
                <w:bCs/>
                <w:color w:val="auto"/>
                <w:highlight w:val="none"/>
              </w:rPr>
              <w:t>其他环境</w:t>
            </w:r>
          </w:p>
          <w:p w14:paraId="5AA86FF9">
            <w:pPr>
              <w:pStyle w:val="24"/>
              <w:spacing w:before="93" w:after="93"/>
              <w:rPr>
                <w:b/>
                <w:bCs/>
                <w:color w:val="auto"/>
                <w:highlight w:val="none"/>
              </w:rPr>
            </w:pPr>
            <w:r>
              <w:rPr>
                <w:rFonts w:hint="eastAsia"/>
                <w:b/>
                <w:bCs/>
                <w:color w:val="auto"/>
                <w:highlight w:val="none"/>
              </w:rPr>
              <w:t>管理要求</w:t>
            </w:r>
          </w:p>
        </w:tc>
        <w:tc>
          <w:tcPr>
            <w:tcW w:w="4457" w:type="pct"/>
            <w:gridSpan w:val="4"/>
            <w:vAlign w:val="center"/>
          </w:tcPr>
          <w:p w14:paraId="7535DA9F">
            <w:pPr>
              <w:pStyle w:val="18"/>
              <w:rPr>
                <w:rFonts w:hint="default" w:eastAsia="宋体"/>
                <w:color w:val="auto"/>
                <w:highlight w:val="none"/>
                <w:lang w:val="en-US" w:eastAsia="zh-CN"/>
              </w:rPr>
            </w:pPr>
            <w:r>
              <w:rPr>
                <w:rFonts w:hint="eastAsia"/>
                <w:color w:val="auto"/>
                <w:highlight w:val="none"/>
              </w:rPr>
              <w:t>1.竣工环境保护验收内容及要求：本项目须严格执行“三同时”制度，环保设施必须与主体工程同时设计、同时施工、同时投入使用。建设项目竣工后，建设单位应当按照《建设项目竣工环境保护验收暂行办法》（国环规环评〔2017〕4号）中的相关要求，对配套建设的环境保护措施进行验收。</w:t>
            </w:r>
          </w:p>
          <w:p w14:paraId="2C5AAF30">
            <w:pPr>
              <w:pStyle w:val="18"/>
              <w:rPr>
                <w:color w:val="auto"/>
                <w:highlight w:val="none"/>
              </w:rPr>
            </w:pPr>
            <w:r>
              <w:rPr>
                <w:color w:val="auto"/>
                <w:highlight w:val="none"/>
              </w:rPr>
              <w:t>2</w:t>
            </w:r>
            <w:r>
              <w:rPr>
                <w:rFonts w:hint="eastAsia"/>
                <w:color w:val="auto"/>
                <w:highlight w:val="none"/>
              </w:rPr>
              <w:t>.环境管理机构设置及职责：由建设单位配备专职或兼职管理干部</w:t>
            </w:r>
            <w:r>
              <w:rPr>
                <w:color w:val="auto"/>
                <w:highlight w:val="none"/>
              </w:rPr>
              <w:t>1</w:t>
            </w:r>
            <w:r>
              <w:rPr>
                <w:rFonts w:hint="eastAsia"/>
                <w:color w:val="auto"/>
                <w:highlight w:val="none"/>
              </w:rPr>
              <w:t>人，负责组织、落实、监督本工程运营期的环境保护工作，主要职责为：①建立完善的环境保护规章制度，并认真监督实施；②对各种设备的运行状况进行监督管理，确保设备正常高效运行；③落实环境监测制度，做好监测结果、设备运行指标的统计工作；④做好环境保护宣传和职工环保意识教育工作；⑤负责落实环境保护主管部门要求落实的相关环保工作；⑥负责环保设施操作人员技术培训，管理、建立环保设施运行、维护、维修等技术档案，确保环保设施正常运行。</w:t>
            </w:r>
          </w:p>
          <w:p w14:paraId="5889CFB5">
            <w:pPr>
              <w:pStyle w:val="18"/>
              <w:rPr>
                <w:color w:val="auto"/>
                <w:highlight w:val="none"/>
              </w:rPr>
            </w:pPr>
          </w:p>
          <w:p w14:paraId="0AD9920C">
            <w:pPr>
              <w:pStyle w:val="18"/>
              <w:rPr>
                <w:color w:val="auto"/>
                <w:highlight w:val="none"/>
              </w:rPr>
            </w:pPr>
          </w:p>
          <w:p w14:paraId="53824F81">
            <w:pPr>
              <w:pStyle w:val="18"/>
              <w:rPr>
                <w:color w:val="auto"/>
                <w:highlight w:val="none"/>
              </w:rPr>
            </w:pPr>
          </w:p>
          <w:p w14:paraId="5BEDB625">
            <w:pPr>
              <w:pStyle w:val="18"/>
              <w:rPr>
                <w:color w:val="auto"/>
                <w:highlight w:val="none"/>
              </w:rPr>
            </w:pPr>
          </w:p>
          <w:p w14:paraId="32B75CAF">
            <w:pPr>
              <w:pStyle w:val="18"/>
              <w:rPr>
                <w:color w:val="auto"/>
                <w:highlight w:val="none"/>
              </w:rPr>
            </w:pPr>
          </w:p>
          <w:p w14:paraId="466F9778">
            <w:pPr>
              <w:pStyle w:val="18"/>
              <w:rPr>
                <w:color w:val="auto"/>
                <w:highlight w:val="none"/>
              </w:rPr>
            </w:pPr>
          </w:p>
        </w:tc>
      </w:tr>
    </w:tbl>
    <w:p w14:paraId="11E5C64E">
      <w:pPr>
        <w:spacing w:beforeLines="10" w:afterLines="10"/>
        <w:jc w:val="center"/>
        <w:outlineLvl w:val="0"/>
        <w:rPr>
          <w:rFonts w:eastAsia="黑体"/>
          <w:snapToGrid w:val="0"/>
          <w:color w:val="auto"/>
          <w:sz w:val="30"/>
          <w:szCs w:val="30"/>
          <w:highlight w:val="none"/>
        </w:rPr>
        <w:sectPr>
          <w:pgSz w:w="16838" w:h="11905" w:orient="landscape"/>
          <w:pgMar w:top="1463" w:right="1440" w:bottom="1463" w:left="1440" w:header="851" w:footer="850" w:gutter="0"/>
          <w:cols w:space="0" w:num="1"/>
          <w:docGrid w:type="linesAndChars" w:linePitch="312" w:charSpace="0"/>
        </w:sectPr>
      </w:pPr>
    </w:p>
    <w:p w14:paraId="764BEB7D">
      <w:pPr>
        <w:spacing w:beforeLines="10" w:afterLines="10"/>
        <w:jc w:val="center"/>
        <w:outlineLvl w:val="0"/>
        <w:rPr>
          <w:rFonts w:eastAsia="黑体"/>
          <w:snapToGrid w:val="0"/>
          <w:color w:val="auto"/>
          <w:sz w:val="30"/>
          <w:szCs w:val="30"/>
          <w:highlight w:val="none"/>
        </w:rPr>
      </w:pPr>
      <w:r>
        <w:rPr>
          <w:rFonts w:hint="eastAsia" w:eastAsia="黑体"/>
          <w:snapToGrid w:val="0"/>
          <w:color w:val="auto"/>
          <w:sz w:val="30"/>
          <w:szCs w:val="30"/>
          <w:highlight w:val="none"/>
        </w:rPr>
        <w:t>六、结论</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9093"/>
      </w:tblGrid>
      <w:tr w14:paraId="3F7FB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767" w:hRule="atLeast"/>
          <w:jc w:val="center"/>
        </w:trPr>
        <w:tc>
          <w:tcPr>
            <w:tcW w:w="5000" w:type="pct"/>
          </w:tcPr>
          <w:p w14:paraId="7AE21B49">
            <w:pPr>
              <w:pStyle w:val="18"/>
              <w:wordWrap w:val="0"/>
              <w:rPr>
                <w:color w:val="auto"/>
                <w:highlight w:val="none"/>
              </w:rPr>
            </w:pPr>
            <w:r>
              <w:rPr>
                <w:rFonts w:hint="eastAsia"/>
                <w:color w:val="auto"/>
                <w:highlight w:val="none"/>
              </w:rPr>
              <w:t>综上所述，</w:t>
            </w:r>
            <w:r>
              <w:rPr>
                <w:rFonts w:hint="eastAsia"/>
                <w:color w:val="auto"/>
                <w:highlight w:val="none"/>
                <w:lang w:eastAsia="zh-CN"/>
              </w:rPr>
              <w:t>重庆天畅汽车零部件有限公司</w:t>
            </w:r>
            <w:r>
              <w:rPr>
                <w:rFonts w:hint="eastAsia"/>
                <w:color w:val="auto"/>
                <w:highlight w:val="none"/>
                <w:lang w:val="en-US" w:eastAsia="zh-CN"/>
              </w:rPr>
              <w:t>租赁重庆铝产业开发投资集团有限公司位于</w:t>
            </w:r>
            <w:r>
              <w:rPr>
                <w:rFonts w:hint="eastAsia"/>
                <w:color w:val="auto"/>
                <w:highlight w:val="none"/>
                <w:lang w:eastAsia="zh-CN"/>
              </w:rPr>
              <w:t>重庆市九龙坡区西彭镇铝城大道74号附1号</w:t>
            </w:r>
            <w:r>
              <w:rPr>
                <w:rFonts w:hint="eastAsia"/>
                <w:color w:val="auto"/>
                <w:highlight w:val="none"/>
                <w:lang w:val="en-US" w:eastAsia="zh-CN"/>
              </w:rPr>
              <w:t>的标准厂房从事塑料汽车零部件生产，新增租赁面积，建设</w:t>
            </w:r>
            <w:r>
              <w:rPr>
                <w:rFonts w:hint="eastAsia"/>
                <w:color w:val="auto"/>
                <w:highlight w:val="none"/>
                <w:lang w:eastAsia="zh-CN"/>
              </w:rPr>
              <w:t>天畅注塑汽车零部件制造扩建项目</w:t>
            </w:r>
            <w:r>
              <w:rPr>
                <w:rFonts w:hint="eastAsia"/>
                <w:color w:val="auto"/>
                <w:highlight w:val="none"/>
              </w:rPr>
              <w:t>，项目选址合理、符合国家及地方产业政策。企业运营期间应加强环境管理，认真落实环境工程措施，确保环保设施正常运行，实现废气、污水、噪声稳定达标排放。该项目采取环境工程措施后，环境污染可得到有效控制，对环境空气、地表水、声环境影响较小，从环境保护角度分析，该项目的建设是可行的。</w:t>
            </w:r>
          </w:p>
        </w:tc>
      </w:tr>
    </w:tbl>
    <w:p w14:paraId="39081821">
      <w:pPr>
        <w:spacing w:line="40" w:lineRule="exact"/>
        <w:outlineLvl w:val="0"/>
        <w:rPr>
          <w:rFonts w:eastAsia="黑体"/>
          <w:color w:val="auto"/>
          <w:szCs w:val="21"/>
          <w:highlight w:val="none"/>
        </w:rPr>
        <w:sectPr>
          <w:pgSz w:w="11905" w:h="16838"/>
          <w:pgMar w:top="1440" w:right="1463" w:bottom="1440" w:left="1463" w:header="851" w:footer="850" w:gutter="0"/>
          <w:cols w:space="0" w:num="1"/>
          <w:docGrid w:type="linesAndChars" w:linePitch="312" w:charSpace="0"/>
        </w:sectPr>
      </w:pPr>
    </w:p>
    <w:p w14:paraId="21FCE971">
      <w:pPr>
        <w:outlineLvl w:val="0"/>
        <w:rPr>
          <w:rFonts w:ascii="黑体" w:hAnsi="黑体" w:eastAsia="黑体"/>
          <w:snapToGrid w:val="0"/>
          <w:color w:val="auto"/>
          <w:sz w:val="32"/>
          <w:szCs w:val="32"/>
          <w:highlight w:val="none"/>
        </w:rPr>
      </w:pPr>
      <w:r>
        <w:rPr>
          <w:rFonts w:hint="eastAsia" w:ascii="黑体" w:hAnsi="黑体" w:eastAsia="黑体"/>
          <w:snapToGrid w:val="0"/>
          <w:color w:val="auto"/>
          <w:sz w:val="32"/>
          <w:szCs w:val="32"/>
          <w:highlight w:val="none"/>
        </w:rPr>
        <w:t>附表</w:t>
      </w:r>
    </w:p>
    <w:p w14:paraId="3F385448">
      <w:pPr>
        <w:spacing w:beforeLines="20" w:afterLines="20"/>
        <w:jc w:val="right"/>
        <w:rPr>
          <w:rFonts w:eastAsia="黑体"/>
          <w:snapToGrid w:val="0"/>
          <w:color w:val="auto"/>
          <w:sz w:val="36"/>
          <w:szCs w:val="36"/>
          <w:highlight w:val="none"/>
        </w:rPr>
      </w:pPr>
      <w:r>
        <w:rPr>
          <w:rFonts w:hint="eastAsia" w:eastAsia="黑体"/>
          <w:snapToGrid w:val="0"/>
          <w:color w:val="auto"/>
          <w:sz w:val="36"/>
          <w:szCs w:val="36"/>
          <w:highlight w:val="none"/>
        </w:rPr>
        <w:t xml:space="preserve">建设项目污染物排放量汇总表       </w:t>
      </w:r>
      <w:r>
        <w:rPr>
          <w:rFonts w:hint="eastAsia" w:eastAsia="黑体"/>
          <w:snapToGrid w:val="0"/>
          <w:color w:val="auto"/>
          <w:highlight w:val="none"/>
        </w:rPr>
        <w:t>单位：t/a</w:t>
      </w:r>
    </w:p>
    <w:tbl>
      <w:tblPr>
        <w:tblStyle w:val="1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89"/>
        <w:gridCol w:w="1526"/>
        <w:gridCol w:w="1029"/>
        <w:gridCol w:w="840"/>
        <w:gridCol w:w="908"/>
        <w:gridCol w:w="1012"/>
        <w:gridCol w:w="891"/>
        <w:gridCol w:w="1080"/>
        <w:gridCol w:w="813"/>
      </w:tblGrid>
      <w:tr w14:paraId="69046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blHeader/>
        </w:trPr>
        <w:tc>
          <w:tcPr>
            <w:tcW w:w="544" w:type="pct"/>
            <w:tcBorders>
              <w:tl2br w:val="single" w:color="auto" w:sz="4" w:space="0"/>
            </w:tcBorders>
            <w:tcMar>
              <w:top w:w="0" w:type="dxa"/>
              <w:left w:w="57" w:type="dxa"/>
              <w:bottom w:w="0" w:type="dxa"/>
              <w:right w:w="57" w:type="dxa"/>
            </w:tcMar>
            <w:vAlign w:val="center"/>
          </w:tcPr>
          <w:p w14:paraId="2FEC0D26">
            <w:pPr>
              <w:pStyle w:val="20"/>
              <w:spacing w:before="31"/>
              <w:ind w:left="360" w:leftChars="150"/>
              <w:rPr>
                <w:b/>
                <w:bCs/>
                <w:color w:val="auto"/>
                <w:highlight w:val="none"/>
              </w:rPr>
            </w:pPr>
            <w:r>
              <w:rPr>
                <w:rFonts w:hint="eastAsia"/>
                <w:b/>
                <w:bCs/>
                <w:color w:val="auto"/>
                <w:highlight w:val="none"/>
              </w:rPr>
              <w:t>项目</w:t>
            </w:r>
          </w:p>
          <w:p w14:paraId="017025FB">
            <w:pPr>
              <w:pStyle w:val="20"/>
              <w:spacing w:before="31"/>
              <w:ind w:right="360" w:rightChars="150"/>
              <w:rPr>
                <w:b/>
                <w:bCs/>
                <w:color w:val="auto"/>
                <w:highlight w:val="none"/>
              </w:rPr>
            </w:pPr>
            <w:r>
              <w:rPr>
                <w:rFonts w:hint="eastAsia"/>
                <w:b/>
                <w:bCs/>
                <w:color w:val="auto"/>
                <w:highlight w:val="none"/>
              </w:rPr>
              <w:t>分类</w:t>
            </w:r>
          </w:p>
        </w:tc>
        <w:tc>
          <w:tcPr>
            <w:tcW w:w="839" w:type="pct"/>
            <w:tcMar>
              <w:top w:w="0" w:type="dxa"/>
              <w:left w:w="57" w:type="dxa"/>
              <w:bottom w:w="0" w:type="dxa"/>
              <w:right w:w="57" w:type="dxa"/>
            </w:tcMar>
            <w:vAlign w:val="center"/>
          </w:tcPr>
          <w:p w14:paraId="57644A49">
            <w:pPr>
              <w:pStyle w:val="20"/>
              <w:spacing w:before="31"/>
              <w:rPr>
                <w:b/>
                <w:bCs/>
                <w:color w:val="auto"/>
                <w:highlight w:val="none"/>
              </w:rPr>
            </w:pPr>
            <w:r>
              <w:rPr>
                <w:rFonts w:hint="eastAsia"/>
                <w:b/>
                <w:bCs/>
                <w:color w:val="auto"/>
                <w:highlight w:val="none"/>
              </w:rPr>
              <w:t>污染物名称</w:t>
            </w:r>
          </w:p>
        </w:tc>
        <w:tc>
          <w:tcPr>
            <w:tcW w:w="566" w:type="pct"/>
            <w:tcMar>
              <w:top w:w="0" w:type="dxa"/>
              <w:left w:w="57" w:type="dxa"/>
              <w:bottom w:w="0" w:type="dxa"/>
              <w:right w:w="57" w:type="dxa"/>
            </w:tcMar>
            <w:vAlign w:val="center"/>
          </w:tcPr>
          <w:p w14:paraId="55544747">
            <w:pPr>
              <w:pStyle w:val="20"/>
              <w:spacing w:before="31"/>
              <w:rPr>
                <w:b/>
                <w:bCs/>
                <w:color w:val="auto"/>
                <w:highlight w:val="none"/>
              </w:rPr>
            </w:pPr>
            <w:r>
              <w:rPr>
                <w:b/>
                <w:bCs/>
                <w:color w:val="auto"/>
                <w:highlight w:val="none"/>
              </w:rPr>
              <w:t>现有工程</w:t>
            </w:r>
          </w:p>
          <w:p w14:paraId="74560CC8">
            <w:pPr>
              <w:pStyle w:val="20"/>
              <w:spacing w:before="31"/>
              <w:rPr>
                <w:b/>
                <w:bCs/>
                <w:color w:val="auto"/>
                <w:highlight w:val="none"/>
              </w:rPr>
            </w:pPr>
            <w:r>
              <w:rPr>
                <w:b/>
                <w:bCs/>
                <w:color w:val="auto"/>
                <w:highlight w:val="none"/>
              </w:rPr>
              <w:t>排放量（固</w:t>
            </w:r>
            <w:r>
              <w:rPr>
                <w:rFonts w:hint="eastAsia"/>
                <w:b/>
                <w:bCs/>
                <w:color w:val="auto"/>
                <w:highlight w:val="none"/>
              </w:rPr>
              <w:t>体</w:t>
            </w:r>
            <w:r>
              <w:rPr>
                <w:b/>
                <w:bCs/>
                <w:color w:val="auto"/>
                <w:highlight w:val="none"/>
              </w:rPr>
              <w:t>废</w:t>
            </w:r>
            <w:r>
              <w:rPr>
                <w:rFonts w:hint="eastAsia"/>
                <w:b/>
                <w:bCs/>
                <w:color w:val="auto"/>
                <w:highlight w:val="none"/>
              </w:rPr>
              <w:t>物</w:t>
            </w:r>
            <w:r>
              <w:rPr>
                <w:b/>
                <w:bCs/>
                <w:color w:val="auto"/>
                <w:highlight w:val="none"/>
              </w:rPr>
              <w:t>产生量）</w:t>
            </w:r>
            <w:r>
              <w:rPr>
                <w:b/>
                <w:bCs/>
                <w:color w:val="auto"/>
                <w:highlight w:val="none"/>
              </w:rPr>
              <w:fldChar w:fldCharType="begin"/>
            </w:r>
            <w:r>
              <w:rPr>
                <w:b/>
                <w:bCs/>
                <w:color w:val="auto"/>
                <w:highlight w:val="none"/>
              </w:rPr>
              <w:instrText xml:space="preserve"> = 1 \* GB3 \* MERGEFORMAT </w:instrText>
            </w:r>
            <w:r>
              <w:rPr>
                <w:b/>
                <w:bCs/>
                <w:color w:val="auto"/>
                <w:highlight w:val="none"/>
              </w:rPr>
              <w:fldChar w:fldCharType="separate"/>
            </w:r>
            <w:r>
              <w:rPr>
                <w:rFonts w:hint="eastAsia"/>
                <w:b/>
                <w:bCs/>
                <w:color w:val="auto"/>
                <w:highlight w:val="none"/>
              </w:rPr>
              <w:t>①</w:t>
            </w:r>
            <w:r>
              <w:rPr>
                <w:b/>
                <w:bCs/>
                <w:color w:val="auto"/>
                <w:highlight w:val="none"/>
              </w:rPr>
              <w:fldChar w:fldCharType="end"/>
            </w:r>
          </w:p>
        </w:tc>
        <w:tc>
          <w:tcPr>
            <w:tcW w:w="462" w:type="pct"/>
            <w:tcMar>
              <w:top w:w="0" w:type="dxa"/>
              <w:left w:w="57" w:type="dxa"/>
              <w:bottom w:w="0" w:type="dxa"/>
              <w:right w:w="57" w:type="dxa"/>
            </w:tcMar>
            <w:vAlign w:val="center"/>
          </w:tcPr>
          <w:p w14:paraId="4A145C27">
            <w:pPr>
              <w:pStyle w:val="20"/>
              <w:spacing w:before="31"/>
              <w:rPr>
                <w:b/>
                <w:bCs/>
                <w:color w:val="auto"/>
                <w:highlight w:val="none"/>
              </w:rPr>
            </w:pPr>
            <w:r>
              <w:rPr>
                <w:b/>
                <w:bCs/>
                <w:color w:val="auto"/>
                <w:highlight w:val="none"/>
              </w:rPr>
              <w:t>现有工程许可排放量</w:t>
            </w:r>
          </w:p>
          <w:p w14:paraId="4A21FA79">
            <w:pPr>
              <w:pStyle w:val="20"/>
              <w:spacing w:before="31"/>
              <w:rPr>
                <w:b/>
                <w:bCs/>
                <w:color w:val="auto"/>
                <w:highlight w:val="none"/>
              </w:rPr>
            </w:pPr>
            <w:r>
              <w:rPr>
                <w:b/>
                <w:bCs/>
                <w:color w:val="auto"/>
                <w:highlight w:val="none"/>
              </w:rPr>
              <w:fldChar w:fldCharType="begin"/>
            </w:r>
            <w:r>
              <w:rPr>
                <w:b/>
                <w:bCs/>
                <w:color w:val="auto"/>
                <w:highlight w:val="none"/>
              </w:rPr>
              <w:instrText xml:space="preserve"> = 2 \* GB3 \* MERGEFORMAT </w:instrText>
            </w:r>
            <w:r>
              <w:rPr>
                <w:b/>
                <w:bCs/>
                <w:color w:val="auto"/>
                <w:highlight w:val="none"/>
              </w:rPr>
              <w:fldChar w:fldCharType="separate"/>
            </w:r>
            <w:r>
              <w:rPr>
                <w:rFonts w:hint="eastAsia"/>
                <w:b/>
                <w:bCs/>
                <w:color w:val="auto"/>
                <w:highlight w:val="none"/>
              </w:rPr>
              <w:t>②</w:t>
            </w:r>
            <w:r>
              <w:rPr>
                <w:b/>
                <w:bCs/>
                <w:color w:val="auto"/>
                <w:highlight w:val="none"/>
              </w:rPr>
              <w:fldChar w:fldCharType="end"/>
            </w:r>
          </w:p>
        </w:tc>
        <w:tc>
          <w:tcPr>
            <w:tcW w:w="499" w:type="pct"/>
            <w:tcMar>
              <w:top w:w="0" w:type="dxa"/>
              <w:left w:w="57" w:type="dxa"/>
              <w:bottom w:w="0" w:type="dxa"/>
              <w:right w:w="57" w:type="dxa"/>
            </w:tcMar>
            <w:vAlign w:val="center"/>
          </w:tcPr>
          <w:p w14:paraId="79ADC381">
            <w:pPr>
              <w:pStyle w:val="20"/>
              <w:spacing w:before="31"/>
              <w:rPr>
                <w:b/>
                <w:bCs/>
                <w:color w:val="auto"/>
                <w:highlight w:val="none"/>
              </w:rPr>
            </w:pPr>
            <w:r>
              <w:rPr>
                <w:b/>
                <w:bCs/>
                <w:color w:val="auto"/>
                <w:highlight w:val="none"/>
              </w:rPr>
              <w:t>在建工程排放量（固</w:t>
            </w:r>
            <w:r>
              <w:rPr>
                <w:rFonts w:hint="eastAsia"/>
                <w:b/>
                <w:bCs/>
                <w:color w:val="auto"/>
                <w:highlight w:val="none"/>
              </w:rPr>
              <w:t>体</w:t>
            </w:r>
            <w:r>
              <w:rPr>
                <w:b/>
                <w:bCs/>
                <w:color w:val="auto"/>
                <w:highlight w:val="none"/>
              </w:rPr>
              <w:t>废</w:t>
            </w:r>
            <w:r>
              <w:rPr>
                <w:rFonts w:hint="eastAsia"/>
                <w:b/>
                <w:bCs/>
                <w:color w:val="auto"/>
                <w:highlight w:val="none"/>
              </w:rPr>
              <w:t>物</w:t>
            </w:r>
            <w:r>
              <w:rPr>
                <w:b/>
                <w:bCs/>
                <w:color w:val="auto"/>
                <w:highlight w:val="none"/>
              </w:rPr>
              <w:t>产生量）</w:t>
            </w:r>
            <w:r>
              <w:rPr>
                <w:b/>
                <w:bCs/>
                <w:color w:val="auto"/>
                <w:highlight w:val="none"/>
              </w:rPr>
              <w:fldChar w:fldCharType="begin"/>
            </w:r>
            <w:r>
              <w:rPr>
                <w:b/>
                <w:bCs/>
                <w:color w:val="auto"/>
                <w:highlight w:val="none"/>
              </w:rPr>
              <w:instrText xml:space="preserve"> = 3 \* GB3 \* MERGEFORMAT </w:instrText>
            </w:r>
            <w:r>
              <w:rPr>
                <w:b/>
                <w:bCs/>
                <w:color w:val="auto"/>
                <w:highlight w:val="none"/>
              </w:rPr>
              <w:fldChar w:fldCharType="separate"/>
            </w:r>
            <w:r>
              <w:rPr>
                <w:rFonts w:hint="eastAsia"/>
                <w:b/>
                <w:bCs/>
                <w:color w:val="auto"/>
                <w:highlight w:val="none"/>
              </w:rPr>
              <w:t>③</w:t>
            </w:r>
            <w:r>
              <w:rPr>
                <w:b/>
                <w:bCs/>
                <w:color w:val="auto"/>
                <w:highlight w:val="none"/>
              </w:rPr>
              <w:fldChar w:fldCharType="end"/>
            </w:r>
          </w:p>
        </w:tc>
        <w:tc>
          <w:tcPr>
            <w:tcW w:w="556" w:type="pct"/>
            <w:tcMar>
              <w:top w:w="0" w:type="dxa"/>
              <w:left w:w="57" w:type="dxa"/>
              <w:bottom w:w="0" w:type="dxa"/>
              <w:right w:w="57" w:type="dxa"/>
            </w:tcMar>
            <w:vAlign w:val="center"/>
          </w:tcPr>
          <w:p w14:paraId="7EDDE5B6">
            <w:pPr>
              <w:pStyle w:val="20"/>
              <w:spacing w:before="31"/>
              <w:rPr>
                <w:b/>
                <w:bCs/>
                <w:color w:val="auto"/>
                <w:highlight w:val="none"/>
              </w:rPr>
            </w:pPr>
            <w:r>
              <w:rPr>
                <w:b/>
                <w:bCs/>
                <w:color w:val="auto"/>
                <w:highlight w:val="none"/>
              </w:rPr>
              <w:t>本项目排放量（固</w:t>
            </w:r>
            <w:r>
              <w:rPr>
                <w:rFonts w:hint="eastAsia"/>
                <w:b/>
                <w:bCs/>
                <w:color w:val="auto"/>
                <w:highlight w:val="none"/>
              </w:rPr>
              <w:t>体</w:t>
            </w:r>
            <w:r>
              <w:rPr>
                <w:b/>
                <w:bCs/>
                <w:color w:val="auto"/>
                <w:highlight w:val="none"/>
              </w:rPr>
              <w:t>废</w:t>
            </w:r>
            <w:r>
              <w:rPr>
                <w:rFonts w:hint="eastAsia"/>
                <w:b/>
                <w:bCs/>
                <w:color w:val="auto"/>
                <w:highlight w:val="none"/>
              </w:rPr>
              <w:t>物</w:t>
            </w:r>
            <w:r>
              <w:rPr>
                <w:b/>
                <w:bCs/>
                <w:color w:val="auto"/>
                <w:highlight w:val="none"/>
              </w:rPr>
              <w:t>产生量）</w:t>
            </w:r>
            <w:r>
              <w:rPr>
                <w:b/>
                <w:bCs/>
                <w:color w:val="auto"/>
                <w:highlight w:val="none"/>
              </w:rPr>
              <w:fldChar w:fldCharType="begin"/>
            </w:r>
            <w:r>
              <w:rPr>
                <w:b/>
                <w:bCs/>
                <w:color w:val="auto"/>
                <w:highlight w:val="none"/>
              </w:rPr>
              <w:instrText xml:space="preserve"> = 4 \* GB3 \* MERGEFORMAT </w:instrText>
            </w:r>
            <w:r>
              <w:rPr>
                <w:b/>
                <w:bCs/>
                <w:color w:val="auto"/>
                <w:highlight w:val="none"/>
              </w:rPr>
              <w:fldChar w:fldCharType="separate"/>
            </w:r>
            <w:r>
              <w:rPr>
                <w:rFonts w:hint="eastAsia"/>
                <w:b/>
                <w:bCs/>
                <w:color w:val="auto"/>
                <w:highlight w:val="none"/>
              </w:rPr>
              <w:t>④</w:t>
            </w:r>
            <w:r>
              <w:rPr>
                <w:b/>
                <w:bCs/>
                <w:color w:val="auto"/>
                <w:highlight w:val="none"/>
              </w:rPr>
              <w:fldChar w:fldCharType="end"/>
            </w:r>
          </w:p>
        </w:tc>
        <w:tc>
          <w:tcPr>
            <w:tcW w:w="490" w:type="pct"/>
            <w:tcMar>
              <w:top w:w="0" w:type="dxa"/>
              <w:left w:w="57" w:type="dxa"/>
              <w:bottom w:w="0" w:type="dxa"/>
              <w:right w:w="57" w:type="dxa"/>
            </w:tcMar>
            <w:vAlign w:val="center"/>
          </w:tcPr>
          <w:p w14:paraId="14E90D7E">
            <w:pPr>
              <w:pStyle w:val="20"/>
              <w:spacing w:before="31"/>
              <w:rPr>
                <w:b/>
                <w:bCs/>
                <w:color w:val="auto"/>
                <w:highlight w:val="none"/>
              </w:rPr>
            </w:pPr>
            <w:r>
              <w:rPr>
                <w:b/>
                <w:bCs/>
                <w:color w:val="auto"/>
                <w:highlight w:val="none"/>
              </w:rPr>
              <w:t>以新带老削减量（新建项目不填）</w:t>
            </w:r>
            <w:r>
              <w:rPr>
                <w:b/>
                <w:bCs/>
                <w:color w:val="auto"/>
                <w:highlight w:val="none"/>
              </w:rPr>
              <w:fldChar w:fldCharType="begin"/>
            </w:r>
            <w:r>
              <w:rPr>
                <w:b/>
                <w:bCs/>
                <w:color w:val="auto"/>
                <w:highlight w:val="none"/>
              </w:rPr>
              <w:instrText xml:space="preserve"> = 5 \* GB3 \* MERGEFORMAT </w:instrText>
            </w:r>
            <w:r>
              <w:rPr>
                <w:b/>
                <w:bCs/>
                <w:color w:val="auto"/>
                <w:highlight w:val="none"/>
              </w:rPr>
              <w:fldChar w:fldCharType="separate"/>
            </w:r>
            <w:r>
              <w:rPr>
                <w:rFonts w:hint="eastAsia"/>
                <w:b/>
                <w:bCs/>
                <w:color w:val="auto"/>
                <w:highlight w:val="none"/>
              </w:rPr>
              <w:t>⑤</w:t>
            </w:r>
            <w:r>
              <w:rPr>
                <w:b/>
                <w:bCs/>
                <w:color w:val="auto"/>
                <w:highlight w:val="none"/>
              </w:rPr>
              <w:fldChar w:fldCharType="end"/>
            </w:r>
          </w:p>
        </w:tc>
        <w:tc>
          <w:tcPr>
            <w:tcW w:w="594" w:type="pct"/>
            <w:tcMar>
              <w:top w:w="0" w:type="dxa"/>
              <w:left w:w="57" w:type="dxa"/>
              <w:bottom w:w="0" w:type="dxa"/>
              <w:right w:w="57" w:type="dxa"/>
            </w:tcMar>
            <w:vAlign w:val="center"/>
          </w:tcPr>
          <w:p w14:paraId="60F24194">
            <w:pPr>
              <w:pStyle w:val="20"/>
              <w:spacing w:before="31"/>
              <w:rPr>
                <w:b/>
                <w:bCs/>
                <w:color w:val="auto"/>
                <w:highlight w:val="none"/>
              </w:rPr>
            </w:pPr>
            <w:r>
              <w:rPr>
                <w:b/>
                <w:bCs/>
                <w:color w:val="auto"/>
                <w:highlight w:val="none"/>
              </w:rPr>
              <w:t>本项目建成后</w:t>
            </w:r>
            <w:r>
              <w:rPr>
                <w:rFonts w:hint="eastAsia"/>
                <w:b/>
                <w:bCs/>
                <w:color w:val="auto"/>
                <w:highlight w:val="none"/>
              </w:rPr>
              <w:t>全厂</w:t>
            </w:r>
            <w:r>
              <w:rPr>
                <w:b/>
                <w:bCs/>
                <w:color w:val="auto"/>
                <w:highlight w:val="none"/>
              </w:rPr>
              <w:t>排放量（固</w:t>
            </w:r>
            <w:r>
              <w:rPr>
                <w:rFonts w:hint="eastAsia"/>
                <w:b/>
                <w:bCs/>
                <w:color w:val="auto"/>
                <w:highlight w:val="none"/>
              </w:rPr>
              <w:t>体</w:t>
            </w:r>
            <w:r>
              <w:rPr>
                <w:b/>
                <w:bCs/>
                <w:color w:val="auto"/>
                <w:highlight w:val="none"/>
              </w:rPr>
              <w:t>废</w:t>
            </w:r>
            <w:r>
              <w:rPr>
                <w:rFonts w:hint="eastAsia"/>
                <w:b/>
                <w:bCs/>
                <w:color w:val="auto"/>
                <w:highlight w:val="none"/>
              </w:rPr>
              <w:t>物</w:t>
            </w:r>
            <w:r>
              <w:rPr>
                <w:b/>
                <w:bCs/>
                <w:color w:val="auto"/>
                <w:highlight w:val="none"/>
              </w:rPr>
              <w:t>产生量）</w:t>
            </w:r>
            <w:r>
              <w:rPr>
                <w:b/>
                <w:bCs/>
                <w:color w:val="auto"/>
                <w:highlight w:val="none"/>
              </w:rPr>
              <w:fldChar w:fldCharType="begin"/>
            </w:r>
            <w:r>
              <w:rPr>
                <w:b/>
                <w:bCs/>
                <w:color w:val="auto"/>
                <w:highlight w:val="none"/>
              </w:rPr>
              <w:instrText xml:space="preserve"> = 6 \* GB3 \* MERGEFORMAT </w:instrText>
            </w:r>
            <w:r>
              <w:rPr>
                <w:b/>
                <w:bCs/>
                <w:color w:val="auto"/>
                <w:highlight w:val="none"/>
              </w:rPr>
              <w:fldChar w:fldCharType="separate"/>
            </w:r>
            <w:r>
              <w:rPr>
                <w:rFonts w:hint="eastAsia"/>
                <w:b/>
                <w:bCs/>
                <w:color w:val="auto"/>
                <w:highlight w:val="none"/>
              </w:rPr>
              <w:t>⑥</w:t>
            </w:r>
            <w:r>
              <w:rPr>
                <w:b/>
                <w:bCs/>
                <w:color w:val="auto"/>
                <w:highlight w:val="none"/>
              </w:rPr>
              <w:fldChar w:fldCharType="end"/>
            </w:r>
          </w:p>
        </w:tc>
        <w:tc>
          <w:tcPr>
            <w:tcW w:w="447" w:type="pct"/>
            <w:tcMar>
              <w:top w:w="0" w:type="dxa"/>
              <w:left w:w="57" w:type="dxa"/>
              <w:bottom w:w="0" w:type="dxa"/>
              <w:right w:w="57" w:type="dxa"/>
            </w:tcMar>
            <w:vAlign w:val="center"/>
          </w:tcPr>
          <w:p w14:paraId="3ADB6F9E">
            <w:pPr>
              <w:pStyle w:val="20"/>
              <w:spacing w:before="31"/>
              <w:rPr>
                <w:b/>
                <w:bCs/>
                <w:color w:val="auto"/>
                <w:highlight w:val="none"/>
              </w:rPr>
            </w:pPr>
            <w:r>
              <w:rPr>
                <w:b/>
                <w:bCs/>
                <w:color w:val="auto"/>
                <w:highlight w:val="none"/>
              </w:rPr>
              <w:t>变化量</w:t>
            </w:r>
          </w:p>
          <w:p w14:paraId="403A87BE">
            <w:pPr>
              <w:pStyle w:val="20"/>
              <w:spacing w:before="31"/>
              <w:rPr>
                <w:b/>
                <w:bCs/>
                <w:color w:val="auto"/>
                <w:highlight w:val="none"/>
              </w:rPr>
            </w:pPr>
            <w:r>
              <w:rPr>
                <w:b/>
                <w:bCs/>
                <w:color w:val="auto"/>
                <w:highlight w:val="none"/>
              </w:rPr>
              <w:fldChar w:fldCharType="begin"/>
            </w:r>
            <w:r>
              <w:rPr>
                <w:b/>
                <w:bCs/>
                <w:color w:val="auto"/>
                <w:highlight w:val="none"/>
              </w:rPr>
              <w:instrText xml:space="preserve"> = 7 \* GB3 \* MERGEFORMAT </w:instrText>
            </w:r>
            <w:r>
              <w:rPr>
                <w:b/>
                <w:bCs/>
                <w:color w:val="auto"/>
                <w:highlight w:val="none"/>
              </w:rPr>
              <w:fldChar w:fldCharType="separate"/>
            </w:r>
            <w:r>
              <w:rPr>
                <w:rFonts w:hint="eastAsia"/>
                <w:b/>
                <w:bCs/>
                <w:color w:val="auto"/>
                <w:highlight w:val="none"/>
              </w:rPr>
              <w:t>⑦</w:t>
            </w:r>
            <w:r>
              <w:rPr>
                <w:b/>
                <w:bCs/>
                <w:color w:val="auto"/>
                <w:highlight w:val="none"/>
              </w:rPr>
              <w:fldChar w:fldCharType="end"/>
            </w:r>
          </w:p>
        </w:tc>
      </w:tr>
      <w:tr w14:paraId="17CA6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0" w:hRule="atLeast"/>
        </w:trPr>
        <w:tc>
          <w:tcPr>
            <w:tcW w:w="544" w:type="pct"/>
            <w:vMerge w:val="restart"/>
            <w:tcMar>
              <w:top w:w="0" w:type="dxa"/>
              <w:left w:w="57" w:type="dxa"/>
              <w:bottom w:w="0" w:type="dxa"/>
              <w:right w:w="57" w:type="dxa"/>
            </w:tcMar>
            <w:vAlign w:val="center"/>
          </w:tcPr>
          <w:p w14:paraId="1A073F3A">
            <w:pPr>
              <w:pStyle w:val="20"/>
              <w:bidi w:val="0"/>
              <w:rPr>
                <w:rFonts w:hint="eastAsia"/>
                <w:color w:val="auto"/>
                <w:highlight w:val="none"/>
                <w:lang w:val="en-US" w:eastAsia="zh-CN"/>
              </w:rPr>
            </w:pPr>
            <w:r>
              <w:rPr>
                <w:rFonts w:hint="eastAsia"/>
                <w:color w:val="auto"/>
                <w:highlight w:val="none"/>
                <w:lang w:val="en-US" w:eastAsia="zh-CN"/>
              </w:rPr>
              <w:t>废气</w:t>
            </w:r>
          </w:p>
        </w:tc>
        <w:tc>
          <w:tcPr>
            <w:tcW w:w="839" w:type="pct"/>
            <w:shd w:val="clear" w:color="auto" w:fill="auto"/>
            <w:tcMar>
              <w:top w:w="0" w:type="dxa"/>
              <w:left w:w="57" w:type="dxa"/>
              <w:bottom w:w="0" w:type="dxa"/>
              <w:right w:w="57" w:type="dxa"/>
            </w:tcMar>
            <w:vAlign w:val="center"/>
          </w:tcPr>
          <w:p w14:paraId="70DC148C">
            <w:pPr>
              <w:pStyle w:val="20"/>
              <w:bidi w:val="0"/>
              <w:rPr>
                <w:rFonts w:hint="eastAsia"/>
                <w:color w:val="auto"/>
                <w:highlight w:val="none"/>
                <w:lang w:val="en-US" w:eastAsia="zh-CN"/>
              </w:rPr>
            </w:pPr>
            <w:r>
              <w:rPr>
                <w:rFonts w:hint="eastAsia"/>
                <w:color w:val="auto"/>
                <w:highlight w:val="none"/>
                <w:lang w:val="en-US" w:eastAsia="zh-CN"/>
              </w:rPr>
              <w:t>非甲烷总烃</w:t>
            </w:r>
          </w:p>
        </w:tc>
        <w:tc>
          <w:tcPr>
            <w:tcW w:w="566" w:type="pct"/>
            <w:shd w:val="clear" w:color="auto" w:fill="auto"/>
            <w:tcMar>
              <w:top w:w="0" w:type="dxa"/>
              <w:left w:w="57" w:type="dxa"/>
              <w:bottom w:w="0" w:type="dxa"/>
              <w:right w:w="57" w:type="dxa"/>
            </w:tcMar>
            <w:vAlign w:val="center"/>
          </w:tcPr>
          <w:p w14:paraId="47C6D9DF">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w:t>
            </w:r>
          </w:p>
        </w:tc>
        <w:tc>
          <w:tcPr>
            <w:tcW w:w="462" w:type="pct"/>
            <w:tcMar>
              <w:top w:w="0" w:type="dxa"/>
              <w:left w:w="57" w:type="dxa"/>
              <w:bottom w:w="0" w:type="dxa"/>
              <w:right w:w="57" w:type="dxa"/>
            </w:tcMar>
            <w:vAlign w:val="center"/>
          </w:tcPr>
          <w:p w14:paraId="59783E4A">
            <w:pPr>
              <w:pStyle w:val="20"/>
              <w:bidi w:val="0"/>
              <w:rPr>
                <w:rFonts w:hint="default"/>
                <w:color w:val="auto"/>
                <w:highlight w:val="none"/>
                <w:lang w:val="en-US" w:eastAsia="zh-CN"/>
              </w:rPr>
            </w:pPr>
            <w:r>
              <w:rPr>
                <w:rFonts w:hint="eastAsia"/>
                <w:color w:val="auto"/>
                <w:highlight w:val="none"/>
                <w:lang w:val="en-US" w:eastAsia="zh-CN"/>
              </w:rPr>
              <w:t>/</w:t>
            </w:r>
          </w:p>
        </w:tc>
        <w:tc>
          <w:tcPr>
            <w:tcW w:w="499" w:type="pct"/>
            <w:tcMar>
              <w:top w:w="0" w:type="dxa"/>
              <w:left w:w="57" w:type="dxa"/>
              <w:bottom w:w="0" w:type="dxa"/>
              <w:right w:w="57" w:type="dxa"/>
            </w:tcMar>
            <w:vAlign w:val="center"/>
          </w:tcPr>
          <w:p w14:paraId="7211CFEB">
            <w:pPr>
              <w:pStyle w:val="20"/>
              <w:bidi w:val="0"/>
              <w:rPr>
                <w:rFonts w:hint="eastAsia"/>
                <w:color w:val="auto"/>
                <w:highlight w:val="none"/>
                <w:lang w:val="en-US" w:eastAsia="zh-CN"/>
              </w:rPr>
            </w:pPr>
            <w:r>
              <w:rPr>
                <w:rFonts w:hint="eastAsia"/>
                <w:color w:val="auto"/>
                <w:highlight w:val="none"/>
                <w:lang w:val="en-US" w:eastAsia="zh-CN"/>
              </w:rPr>
              <w:t>/</w:t>
            </w:r>
          </w:p>
        </w:tc>
        <w:tc>
          <w:tcPr>
            <w:tcW w:w="556" w:type="pct"/>
            <w:shd w:val="clear" w:color="auto" w:fill="auto"/>
            <w:tcMar>
              <w:top w:w="0" w:type="dxa"/>
              <w:left w:w="57" w:type="dxa"/>
              <w:bottom w:w="0" w:type="dxa"/>
              <w:right w:w="57" w:type="dxa"/>
            </w:tcMar>
            <w:vAlign w:val="center"/>
          </w:tcPr>
          <w:p w14:paraId="1A4A6463">
            <w:pPr>
              <w:pStyle w:val="20"/>
              <w:bidi w:val="0"/>
              <w:rPr>
                <w:rFonts w:hint="default"/>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0.5863</w:t>
            </w:r>
          </w:p>
        </w:tc>
        <w:tc>
          <w:tcPr>
            <w:tcW w:w="490" w:type="pct"/>
            <w:shd w:val="clear" w:color="auto" w:fill="auto"/>
            <w:tcMar>
              <w:top w:w="0" w:type="dxa"/>
              <w:left w:w="57" w:type="dxa"/>
              <w:bottom w:w="0" w:type="dxa"/>
              <w:right w:w="57" w:type="dxa"/>
            </w:tcMar>
            <w:vAlign w:val="center"/>
          </w:tcPr>
          <w:p w14:paraId="50B186B8">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0.0887</w:t>
            </w:r>
          </w:p>
        </w:tc>
        <w:tc>
          <w:tcPr>
            <w:tcW w:w="594" w:type="pct"/>
            <w:shd w:val="clear" w:color="auto" w:fill="auto"/>
            <w:tcMar>
              <w:top w:w="0" w:type="dxa"/>
              <w:left w:w="57" w:type="dxa"/>
              <w:bottom w:w="0" w:type="dxa"/>
              <w:right w:w="57" w:type="dxa"/>
            </w:tcMar>
            <w:vAlign w:val="center"/>
          </w:tcPr>
          <w:p w14:paraId="707CAFCE">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0.6454</w:t>
            </w:r>
          </w:p>
        </w:tc>
        <w:tc>
          <w:tcPr>
            <w:tcW w:w="447" w:type="pct"/>
            <w:shd w:val="clear" w:color="auto" w:fill="auto"/>
            <w:tcMar>
              <w:top w:w="0" w:type="dxa"/>
              <w:left w:w="57" w:type="dxa"/>
              <w:bottom w:w="0" w:type="dxa"/>
              <w:right w:w="57" w:type="dxa"/>
            </w:tcMar>
            <w:vAlign w:val="center"/>
          </w:tcPr>
          <w:p w14:paraId="5EB8F6D8">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+0.6454</w:t>
            </w:r>
          </w:p>
        </w:tc>
      </w:tr>
      <w:tr w14:paraId="03D0D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33DB894F">
            <w:pPr>
              <w:pStyle w:val="20"/>
              <w:spacing w:before="31"/>
              <w:rPr>
                <w:color w:val="auto"/>
                <w:highlight w:val="none"/>
              </w:rPr>
            </w:pPr>
          </w:p>
        </w:tc>
        <w:tc>
          <w:tcPr>
            <w:tcW w:w="839" w:type="pct"/>
            <w:shd w:val="clear" w:color="auto" w:fill="auto"/>
            <w:tcMar>
              <w:top w:w="0" w:type="dxa"/>
              <w:left w:w="57" w:type="dxa"/>
              <w:bottom w:w="0" w:type="dxa"/>
              <w:right w:w="57" w:type="dxa"/>
            </w:tcMar>
            <w:vAlign w:val="center"/>
          </w:tcPr>
          <w:p w14:paraId="07FFCF6F">
            <w:pPr>
              <w:pStyle w:val="20"/>
              <w:bidi w:val="0"/>
              <w:rPr>
                <w:rFonts w:hint="eastAsia"/>
                <w:color w:val="auto"/>
                <w:highlight w:val="none"/>
                <w:lang w:val="en-US" w:eastAsia="zh-CN"/>
              </w:rPr>
            </w:pPr>
            <w:r>
              <w:rPr>
                <w:rFonts w:hint="eastAsia"/>
                <w:color w:val="auto"/>
                <w:highlight w:val="none"/>
                <w:lang w:val="en-US" w:eastAsia="zh-CN"/>
              </w:rPr>
              <w:t>丙烯腈</w:t>
            </w:r>
          </w:p>
        </w:tc>
        <w:tc>
          <w:tcPr>
            <w:tcW w:w="566" w:type="pct"/>
            <w:shd w:val="clear" w:color="auto" w:fill="auto"/>
            <w:tcMar>
              <w:top w:w="0" w:type="dxa"/>
              <w:left w:w="57" w:type="dxa"/>
              <w:bottom w:w="0" w:type="dxa"/>
              <w:right w:w="57" w:type="dxa"/>
            </w:tcMar>
            <w:vAlign w:val="center"/>
          </w:tcPr>
          <w:p w14:paraId="0AC59D31">
            <w:pPr>
              <w:pStyle w:val="20"/>
              <w:bidi w:val="0"/>
              <w:rPr>
                <w:rFonts w:hint="eastAsia"/>
                <w:color w:val="auto"/>
                <w:highlight w:val="none"/>
                <w:lang w:val="en-US" w:eastAsia="zh-CN"/>
              </w:rPr>
            </w:pPr>
            <w:r>
              <w:rPr>
                <w:rFonts w:hint="eastAsia"/>
                <w:color w:val="auto"/>
                <w:highlight w:val="none"/>
                <w:lang w:val="en-US" w:eastAsia="zh-CN"/>
              </w:rPr>
              <w:t>0</w:t>
            </w:r>
          </w:p>
        </w:tc>
        <w:tc>
          <w:tcPr>
            <w:tcW w:w="462" w:type="pct"/>
            <w:tcMar>
              <w:top w:w="0" w:type="dxa"/>
              <w:left w:w="57" w:type="dxa"/>
              <w:bottom w:w="0" w:type="dxa"/>
              <w:right w:w="57" w:type="dxa"/>
            </w:tcMar>
            <w:vAlign w:val="center"/>
          </w:tcPr>
          <w:p w14:paraId="137C23BC">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0F1F1BF6">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1DB02410">
            <w:pPr>
              <w:keepNext w:val="0"/>
              <w:keepLines w:val="0"/>
              <w:widowControl/>
              <w:suppressLineNumbers w:val="0"/>
              <w:jc w:val="center"/>
              <w:textAlignment w:val="center"/>
              <w:rPr>
                <w:rFonts w:hint="default" w:ascii="Times New Roman" w:hAnsi="Times New Roman" w:eastAsia="宋体" w:cs="宋体"/>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0.006</w:t>
            </w:r>
          </w:p>
        </w:tc>
        <w:tc>
          <w:tcPr>
            <w:tcW w:w="490" w:type="pct"/>
            <w:shd w:val="clear" w:color="auto" w:fill="auto"/>
            <w:tcMar>
              <w:top w:w="0" w:type="dxa"/>
              <w:left w:w="57" w:type="dxa"/>
              <w:bottom w:w="0" w:type="dxa"/>
              <w:right w:w="57" w:type="dxa"/>
            </w:tcMar>
            <w:vAlign w:val="center"/>
          </w:tcPr>
          <w:p w14:paraId="380817E7">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0.0010</w:t>
            </w:r>
          </w:p>
        </w:tc>
        <w:tc>
          <w:tcPr>
            <w:tcW w:w="594" w:type="pct"/>
            <w:shd w:val="clear" w:color="auto" w:fill="auto"/>
            <w:tcMar>
              <w:top w:w="0" w:type="dxa"/>
              <w:left w:w="57" w:type="dxa"/>
              <w:bottom w:w="0" w:type="dxa"/>
              <w:right w:w="57" w:type="dxa"/>
            </w:tcMar>
            <w:vAlign w:val="center"/>
          </w:tcPr>
          <w:p w14:paraId="38EE4295">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0.0067</w:t>
            </w:r>
          </w:p>
        </w:tc>
        <w:tc>
          <w:tcPr>
            <w:tcW w:w="447" w:type="pct"/>
            <w:shd w:val="clear" w:color="auto" w:fill="auto"/>
            <w:tcMar>
              <w:top w:w="0" w:type="dxa"/>
              <w:left w:w="57" w:type="dxa"/>
              <w:bottom w:w="0" w:type="dxa"/>
              <w:right w:w="57" w:type="dxa"/>
            </w:tcMar>
            <w:vAlign w:val="center"/>
          </w:tcPr>
          <w:p w14:paraId="3A69692F">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+0.0067</w:t>
            </w:r>
          </w:p>
        </w:tc>
      </w:tr>
      <w:tr w14:paraId="5A1DB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480045E6">
            <w:pPr>
              <w:pStyle w:val="20"/>
              <w:spacing w:before="31"/>
              <w:rPr>
                <w:color w:val="auto"/>
                <w:highlight w:val="none"/>
              </w:rPr>
            </w:pPr>
          </w:p>
        </w:tc>
        <w:tc>
          <w:tcPr>
            <w:tcW w:w="839" w:type="pct"/>
            <w:shd w:val="clear" w:color="auto" w:fill="auto"/>
            <w:tcMar>
              <w:top w:w="0" w:type="dxa"/>
              <w:left w:w="57" w:type="dxa"/>
              <w:bottom w:w="0" w:type="dxa"/>
              <w:right w:w="57" w:type="dxa"/>
            </w:tcMar>
            <w:vAlign w:val="center"/>
          </w:tcPr>
          <w:p w14:paraId="68C2BCA3">
            <w:pPr>
              <w:pStyle w:val="20"/>
              <w:bidi w:val="0"/>
              <w:rPr>
                <w:rFonts w:hint="eastAsia"/>
                <w:color w:val="auto"/>
                <w:highlight w:val="none"/>
                <w:lang w:val="en-US" w:eastAsia="zh-CN"/>
              </w:rPr>
            </w:pPr>
            <w:r>
              <w:rPr>
                <w:rFonts w:hint="eastAsia"/>
                <w:color w:val="auto"/>
                <w:highlight w:val="none"/>
                <w:lang w:val="en-US" w:eastAsia="zh-CN"/>
              </w:rPr>
              <w:t>1,3-丁二烯</w:t>
            </w:r>
          </w:p>
        </w:tc>
        <w:tc>
          <w:tcPr>
            <w:tcW w:w="566" w:type="pct"/>
            <w:shd w:val="clear" w:color="auto" w:fill="auto"/>
            <w:tcMar>
              <w:top w:w="0" w:type="dxa"/>
              <w:left w:w="57" w:type="dxa"/>
              <w:bottom w:w="0" w:type="dxa"/>
              <w:right w:w="57" w:type="dxa"/>
            </w:tcMar>
            <w:vAlign w:val="center"/>
          </w:tcPr>
          <w:p w14:paraId="03C70A2E">
            <w:pPr>
              <w:pStyle w:val="20"/>
              <w:bidi w:val="0"/>
              <w:rPr>
                <w:rFonts w:hint="eastAsia"/>
                <w:color w:val="auto"/>
                <w:highlight w:val="none"/>
                <w:lang w:val="en-US" w:eastAsia="zh-CN"/>
              </w:rPr>
            </w:pPr>
            <w:r>
              <w:rPr>
                <w:rFonts w:hint="eastAsia"/>
                <w:color w:val="auto"/>
                <w:highlight w:val="none"/>
                <w:lang w:val="en-US" w:eastAsia="zh-CN"/>
              </w:rPr>
              <w:t>0</w:t>
            </w:r>
          </w:p>
        </w:tc>
        <w:tc>
          <w:tcPr>
            <w:tcW w:w="462" w:type="pct"/>
            <w:tcMar>
              <w:top w:w="0" w:type="dxa"/>
              <w:left w:w="57" w:type="dxa"/>
              <w:bottom w:w="0" w:type="dxa"/>
              <w:right w:w="57" w:type="dxa"/>
            </w:tcMar>
            <w:vAlign w:val="center"/>
          </w:tcPr>
          <w:p w14:paraId="1E14C12A">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425A85CB">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4CFDAD14">
            <w:pPr>
              <w:keepNext w:val="0"/>
              <w:keepLines w:val="0"/>
              <w:widowControl/>
              <w:suppressLineNumbers w:val="0"/>
              <w:jc w:val="center"/>
              <w:textAlignment w:val="center"/>
              <w:rPr>
                <w:rFonts w:hint="default" w:ascii="Times New Roman" w:hAnsi="Times New Roman" w:eastAsia="宋体" w:cs="宋体"/>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0.0003</w:t>
            </w:r>
          </w:p>
        </w:tc>
        <w:tc>
          <w:tcPr>
            <w:tcW w:w="490" w:type="pct"/>
            <w:shd w:val="clear" w:color="auto" w:fill="auto"/>
            <w:tcMar>
              <w:top w:w="0" w:type="dxa"/>
              <w:left w:w="57" w:type="dxa"/>
              <w:bottom w:w="0" w:type="dxa"/>
              <w:right w:w="57" w:type="dxa"/>
            </w:tcMar>
            <w:vAlign w:val="center"/>
          </w:tcPr>
          <w:p w14:paraId="7AFCEFE1">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0.0000</w:t>
            </w:r>
          </w:p>
        </w:tc>
        <w:tc>
          <w:tcPr>
            <w:tcW w:w="594" w:type="pct"/>
            <w:shd w:val="clear" w:color="auto" w:fill="auto"/>
            <w:tcMar>
              <w:top w:w="0" w:type="dxa"/>
              <w:left w:w="57" w:type="dxa"/>
              <w:bottom w:w="0" w:type="dxa"/>
              <w:right w:w="57" w:type="dxa"/>
            </w:tcMar>
            <w:vAlign w:val="center"/>
          </w:tcPr>
          <w:p w14:paraId="781F7C4C">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0.0003</w:t>
            </w:r>
          </w:p>
        </w:tc>
        <w:tc>
          <w:tcPr>
            <w:tcW w:w="447" w:type="pct"/>
            <w:shd w:val="clear" w:color="auto" w:fill="auto"/>
            <w:tcMar>
              <w:top w:w="0" w:type="dxa"/>
              <w:left w:w="57" w:type="dxa"/>
              <w:bottom w:w="0" w:type="dxa"/>
              <w:right w:w="57" w:type="dxa"/>
            </w:tcMar>
            <w:vAlign w:val="center"/>
          </w:tcPr>
          <w:p w14:paraId="1ABABD79">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+0.0003</w:t>
            </w:r>
          </w:p>
        </w:tc>
      </w:tr>
      <w:tr w14:paraId="67913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73872658">
            <w:pPr>
              <w:pStyle w:val="20"/>
              <w:spacing w:before="31"/>
              <w:rPr>
                <w:color w:val="auto"/>
                <w:highlight w:val="none"/>
              </w:rPr>
            </w:pPr>
          </w:p>
        </w:tc>
        <w:tc>
          <w:tcPr>
            <w:tcW w:w="839" w:type="pct"/>
            <w:shd w:val="clear" w:color="auto" w:fill="auto"/>
            <w:tcMar>
              <w:top w:w="0" w:type="dxa"/>
              <w:left w:w="57" w:type="dxa"/>
              <w:bottom w:w="0" w:type="dxa"/>
              <w:right w:w="57" w:type="dxa"/>
            </w:tcMar>
            <w:vAlign w:val="center"/>
          </w:tcPr>
          <w:p w14:paraId="22F0A038">
            <w:pPr>
              <w:pStyle w:val="20"/>
              <w:bidi w:val="0"/>
              <w:rPr>
                <w:rFonts w:hint="eastAsia"/>
                <w:color w:val="auto"/>
                <w:highlight w:val="none"/>
                <w:lang w:val="en-US" w:eastAsia="zh-CN"/>
              </w:rPr>
            </w:pPr>
            <w:r>
              <w:rPr>
                <w:rFonts w:hint="eastAsia"/>
                <w:color w:val="auto"/>
                <w:highlight w:val="none"/>
                <w:lang w:val="en-US" w:eastAsia="zh-CN"/>
              </w:rPr>
              <w:t>苯乙烯</w:t>
            </w:r>
          </w:p>
        </w:tc>
        <w:tc>
          <w:tcPr>
            <w:tcW w:w="566" w:type="pct"/>
            <w:shd w:val="clear" w:color="auto" w:fill="auto"/>
            <w:tcMar>
              <w:top w:w="0" w:type="dxa"/>
              <w:left w:w="57" w:type="dxa"/>
              <w:bottom w:w="0" w:type="dxa"/>
              <w:right w:w="57" w:type="dxa"/>
            </w:tcMar>
            <w:vAlign w:val="center"/>
          </w:tcPr>
          <w:p w14:paraId="0E7C3CB7">
            <w:pPr>
              <w:pStyle w:val="20"/>
              <w:bidi w:val="0"/>
              <w:rPr>
                <w:rFonts w:hint="eastAsia"/>
                <w:color w:val="auto"/>
                <w:highlight w:val="none"/>
                <w:lang w:val="en-US" w:eastAsia="zh-CN"/>
              </w:rPr>
            </w:pPr>
            <w:r>
              <w:rPr>
                <w:rFonts w:hint="eastAsia"/>
                <w:color w:val="auto"/>
                <w:highlight w:val="none"/>
                <w:lang w:val="en-US" w:eastAsia="zh-CN"/>
              </w:rPr>
              <w:t>0</w:t>
            </w:r>
          </w:p>
        </w:tc>
        <w:tc>
          <w:tcPr>
            <w:tcW w:w="462" w:type="pct"/>
            <w:tcMar>
              <w:top w:w="0" w:type="dxa"/>
              <w:left w:w="57" w:type="dxa"/>
              <w:bottom w:w="0" w:type="dxa"/>
              <w:right w:w="57" w:type="dxa"/>
            </w:tcMar>
            <w:vAlign w:val="center"/>
          </w:tcPr>
          <w:p w14:paraId="73E5687F">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50FE4ACF">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65BDBF42">
            <w:pPr>
              <w:keepNext w:val="0"/>
              <w:keepLines w:val="0"/>
              <w:widowControl/>
              <w:suppressLineNumbers w:val="0"/>
              <w:jc w:val="center"/>
              <w:textAlignment w:val="center"/>
              <w:rPr>
                <w:rFonts w:hint="default" w:ascii="Times New Roman" w:hAnsi="Times New Roman" w:eastAsia="宋体" w:cs="宋体"/>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0.1346</w:t>
            </w:r>
          </w:p>
        </w:tc>
        <w:tc>
          <w:tcPr>
            <w:tcW w:w="490" w:type="pct"/>
            <w:shd w:val="clear" w:color="auto" w:fill="auto"/>
            <w:tcMar>
              <w:top w:w="0" w:type="dxa"/>
              <w:left w:w="57" w:type="dxa"/>
              <w:bottom w:w="0" w:type="dxa"/>
              <w:right w:w="57" w:type="dxa"/>
            </w:tcMar>
            <w:vAlign w:val="center"/>
          </w:tcPr>
          <w:p w14:paraId="4478D6D7">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0.0222</w:t>
            </w:r>
          </w:p>
        </w:tc>
        <w:tc>
          <w:tcPr>
            <w:tcW w:w="594" w:type="pct"/>
            <w:shd w:val="clear" w:color="auto" w:fill="auto"/>
            <w:tcMar>
              <w:top w:w="0" w:type="dxa"/>
              <w:left w:w="57" w:type="dxa"/>
              <w:bottom w:w="0" w:type="dxa"/>
              <w:right w:w="57" w:type="dxa"/>
            </w:tcMar>
            <w:vAlign w:val="center"/>
          </w:tcPr>
          <w:p w14:paraId="2E2E41D1">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0.1494</w:t>
            </w:r>
          </w:p>
        </w:tc>
        <w:tc>
          <w:tcPr>
            <w:tcW w:w="447" w:type="pct"/>
            <w:shd w:val="clear" w:color="auto" w:fill="auto"/>
            <w:tcMar>
              <w:top w:w="0" w:type="dxa"/>
              <w:left w:w="57" w:type="dxa"/>
              <w:bottom w:w="0" w:type="dxa"/>
              <w:right w:w="57" w:type="dxa"/>
            </w:tcMar>
            <w:vAlign w:val="center"/>
          </w:tcPr>
          <w:p w14:paraId="52F93CD5">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+0.1494</w:t>
            </w:r>
          </w:p>
        </w:tc>
      </w:tr>
      <w:tr w14:paraId="48919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36CA0969">
            <w:pPr>
              <w:pStyle w:val="20"/>
              <w:spacing w:before="31"/>
              <w:rPr>
                <w:color w:val="auto"/>
                <w:highlight w:val="none"/>
              </w:rPr>
            </w:pPr>
          </w:p>
        </w:tc>
        <w:tc>
          <w:tcPr>
            <w:tcW w:w="839" w:type="pct"/>
            <w:shd w:val="clear" w:color="auto" w:fill="auto"/>
            <w:tcMar>
              <w:top w:w="0" w:type="dxa"/>
              <w:left w:w="57" w:type="dxa"/>
              <w:bottom w:w="0" w:type="dxa"/>
              <w:right w:w="57" w:type="dxa"/>
            </w:tcMar>
            <w:vAlign w:val="center"/>
          </w:tcPr>
          <w:p w14:paraId="2BA4F443">
            <w:pPr>
              <w:pStyle w:val="20"/>
              <w:bidi w:val="0"/>
              <w:rPr>
                <w:rFonts w:hint="eastAsia"/>
                <w:color w:val="auto"/>
                <w:highlight w:val="none"/>
                <w:lang w:val="en-US" w:eastAsia="zh-CN"/>
              </w:rPr>
            </w:pPr>
            <w:r>
              <w:rPr>
                <w:rFonts w:hint="eastAsia"/>
                <w:color w:val="auto"/>
                <w:highlight w:val="none"/>
                <w:lang w:val="en-US" w:eastAsia="zh-CN"/>
              </w:rPr>
              <w:t>甲苯</w:t>
            </w:r>
          </w:p>
        </w:tc>
        <w:tc>
          <w:tcPr>
            <w:tcW w:w="566" w:type="pct"/>
            <w:shd w:val="clear" w:color="auto" w:fill="auto"/>
            <w:tcMar>
              <w:top w:w="0" w:type="dxa"/>
              <w:left w:w="57" w:type="dxa"/>
              <w:bottom w:w="0" w:type="dxa"/>
              <w:right w:w="57" w:type="dxa"/>
            </w:tcMar>
            <w:vAlign w:val="center"/>
          </w:tcPr>
          <w:p w14:paraId="38D7B8E4">
            <w:pPr>
              <w:pStyle w:val="20"/>
              <w:bidi w:val="0"/>
              <w:rPr>
                <w:rFonts w:hint="eastAsia"/>
                <w:color w:val="auto"/>
                <w:highlight w:val="none"/>
                <w:lang w:val="en-US" w:eastAsia="zh-CN"/>
              </w:rPr>
            </w:pPr>
            <w:r>
              <w:rPr>
                <w:rFonts w:hint="eastAsia"/>
                <w:color w:val="auto"/>
                <w:highlight w:val="none"/>
                <w:lang w:val="en-US" w:eastAsia="zh-CN"/>
              </w:rPr>
              <w:t>0</w:t>
            </w:r>
          </w:p>
        </w:tc>
        <w:tc>
          <w:tcPr>
            <w:tcW w:w="462" w:type="pct"/>
            <w:tcMar>
              <w:top w:w="0" w:type="dxa"/>
              <w:left w:w="57" w:type="dxa"/>
              <w:bottom w:w="0" w:type="dxa"/>
              <w:right w:w="57" w:type="dxa"/>
            </w:tcMar>
            <w:vAlign w:val="center"/>
          </w:tcPr>
          <w:p w14:paraId="694561DB">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5A7BFEE7">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2D0A82D0">
            <w:pPr>
              <w:keepNext w:val="0"/>
              <w:keepLines w:val="0"/>
              <w:widowControl/>
              <w:suppressLineNumbers w:val="0"/>
              <w:jc w:val="center"/>
              <w:textAlignment w:val="center"/>
              <w:rPr>
                <w:rFonts w:hint="default" w:ascii="Times New Roman" w:hAnsi="Times New Roman" w:eastAsia="宋体" w:cs="宋体"/>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0.0038</w:t>
            </w:r>
          </w:p>
        </w:tc>
        <w:tc>
          <w:tcPr>
            <w:tcW w:w="490" w:type="pct"/>
            <w:shd w:val="clear" w:color="auto" w:fill="auto"/>
            <w:tcMar>
              <w:top w:w="0" w:type="dxa"/>
              <w:left w:w="57" w:type="dxa"/>
              <w:bottom w:w="0" w:type="dxa"/>
              <w:right w:w="57" w:type="dxa"/>
            </w:tcMar>
            <w:vAlign w:val="center"/>
          </w:tcPr>
          <w:p w14:paraId="2815C76E">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0.0006</w:t>
            </w:r>
          </w:p>
        </w:tc>
        <w:tc>
          <w:tcPr>
            <w:tcW w:w="594" w:type="pct"/>
            <w:shd w:val="clear" w:color="auto" w:fill="auto"/>
            <w:tcMar>
              <w:top w:w="0" w:type="dxa"/>
              <w:left w:w="57" w:type="dxa"/>
              <w:bottom w:w="0" w:type="dxa"/>
              <w:right w:w="57" w:type="dxa"/>
            </w:tcMar>
            <w:vAlign w:val="center"/>
          </w:tcPr>
          <w:p w14:paraId="0D0FDCEC">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0.0042</w:t>
            </w:r>
          </w:p>
        </w:tc>
        <w:tc>
          <w:tcPr>
            <w:tcW w:w="447" w:type="pct"/>
            <w:shd w:val="clear" w:color="auto" w:fill="auto"/>
            <w:tcMar>
              <w:top w:w="0" w:type="dxa"/>
              <w:left w:w="57" w:type="dxa"/>
              <w:bottom w:w="0" w:type="dxa"/>
              <w:right w:w="57" w:type="dxa"/>
            </w:tcMar>
            <w:vAlign w:val="center"/>
          </w:tcPr>
          <w:p w14:paraId="26A76C33">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+0.0042</w:t>
            </w:r>
          </w:p>
        </w:tc>
      </w:tr>
      <w:tr w14:paraId="0CC38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6CF0F1C6">
            <w:pPr>
              <w:pStyle w:val="20"/>
              <w:spacing w:before="31"/>
              <w:rPr>
                <w:color w:val="auto"/>
                <w:highlight w:val="none"/>
              </w:rPr>
            </w:pPr>
          </w:p>
        </w:tc>
        <w:tc>
          <w:tcPr>
            <w:tcW w:w="839" w:type="pct"/>
            <w:shd w:val="clear" w:color="auto" w:fill="auto"/>
            <w:tcMar>
              <w:top w:w="0" w:type="dxa"/>
              <w:left w:w="57" w:type="dxa"/>
              <w:bottom w:w="0" w:type="dxa"/>
              <w:right w:w="57" w:type="dxa"/>
            </w:tcMar>
            <w:vAlign w:val="center"/>
          </w:tcPr>
          <w:p w14:paraId="68C4CDF9">
            <w:pPr>
              <w:pStyle w:val="20"/>
              <w:bidi w:val="0"/>
              <w:rPr>
                <w:rFonts w:hint="eastAsia"/>
                <w:color w:val="auto"/>
                <w:highlight w:val="none"/>
                <w:lang w:val="en-US" w:eastAsia="zh-CN"/>
              </w:rPr>
            </w:pPr>
            <w:r>
              <w:rPr>
                <w:rFonts w:hint="eastAsia"/>
                <w:color w:val="auto"/>
                <w:highlight w:val="none"/>
                <w:lang w:val="en-US" w:eastAsia="zh-CN"/>
              </w:rPr>
              <w:t>乙苯</w:t>
            </w:r>
          </w:p>
        </w:tc>
        <w:tc>
          <w:tcPr>
            <w:tcW w:w="566" w:type="pct"/>
            <w:shd w:val="clear" w:color="auto" w:fill="auto"/>
            <w:tcMar>
              <w:top w:w="0" w:type="dxa"/>
              <w:left w:w="57" w:type="dxa"/>
              <w:bottom w:w="0" w:type="dxa"/>
              <w:right w:w="57" w:type="dxa"/>
            </w:tcMar>
            <w:vAlign w:val="center"/>
          </w:tcPr>
          <w:p w14:paraId="359A0F31">
            <w:pPr>
              <w:pStyle w:val="20"/>
              <w:bidi w:val="0"/>
              <w:rPr>
                <w:rFonts w:hint="eastAsia"/>
                <w:color w:val="auto"/>
                <w:highlight w:val="none"/>
                <w:lang w:val="en-US" w:eastAsia="zh-CN"/>
              </w:rPr>
            </w:pPr>
            <w:r>
              <w:rPr>
                <w:rFonts w:hint="eastAsia"/>
                <w:color w:val="auto"/>
                <w:highlight w:val="none"/>
                <w:lang w:val="en-US" w:eastAsia="zh-CN"/>
              </w:rPr>
              <w:t>0</w:t>
            </w:r>
          </w:p>
        </w:tc>
        <w:tc>
          <w:tcPr>
            <w:tcW w:w="462" w:type="pct"/>
            <w:tcMar>
              <w:top w:w="0" w:type="dxa"/>
              <w:left w:w="57" w:type="dxa"/>
              <w:bottom w:w="0" w:type="dxa"/>
              <w:right w:w="57" w:type="dxa"/>
            </w:tcMar>
            <w:vAlign w:val="center"/>
          </w:tcPr>
          <w:p w14:paraId="52423590">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41033DD3">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293B5EFE">
            <w:pPr>
              <w:keepNext w:val="0"/>
              <w:keepLines w:val="0"/>
              <w:widowControl/>
              <w:suppressLineNumbers w:val="0"/>
              <w:jc w:val="center"/>
              <w:textAlignment w:val="center"/>
              <w:rPr>
                <w:rFonts w:hint="default" w:ascii="Times New Roman" w:hAnsi="Times New Roman" w:eastAsia="宋体" w:cs="宋体"/>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0.0158</w:t>
            </w:r>
          </w:p>
        </w:tc>
        <w:tc>
          <w:tcPr>
            <w:tcW w:w="490" w:type="pct"/>
            <w:shd w:val="clear" w:color="auto" w:fill="auto"/>
            <w:tcMar>
              <w:top w:w="0" w:type="dxa"/>
              <w:left w:w="57" w:type="dxa"/>
              <w:bottom w:w="0" w:type="dxa"/>
              <w:right w:w="57" w:type="dxa"/>
            </w:tcMar>
            <w:vAlign w:val="center"/>
          </w:tcPr>
          <w:p w14:paraId="15FFB9B0">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0.0026</w:t>
            </w:r>
          </w:p>
        </w:tc>
        <w:tc>
          <w:tcPr>
            <w:tcW w:w="594" w:type="pct"/>
            <w:shd w:val="clear" w:color="auto" w:fill="auto"/>
            <w:tcMar>
              <w:top w:w="0" w:type="dxa"/>
              <w:left w:w="57" w:type="dxa"/>
              <w:bottom w:w="0" w:type="dxa"/>
              <w:right w:w="57" w:type="dxa"/>
            </w:tcMar>
            <w:vAlign w:val="center"/>
          </w:tcPr>
          <w:p w14:paraId="35759878">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0.0176</w:t>
            </w:r>
          </w:p>
        </w:tc>
        <w:tc>
          <w:tcPr>
            <w:tcW w:w="447" w:type="pct"/>
            <w:shd w:val="clear" w:color="auto" w:fill="auto"/>
            <w:tcMar>
              <w:top w:w="0" w:type="dxa"/>
              <w:left w:w="57" w:type="dxa"/>
              <w:bottom w:w="0" w:type="dxa"/>
              <w:right w:w="57" w:type="dxa"/>
            </w:tcMar>
            <w:vAlign w:val="center"/>
          </w:tcPr>
          <w:p w14:paraId="025FBCAE">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+0.0176</w:t>
            </w:r>
          </w:p>
        </w:tc>
      </w:tr>
      <w:tr w14:paraId="60660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442B4BC8">
            <w:pPr>
              <w:pStyle w:val="20"/>
              <w:spacing w:before="31"/>
              <w:rPr>
                <w:color w:val="auto"/>
                <w:highlight w:val="none"/>
              </w:rPr>
            </w:pPr>
          </w:p>
        </w:tc>
        <w:tc>
          <w:tcPr>
            <w:tcW w:w="839" w:type="pct"/>
            <w:shd w:val="clear" w:color="auto" w:fill="auto"/>
            <w:tcMar>
              <w:top w:w="0" w:type="dxa"/>
              <w:left w:w="57" w:type="dxa"/>
              <w:bottom w:w="0" w:type="dxa"/>
              <w:right w:w="57" w:type="dxa"/>
            </w:tcMar>
            <w:vAlign w:val="center"/>
          </w:tcPr>
          <w:p w14:paraId="110247E8">
            <w:pPr>
              <w:pStyle w:val="20"/>
              <w:bidi w:val="0"/>
              <w:rPr>
                <w:rFonts w:hint="eastAsia"/>
                <w:color w:val="auto"/>
                <w:highlight w:val="none"/>
                <w:lang w:val="en-US" w:eastAsia="zh-CN"/>
              </w:rPr>
            </w:pPr>
            <w:r>
              <w:rPr>
                <w:rFonts w:hint="eastAsia"/>
                <w:color w:val="auto"/>
                <w:highlight w:val="none"/>
                <w:lang w:val="en-US" w:eastAsia="zh-CN"/>
              </w:rPr>
              <w:t>甲基丙烯酸甲酯</w:t>
            </w:r>
          </w:p>
        </w:tc>
        <w:tc>
          <w:tcPr>
            <w:tcW w:w="566" w:type="pct"/>
            <w:shd w:val="clear" w:color="auto" w:fill="auto"/>
            <w:tcMar>
              <w:top w:w="0" w:type="dxa"/>
              <w:left w:w="57" w:type="dxa"/>
              <w:bottom w:w="0" w:type="dxa"/>
              <w:right w:w="57" w:type="dxa"/>
            </w:tcMar>
            <w:vAlign w:val="center"/>
          </w:tcPr>
          <w:p w14:paraId="53CD31AA">
            <w:pPr>
              <w:pStyle w:val="20"/>
              <w:bidi w:val="0"/>
              <w:rPr>
                <w:rFonts w:hint="eastAsia"/>
                <w:color w:val="auto"/>
                <w:highlight w:val="none"/>
                <w:lang w:val="en-US" w:eastAsia="zh-CN"/>
              </w:rPr>
            </w:pPr>
            <w:r>
              <w:rPr>
                <w:rFonts w:hint="eastAsia"/>
                <w:color w:val="auto"/>
                <w:highlight w:val="none"/>
                <w:lang w:val="en-US" w:eastAsia="zh-CN"/>
              </w:rPr>
              <w:t>0</w:t>
            </w:r>
          </w:p>
        </w:tc>
        <w:tc>
          <w:tcPr>
            <w:tcW w:w="462" w:type="pct"/>
            <w:tcMar>
              <w:top w:w="0" w:type="dxa"/>
              <w:left w:w="57" w:type="dxa"/>
              <w:bottom w:w="0" w:type="dxa"/>
              <w:right w:w="57" w:type="dxa"/>
            </w:tcMar>
            <w:vAlign w:val="center"/>
          </w:tcPr>
          <w:p w14:paraId="156189FA">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1A853261">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7DD13907">
            <w:pPr>
              <w:keepNext w:val="0"/>
              <w:keepLines w:val="0"/>
              <w:widowControl/>
              <w:suppressLineNumbers w:val="0"/>
              <w:jc w:val="center"/>
              <w:textAlignment w:val="center"/>
              <w:rPr>
                <w:rFonts w:hint="eastAsia" w:ascii="Times New Roman" w:hAnsi="Times New Roman" w:eastAsia="宋体" w:cs="宋体"/>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0.0651</w:t>
            </w:r>
          </w:p>
        </w:tc>
        <w:tc>
          <w:tcPr>
            <w:tcW w:w="490" w:type="pct"/>
            <w:shd w:val="clear" w:color="auto" w:fill="auto"/>
            <w:tcMar>
              <w:top w:w="0" w:type="dxa"/>
              <w:left w:w="57" w:type="dxa"/>
              <w:bottom w:w="0" w:type="dxa"/>
              <w:right w:w="57" w:type="dxa"/>
            </w:tcMar>
            <w:vAlign w:val="center"/>
          </w:tcPr>
          <w:p w14:paraId="611FDB9B">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0.0108</w:t>
            </w:r>
          </w:p>
        </w:tc>
        <w:tc>
          <w:tcPr>
            <w:tcW w:w="594" w:type="pct"/>
            <w:shd w:val="clear" w:color="auto" w:fill="auto"/>
            <w:tcMar>
              <w:top w:w="0" w:type="dxa"/>
              <w:left w:w="57" w:type="dxa"/>
              <w:bottom w:w="0" w:type="dxa"/>
              <w:right w:w="57" w:type="dxa"/>
            </w:tcMar>
            <w:vAlign w:val="center"/>
          </w:tcPr>
          <w:p w14:paraId="5BFC33D8">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0.0723</w:t>
            </w:r>
          </w:p>
        </w:tc>
        <w:tc>
          <w:tcPr>
            <w:tcW w:w="447" w:type="pct"/>
            <w:shd w:val="clear" w:color="auto" w:fill="auto"/>
            <w:tcMar>
              <w:top w:w="0" w:type="dxa"/>
              <w:left w:w="57" w:type="dxa"/>
              <w:bottom w:w="0" w:type="dxa"/>
              <w:right w:w="57" w:type="dxa"/>
            </w:tcMar>
            <w:vAlign w:val="center"/>
          </w:tcPr>
          <w:p w14:paraId="02306C05">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+0.0723</w:t>
            </w:r>
          </w:p>
        </w:tc>
      </w:tr>
      <w:tr w14:paraId="57524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3BDBD819">
            <w:pPr>
              <w:pStyle w:val="20"/>
              <w:spacing w:before="31"/>
              <w:rPr>
                <w:color w:val="auto"/>
                <w:highlight w:val="none"/>
              </w:rPr>
            </w:pPr>
          </w:p>
        </w:tc>
        <w:tc>
          <w:tcPr>
            <w:tcW w:w="839" w:type="pct"/>
            <w:shd w:val="clear" w:color="auto" w:fill="auto"/>
            <w:tcMar>
              <w:top w:w="0" w:type="dxa"/>
              <w:left w:w="57" w:type="dxa"/>
              <w:bottom w:w="0" w:type="dxa"/>
              <w:right w:w="57" w:type="dxa"/>
            </w:tcMar>
            <w:vAlign w:val="center"/>
          </w:tcPr>
          <w:p w14:paraId="243756BE">
            <w:pPr>
              <w:pStyle w:val="20"/>
              <w:bidi w:val="0"/>
              <w:rPr>
                <w:rFonts w:hint="eastAsia"/>
                <w:color w:val="auto"/>
                <w:highlight w:val="none"/>
                <w:lang w:val="en-US" w:eastAsia="zh-CN"/>
              </w:rPr>
            </w:pPr>
            <w:r>
              <w:rPr>
                <w:rFonts w:hint="eastAsia"/>
                <w:color w:val="auto"/>
                <w:highlight w:val="none"/>
                <w:lang w:val="en-US" w:eastAsia="zh-CN"/>
              </w:rPr>
              <w:t>丙烯酸甲酯</w:t>
            </w:r>
          </w:p>
        </w:tc>
        <w:tc>
          <w:tcPr>
            <w:tcW w:w="566" w:type="pct"/>
            <w:shd w:val="clear" w:color="auto" w:fill="auto"/>
            <w:tcMar>
              <w:top w:w="0" w:type="dxa"/>
              <w:left w:w="57" w:type="dxa"/>
              <w:bottom w:w="0" w:type="dxa"/>
              <w:right w:w="57" w:type="dxa"/>
            </w:tcMar>
            <w:vAlign w:val="center"/>
          </w:tcPr>
          <w:p w14:paraId="2A3EF2AF">
            <w:pPr>
              <w:pStyle w:val="20"/>
              <w:bidi w:val="0"/>
              <w:rPr>
                <w:rFonts w:hint="eastAsia"/>
                <w:color w:val="auto"/>
                <w:highlight w:val="none"/>
                <w:lang w:val="en-US" w:eastAsia="zh-CN"/>
              </w:rPr>
            </w:pPr>
            <w:r>
              <w:rPr>
                <w:rFonts w:hint="eastAsia"/>
                <w:color w:val="auto"/>
                <w:highlight w:val="none"/>
                <w:lang w:val="en-US" w:eastAsia="zh-CN"/>
              </w:rPr>
              <w:t>0</w:t>
            </w:r>
          </w:p>
        </w:tc>
        <w:tc>
          <w:tcPr>
            <w:tcW w:w="462" w:type="pct"/>
            <w:tcMar>
              <w:top w:w="0" w:type="dxa"/>
              <w:left w:w="57" w:type="dxa"/>
              <w:bottom w:w="0" w:type="dxa"/>
              <w:right w:w="57" w:type="dxa"/>
            </w:tcMar>
            <w:vAlign w:val="center"/>
          </w:tcPr>
          <w:p w14:paraId="02F047BC">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310AA4DC">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4FCFDB90">
            <w:pPr>
              <w:keepNext w:val="0"/>
              <w:keepLines w:val="0"/>
              <w:widowControl/>
              <w:suppressLineNumbers w:val="0"/>
              <w:jc w:val="center"/>
              <w:textAlignment w:val="center"/>
              <w:rPr>
                <w:rFonts w:hint="eastAsia" w:ascii="Times New Roman" w:hAnsi="Times New Roman" w:eastAsia="宋体" w:cs="宋体"/>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0.0017</w:t>
            </w:r>
          </w:p>
        </w:tc>
        <w:tc>
          <w:tcPr>
            <w:tcW w:w="490" w:type="pct"/>
            <w:shd w:val="clear" w:color="auto" w:fill="auto"/>
            <w:tcMar>
              <w:top w:w="0" w:type="dxa"/>
              <w:left w:w="57" w:type="dxa"/>
              <w:bottom w:w="0" w:type="dxa"/>
              <w:right w:w="57" w:type="dxa"/>
            </w:tcMar>
            <w:vAlign w:val="center"/>
          </w:tcPr>
          <w:p w14:paraId="5D0FE2E4">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0.0003</w:t>
            </w:r>
          </w:p>
        </w:tc>
        <w:tc>
          <w:tcPr>
            <w:tcW w:w="594" w:type="pct"/>
            <w:shd w:val="clear" w:color="auto" w:fill="auto"/>
            <w:tcMar>
              <w:top w:w="0" w:type="dxa"/>
              <w:left w:w="57" w:type="dxa"/>
              <w:bottom w:w="0" w:type="dxa"/>
              <w:right w:w="57" w:type="dxa"/>
            </w:tcMar>
            <w:vAlign w:val="center"/>
          </w:tcPr>
          <w:p w14:paraId="543FCEB5">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0.0019</w:t>
            </w:r>
          </w:p>
        </w:tc>
        <w:tc>
          <w:tcPr>
            <w:tcW w:w="447" w:type="pct"/>
            <w:shd w:val="clear" w:color="auto" w:fill="auto"/>
            <w:tcMar>
              <w:top w:w="0" w:type="dxa"/>
              <w:left w:w="57" w:type="dxa"/>
              <w:bottom w:w="0" w:type="dxa"/>
              <w:right w:w="57" w:type="dxa"/>
            </w:tcMar>
            <w:vAlign w:val="center"/>
          </w:tcPr>
          <w:p w14:paraId="5434719F">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+0.0019</w:t>
            </w:r>
          </w:p>
        </w:tc>
      </w:tr>
      <w:tr w14:paraId="78811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1013B89F">
            <w:pPr>
              <w:pStyle w:val="20"/>
              <w:spacing w:before="31"/>
              <w:rPr>
                <w:color w:val="auto"/>
                <w:highlight w:val="none"/>
              </w:rPr>
            </w:pPr>
          </w:p>
        </w:tc>
        <w:tc>
          <w:tcPr>
            <w:tcW w:w="839" w:type="pct"/>
            <w:shd w:val="clear" w:color="auto" w:fill="auto"/>
            <w:tcMar>
              <w:top w:w="0" w:type="dxa"/>
              <w:left w:w="57" w:type="dxa"/>
              <w:bottom w:w="0" w:type="dxa"/>
              <w:right w:w="57" w:type="dxa"/>
            </w:tcMar>
            <w:vAlign w:val="center"/>
          </w:tcPr>
          <w:p w14:paraId="7702DCC2">
            <w:pPr>
              <w:pStyle w:val="20"/>
              <w:bidi w:val="0"/>
              <w:rPr>
                <w:rFonts w:hint="eastAsia"/>
                <w:color w:val="auto"/>
                <w:highlight w:val="none"/>
                <w:lang w:val="en-US" w:eastAsia="zh-CN"/>
              </w:rPr>
            </w:pPr>
            <w:r>
              <w:rPr>
                <w:rFonts w:hint="eastAsia"/>
                <w:color w:val="auto"/>
                <w:highlight w:val="none"/>
                <w:lang w:val="en-US" w:eastAsia="zh-CN"/>
              </w:rPr>
              <w:t>丙烯酸</w:t>
            </w:r>
          </w:p>
        </w:tc>
        <w:tc>
          <w:tcPr>
            <w:tcW w:w="566" w:type="pct"/>
            <w:shd w:val="clear" w:color="auto" w:fill="auto"/>
            <w:tcMar>
              <w:top w:w="0" w:type="dxa"/>
              <w:left w:w="57" w:type="dxa"/>
              <w:bottom w:w="0" w:type="dxa"/>
              <w:right w:w="57" w:type="dxa"/>
            </w:tcMar>
            <w:vAlign w:val="center"/>
          </w:tcPr>
          <w:p w14:paraId="1B7BB85E">
            <w:pPr>
              <w:pStyle w:val="20"/>
              <w:bidi w:val="0"/>
              <w:rPr>
                <w:rFonts w:hint="eastAsia"/>
                <w:color w:val="auto"/>
                <w:highlight w:val="none"/>
                <w:lang w:val="en-US" w:eastAsia="zh-CN"/>
              </w:rPr>
            </w:pPr>
            <w:r>
              <w:rPr>
                <w:rFonts w:hint="eastAsia"/>
                <w:color w:val="auto"/>
                <w:highlight w:val="none"/>
                <w:lang w:val="en-US" w:eastAsia="zh-CN"/>
              </w:rPr>
              <w:t>0</w:t>
            </w:r>
          </w:p>
        </w:tc>
        <w:tc>
          <w:tcPr>
            <w:tcW w:w="462" w:type="pct"/>
            <w:tcMar>
              <w:top w:w="0" w:type="dxa"/>
              <w:left w:w="57" w:type="dxa"/>
              <w:bottom w:w="0" w:type="dxa"/>
              <w:right w:w="57" w:type="dxa"/>
            </w:tcMar>
            <w:vAlign w:val="center"/>
          </w:tcPr>
          <w:p w14:paraId="1ED972CC">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23B48E95">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1F272434">
            <w:pPr>
              <w:keepNext w:val="0"/>
              <w:keepLines w:val="0"/>
              <w:widowControl/>
              <w:suppressLineNumbers w:val="0"/>
              <w:jc w:val="center"/>
              <w:textAlignment w:val="center"/>
              <w:rPr>
                <w:rFonts w:hint="eastAsia" w:ascii="Times New Roman" w:hAnsi="Times New Roman" w:eastAsia="宋体" w:cs="宋体"/>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0.0239</w:t>
            </w:r>
          </w:p>
        </w:tc>
        <w:tc>
          <w:tcPr>
            <w:tcW w:w="490" w:type="pct"/>
            <w:shd w:val="clear" w:color="auto" w:fill="auto"/>
            <w:tcMar>
              <w:top w:w="0" w:type="dxa"/>
              <w:left w:w="57" w:type="dxa"/>
              <w:bottom w:w="0" w:type="dxa"/>
              <w:right w:w="57" w:type="dxa"/>
            </w:tcMar>
            <w:vAlign w:val="center"/>
          </w:tcPr>
          <w:p w14:paraId="1CB2337A">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0.0040</w:t>
            </w:r>
          </w:p>
        </w:tc>
        <w:tc>
          <w:tcPr>
            <w:tcW w:w="594" w:type="pct"/>
            <w:shd w:val="clear" w:color="auto" w:fill="auto"/>
            <w:tcMar>
              <w:top w:w="0" w:type="dxa"/>
              <w:left w:w="57" w:type="dxa"/>
              <w:bottom w:w="0" w:type="dxa"/>
              <w:right w:w="57" w:type="dxa"/>
            </w:tcMar>
            <w:vAlign w:val="center"/>
          </w:tcPr>
          <w:p w14:paraId="068C0B78">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0.0266</w:t>
            </w:r>
          </w:p>
        </w:tc>
        <w:tc>
          <w:tcPr>
            <w:tcW w:w="447" w:type="pct"/>
            <w:shd w:val="clear" w:color="auto" w:fill="auto"/>
            <w:tcMar>
              <w:top w:w="0" w:type="dxa"/>
              <w:left w:w="57" w:type="dxa"/>
              <w:bottom w:w="0" w:type="dxa"/>
              <w:right w:w="57" w:type="dxa"/>
            </w:tcMar>
            <w:vAlign w:val="center"/>
          </w:tcPr>
          <w:p w14:paraId="363F898A">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+0.0266</w:t>
            </w:r>
          </w:p>
        </w:tc>
      </w:tr>
      <w:tr w14:paraId="392E6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338C6E08">
            <w:pPr>
              <w:pStyle w:val="20"/>
              <w:spacing w:before="31"/>
              <w:rPr>
                <w:color w:val="auto"/>
                <w:highlight w:val="none"/>
              </w:rPr>
            </w:pPr>
          </w:p>
        </w:tc>
        <w:tc>
          <w:tcPr>
            <w:tcW w:w="839" w:type="pct"/>
            <w:shd w:val="clear" w:color="auto" w:fill="auto"/>
            <w:tcMar>
              <w:top w:w="0" w:type="dxa"/>
              <w:left w:w="57" w:type="dxa"/>
              <w:bottom w:w="0" w:type="dxa"/>
              <w:right w:w="57" w:type="dxa"/>
            </w:tcMar>
            <w:vAlign w:val="center"/>
          </w:tcPr>
          <w:p w14:paraId="60DE8C44">
            <w:pPr>
              <w:pStyle w:val="20"/>
              <w:bidi w:val="0"/>
              <w:rPr>
                <w:rFonts w:hint="eastAsia"/>
                <w:color w:val="auto"/>
                <w:highlight w:val="none"/>
                <w:lang w:val="en-US" w:eastAsia="zh-CN"/>
              </w:rPr>
            </w:pPr>
            <w:r>
              <w:rPr>
                <w:rFonts w:hint="eastAsia"/>
                <w:color w:val="auto"/>
                <w:highlight w:val="none"/>
                <w:lang w:val="en-US" w:eastAsia="zh-CN"/>
              </w:rPr>
              <w:t>丙烯酸丁酯</w:t>
            </w:r>
          </w:p>
        </w:tc>
        <w:tc>
          <w:tcPr>
            <w:tcW w:w="566" w:type="pct"/>
            <w:shd w:val="clear" w:color="auto" w:fill="auto"/>
            <w:tcMar>
              <w:top w:w="0" w:type="dxa"/>
              <w:left w:w="57" w:type="dxa"/>
              <w:bottom w:w="0" w:type="dxa"/>
              <w:right w:w="57" w:type="dxa"/>
            </w:tcMar>
            <w:vAlign w:val="center"/>
          </w:tcPr>
          <w:p w14:paraId="16FE63DE">
            <w:pPr>
              <w:pStyle w:val="20"/>
              <w:bidi w:val="0"/>
              <w:rPr>
                <w:rFonts w:hint="eastAsia"/>
                <w:color w:val="auto"/>
                <w:highlight w:val="none"/>
                <w:lang w:val="en-US" w:eastAsia="zh-CN"/>
              </w:rPr>
            </w:pPr>
            <w:r>
              <w:rPr>
                <w:rFonts w:hint="eastAsia"/>
                <w:color w:val="auto"/>
                <w:highlight w:val="none"/>
                <w:lang w:val="en-US" w:eastAsia="zh-CN"/>
              </w:rPr>
              <w:t>0</w:t>
            </w:r>
          </w:p>
        </w:tc>
        <w:tc>
          <w:tcPr>
            <w:tcW w:w="462" w:type="pct"/>
            <w:tcMar>
              <w:top w:w="0" w:type="dxa"/>
              <w:left w:w="57" w:type="dxa"/>
              <w:bottom w:w="0" w:type="dxa"/>
              <w:right w:w="57" w:type="dxa"/>
            </w:tcMar>
            <w:vAlign w:val="center"/>
          </w:tcPr>
          <w:p w14:paraId="702CDEDA">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71BE3D2C">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4D4D78B2">
            <w:pPr>
              <w:keepNext w:val="0"/>
              <w:keepLines w:val="0"/>
              <w:widowControl/>
              <w:suppressLineNumbers w:val="0"/>
              <w:jc w:val="center"/>
              <w:textAlignment w:val="center"/>
              <w:rPr>
                <w:rFonts w:hint="eastAsia" w:ascii="Times New Roman" w:hAnsi="Times New Roman" w:eastAsia="宋体" w:cs="宋体"/>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0.1195</w:t>
            </w:r>
          </w:p>
        </w:tc>
        <w:tc>
          <w:tcPr>
            <w:tcW w:w="490" w:type="pct"/>
            <w:shd w:val="clear" w:color="auto" w:fill="auto"/>
            <w:tcMar>
              <w:top w:w="0" w:type="dxa"/>
              <w:left w:w="57" w:type="dxa"/>
              <w:bottom w:w="0" w:type="dxa"/>
              <w:right w:w="57" w:type="dxa"/>
            </w:tcMar>
            <w:vAlign w:val="center"/>
          </w:tcPr>
          <w:p w14:paraId="69F33DDF">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0.0200</w:t>
            </w:r>
          </w:p>
        </w:tc>
        <w:tc>
          <w:tcPr>
            <w:tcW w:w="594" w:type="pct"/>
            <w:shd w:val="clear" w:color="auto" w:fill="auto"/>
            <w:tcMar>
              <w:top w:w="0" w:type="dxa"/>
              <w:left w:w="57" w:type="dxa"/>
              <w:bottom w:w="0" w:type="dxa"/>
              <w:right w:w="57" w:type="dxa"/>
            </w:tcMar>
            <w:vAlign w:val="center"/>
          </w:tcPr>
          <w:p w14:paraId="76B4B44F">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0.1328</w:t>
            </w:r>
          </w:p>
        </w:tc>
        <w:tc>
          <w:tcPr>
            <w:tcW w:w="447" w:type="pct"/>
            <w:shd w:val="clear" w:color="auto" w:fill="auto"/>
            <w:tcMar>
              <w:top w:w="0" w:type="dxa"/>
              <w:left w:w="57" w:type="dxa"/>
              <w:bottom w:w="0" w:type="dxa"/>
              <w:right w:w="57" w:type="dxa"/>
            </w:tcMar>
            <w:vAlign w:val="center"/>
          </w:tcPr>
          <w:p w14:paraId="7001BCDA">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+0.1328</w:t>
            </w:r>
          </w:p>
        </w:tc>
      </w:tr>
      <w:tr w14:paraId="7246D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5FC4C432">
            <w:pPr>
              <w:pStyle w:val="20"/>
              <w:spacing w:before="31"/>
              <w:rPr>
                <w:color w:val="auto"/>
                <w:highlight w:val="none"/>
              </w:rPr>
            </w:pPr>
          </w:p>
        </w:tc>
        <w:tc>
          <w:tcPr>
            <w:tcW w:w="839" w:type="pct"/>
            <w:shd w:val="clear" w:color="auto" w:fill="auto"/>
            <w:tcMar>
              <w:top w:w="0" w:type="dxa"/>
              <w:left w:w="57" w:type="dxa"/>
              <w:bottom w:w="0" w:type="dxa"/>
              <w:right w:w="57" w:type="dxa"/>
            </w:tcMar>
            <w:vAlign w:val="center"/>
          </w:tcPr>
          <w:p w14:paraId="2BC74B6A">
            <w:pPr>
              <w:pStyle w:val="20"/>
              <w:bidi w:val="0"/>
              <w:rPr>
                <w:rFonts w:hint="eastAsia"/>
                <w:color w:val="auto"/>
                <w:highlight w:val="none"/>
                <w:lang w:val="en-US" w:eastAsia="zh-CN"/>
              </w:rPr>
            </w:pPr>
            <w:r>
              <w:rPr>
                <w:rFonts w:hint="eastAsia"/>
                <w:color w:val="auto"/>
                <w:highlight w:val="none"/>
                <w:lang w:val="en-US" w:eastAsia="zh-CN"/>
              </w:rPr>
              <w:t>颗粒物</w:t>
            </w:r>
          </w:p>
        </w:tc>
        <w:tc>
          <w:tcPr>
            <w:tcW w:w="566" w:type="pct"/>
            <w:shd w:val="clear" w:color="auto" w:fill="auto"/>
            <w:tcMar>
              <w:top w:w="0" w:type="dxa"/>
              <w:left w:w="57" w:type="dxa"/>
              <w:bottom w:w="0" w:type="dxa"/>
              <w:right w:w="57" w:type="dxa"/>
            </w:tcMar>
            <w:vAlign w:val="center"/>
          </w:tcPr>
          <w:p w14:paraId="5ECE223C">
            <w:pPr>
              <w:pStyle w:val="20"/>
              <w:bidi w:val="0"/>
              <w:rPr>
                <w:rFonts w:hint="default"/>
                <w:color w:val="auto"/>
                <w:highlight w:val="none"/>
                <w:lang w:val="en-US" w:eastAsia="zh-CN"/>
              </w:rPr>
            </w:pPr>
            <w:r>
              <w:rPr>
                <w:rFonts w:hint="eastAsia" w:cs="宋体"/>
                <w:color w:val="auto"/>
                <w:kern w:val="2"/>
                <w:sz w:val="21"/>
                <w:szCs w:val="21"/>
                <w:highlight w:val="none"/>
                <w:lang w:val="en-US" w:eastAsia="zh-CN" w:bidi="ar-SA"/>
              </w:rPr>
              <w:t>/</w:t>
            </w:r>
          </w:p>
        </w:tc>
        <w:tc>
          <w:tcPr>
            <w:tcW w:w="462" w:type="pct"/>
            <w:tcMar>
              <w:top w:w="0" w:type="dxa"/>
              <w:left w:w="57" w:type="dxa"/>
              <w:bottom w:w="0" w:type="dxa"/>
              <w:right w:w="57" w:type="dxa"/>
            </w:tcMar>
            <w:vAlign w:val="center"/>
          </w:tcPr>
          <w:p w14:paraId="7D0BC3E1">
            <w:pPr>
              <w:pStyle w:val="20"/>
              <w:bidi w:val="0"/>
              <w:rPr>
                <w:rFonts w:hint="default"/>
                <w:color w:val="auto"/>
                <w:highlight w:val="none"/>
                <w:lang w:val="en-US" w:eastAsia="zh-CN"/>
              </w:rPr>
            </w:pPr>
            <w:r>
              <w:rPr>
                <w:rFonts w:hint="eastAsia"/>
                <w:color w:val="auto"/>
                <w:highlight w:val="none"/>
              </w:rPr>
              <w:t>/</w:t>
            </w:r>
          </w:p>
        </w:tc>
        <w:tc>
          <w:tcPr>
            <w:tcW w:w="499" w:type="pct"/>
            <w:tcMar>
              <w:top w:w="0" w:type="dxa"/>
              <w:left w:w="57" w:type="dxa"/>
              <w:bottom w:w="0" w:type="dxa"/>
              <w:right w:w="57" w:type="dxa"/>
            </w:tcMar>
            <w:vAlign w:val="center"/>
          </w:tcPr>
          <w:p w14:paraId="1CC5D664">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25657457">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w:t>
            </w:r>
          </w:p>
        </w:tc>
        <w:tc>
          <w:tcPr>
            <w:tcW w:w="490" w:type="pct"/>
            <w:shd w:val="clear" w:color="auto" w:fill="auto"/>
            <w:tcMar>
              <w:top w:w="0" w:type="dxa"/>
              <w:left w:w="57" w:type="dxa"/>
              <w:bottom w:w="0" w:type="dxa"/>
              <w:right w:w="57" w:type="dxa"/>
            </w:tcMar>
            <w:vAlign w:val="center"/>
          </w:tcPr>
          <w:p w14:paraId="4BB9A882">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w:t>
            </w:r>
          </w:p>
        </w:tc>
        <w:tc>
          <w:tcPr>
            <w:tcW w:w="594" w:type="pct"/>
            <w:shd w:val="clear" w:color="auto" w:fill="auto"/>
            <w:tcMar>
              <w:top w:w="0" w:type="dxa"/>
              <w:left w:w="57" w:type="dxa"/>
              <w:bottom w:w="0" w:type="dxa"/>
              <w:right w:w="57" w:type="dxa"/>
            </w:tcMar>
            <w:vAlign w:val="center"/>
          </w:tcPr>
          <w:p w14:paraId="56DB69CD">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w:t>
            </w:r>
          </w:p>
        </w:tc>
        <w:tc>
          <w:tcPr>
            <w:tcW w:w="447" w:type="pct"/>
            <w:shd w:val="clear" w:color="auto" w:fill="auto"/>
            <w:tcMar>
              <w:top w:w="0" w:type="dxa"/>
              <w:left w:w="57" w:type="dxa"/>
              <w:bottom w:w="0" w:type="dxa"/>
              <w:right w:w="57" w:type="dxa"/>
            </w:tcMar>
            <w:vAlign w:val="center"/>
          </w:tcPr>
          <w:p w14:paraId="1EF3F810">
            <w:pPr>
              <w:pStyle w:val="20"/>
              <w:bidi w:val="0"/>
              <w:rPr>
                <w:rFonts w:hint="eastAsia"/>
                <w:color w:val="auto"/>
                <w:highlight w:val="none"/>
                <w:lang w:val="en-US" w:eastAsia="zh-CN"/>
              </w:rPr>
            </w:pPr>
            <w:r>
              <w:rPr>
                <w:rFonts w:hint="eastAsia" w:cs="宋体"/>
                <w:color w:val="auto"/>
                <w:kern w:val="2"/>
                <w:sz w:val="21"/>
                <w:szCs w:val="21"/>
                <w:highlight w:val="none"/>
                <w:lang w:val="en-US" w:eastAsia="zh-CN" w:bidi="ar-SA"/>
              </w:rPr>
              <w:t>/</w:t>
            </w:r>
          </w:p>
        </w:tc>
      </w:tr>
      <w:tr w14:paraId="1BB0C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419369D1">
            <w:pPr>
              <w:pStyle w:val="20"/>
              <w:spacing w:before="31"/>
              <w:rPr>
                <w:color w:val="auto"/>
                <w:highlight w:val="none"/>
              </w:rPr>
            </w:pPr>
          </w:p>
        </w:tc>
        <w:tc>
          <w:tcPr>
            <w:tcW w:w="839" w:type="pct"/>
            <w:tcMar>
              <w:top w:w="0" w:type="dxa"/>
              <w:left w:w="57" w:type="dxa"/>
              <w:bottom w:w="0" w:type="dxa"/>
              <w:right w:w="57" w:type="dxa"/>
            </w:tcMar>
            <w:vAlign w:val="center"/>
          </w:tcPr>
          <w:p w14:paraId="6FD54981">
            <w:pPr>
              <w:pStyle w:val="20"/>
              <w:bidi w:val="0"/>
              <w:rPr>
                <w:rFonts w:hint="default"/>
                <w:color w:val="auto"/>
                <w:highlight w:val="none"/>
                <w:lang w:val="en-US" w:eastAsia="zh-CN"/>
              </w:rPr>
            </w:pPr>
            <w:r>
              <w:rPr>
                <w:rFonts w:hint="eastAsia"/>
                <w:color w:val="auto"/>
                <w:highlight w:val="none"/>
                <w:lang w:val="en-US" w:eastAsia="zh-CN"/>
              </w:rPr>
              <w:t>臭气浓度</w:t>
            </w:r>
          </w:p>
        </w:tc>
        <w:tc>
          <w:tcPr>
            <w:tcW w:w="566" w:type="pct"/>
            <w:tcMar>
              <w:top w:w="0" w:type="dxa"/>
              <w:left w:w="57" w:type="dxa"/>
              <w:bottom w:w="0" w:type="dxa"/>
              <w:right w:w="57" w:type="dxa"/>
            </w:tcMar>
            <w:vAlign w:val="center"/>
          </w:tcPr>
          <w:p w14:paraId="637002B0">
            <w:pPr>
              <w:pStyle w:val="20"/>
              <w:bidi w:val="0"/>
              <w:rPr>
                <w:rFonts w:hint="eastAsia"/>
                <w:color w:val="auto"/>
                <w:highlight w:val="none"/>
                <w:lang w:val="en-US" w:eastAsia="zh-CN"/>
              </w:rPr>
            </w:pPr>
            <w:r>
              <w:rPr>
                <w:rFonts w:hint="eastAsia"/>
                <w:color w:val="auto"/>
                <w:highlight w:val="none"/>
                <w:lang w:val="en-US" w:eastAsia="zh-CN"/>
              </w:rPr>
              <w:t>/</w:t>
            </w:r>
          </w:p>
        </w:tc>
        <w:tc>
          <w:tcPr>
            <w:tcW w:w="462" w:type="pct"/>
            <w:tcMar>
              <w:top w:w="0" w:type="dxa"/>
              <w:left w:w="57" w:type="dxa"/>
              <w:bottom w:w="0" w:type="dxa"/>
              <w:right w:w="57" w:type="dxa"/>
            </w:tcMar>
            <w:vAlign w:val="center"/>
          </w:tcPr>
          <w:p w14:paraId="0D99DD17">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4266BF09">
            <w:pPr>
              <w:pStyle w:val="20"/>
              <w:bidi w:val="0"/>
              <w:rPr>
                <w:color w:val="auto"/>
                <w:highlight w:val="none"/>
              </w:rPr>
            </w:pPr>
            <w:r>
              <w:rPr>
                <w:rFonts w:hint="eastAsia"/>
                <w:color w:val="auto"/>
                <w:highlight w:val="none"/>
              </w:rPr>
              <w:t>/</w:t>
            </w:r>
          </w:p>
        </w:tc>
        <w:tc>
          <w:tcPr>
            <w:tcW w:w="556" w:type="pct"/>
            <w:tcMar>
              <w:top w:w="0" w:type="dxa"/>
              <w:left w:w="57" w:type="dxa"/>
              <w:bottom w:w="0" w:type="dxa"/>
              <w:right w:w="57" w:type="dxa"/>
            </w:tcMar>
            <w:vAlign w:val="center"/>
          </w:tcPr>
          <w:p w14:paraId="0FDAD5DF">
            <w:pPr>
              <w:pStyle w:val="20"/>
              <w:bidi w:val="0"/>
              <w:rPr>
                <w:rFonts w:hint="default"/>
                <w:color w:val="auto"/>
                <w:highlight w:val="none"/>
                <w:lang w:val="en-US" w:eastAsia="zh-CN"/>
              </w:rPr>
            </w:pPr>
            <w:r>
              <w:rPr>
                <w:rFonts w:hint="eastAsia"/>
                <w:color w:val="auto"/>
                <w:highlight w:val="none"/>
                <w:lang w:val="en-US" w:eastAsia="zh-CN"/>
              </w:rPr>
              <w:t>/</w:t>
            </w:r>
          </w:p>
        </w:tc>
        <w:tc>
          <w:tcPr>
            <w:tcW w:w="490" w:type="pct"/>
            <w:tcMar>
              <w:top w:w="0" w:type="dxa"/>
              <w:left w:w="57" w:type="dxa"/>
              <w:bottom w:w="0" w:type="dxa"/>
              <w:right w:w="57" w:type="dxa"/>
            </w:tcMar>
            <w:vAlign w:val="center"/>
          </w:tcPr>
          <w:p w14:paraId="1CFE7907">
            <w:pPr>
              <w:pStyle w:val="20"/>
              <w:bidi w:val="0"/>
              <w:rPr>
                <w:color w:val="auto"/>
                <w:highlight w:val="none"/>
              </w:rPr>
            </w:pPr>
            <w:r>
              <w:rPr>
                <w:rFonts w:hint="eastAsia" w:cs="宋体"/>
                <w:color w:val="auto"/>
                <w:kern w:val="2"/>
                <w:sz w:val="21"/>
                <w:szCs w:val="21"/>
                <w:highlight w:val="none"/>
                <w:lang w:val="en-US" w:eastAsia="zh-CN" w:bidi="ar-SA"/>
              </w:rPr>
              <w:t>/</w:t>
            </w:r>
          </w:p>
        </w:tc>
        <w:tc>
          <w:tcPr>
            <w:tcW w:w="594" w:type="pct"/>
            <w:tcMar>
              <w:top w:w="0" w:type="dxa"/>
              <w:left w:w="57" w:type="dxa"/>
              <w:bottom w:w="0" w:type="dxa"/>
              <w:right w:w="57" w:type="dxa"/>
            </w:tcMar>
            <w:vAlign w:val="center"/>
          </w:tcPr>
          <w:p w14:paraId="113C5E9B">
            <w:pPr>
              <w:pStyle w:val="20"/>
              <w:bidi w:val="0"/>
              <w:rPr>
                <w:rFonts w:hint="eastAsia"/>
                <w:color w:val="auto"/>
                <w:highlight w:val="none"/>
                <w:lang w:val="en-US" w:eastAsia="zh-CN"/>
              </w:rPr>
            </w:pPr>
            <w:r>
              <w:rPr>
                <w:rFonts w:hint="eastAsia" w:cs="宋体"/>
                <w:color w:val="auto"/>
                <w:kern w:val="2"/>
                <w:sz w:val="21"/>
                <w:szCs w:val="21"/>
                <w:highlight w:val="none"/>
                <w:lang w:val="en-US" w:eastAsia="zh-CN" w:bidi="ar-SA"/>
              </w:rPr>
              <w:t>/</w:t>
            </w:r>
          </w:p>
        </w:tc>
        <w:tc>
          <w:tcPr>
            <w:tcW w:w="447" w:type="pct"/>
            <w:tcMar>
              <w:top w:w="0" w:type="dxa"/>
              <w:left w:w="57" w:type="dxa"/>
              <w:bottom w:w="0" w:type="dxa"/>
              <w:right w:w="57" w:type="dxa"/>
            </w:tcMar>
            <w:vAlign w:val="center"/>
          </w:tcPr>
          <w:p w14:paraId="3E3C5F3A">
            <w:pPr>
              <w:pStyle w:val="20"/>
              <w:bidi w:val="0"/>
              <w:rPr>
                <w:rFonts w:hint="eastAsia"/>
                <w:color w:val="auto"/>
                <w:highlight w:val="none"/>
                <w:lang w:val="en-US" w:eastAsia="zh-CN"/>
              </w:rPr>
            </w:pPr>
            <w:r>
              <w:rPr>
                <w:rFonts w:hint="eastAsia" w:cs="宋体"/>
                <w:color w:val="auto"/>
                <w:kern w:val="2"/>
                <w:sz w:val="21"/>
                <w:szCs w:val="21"/>
                <w:highlight w:val="none"/>
                <w:lang w:val="en-US" w:eastAsia="zh-CN" w:bidi="ar-SA"/>
              </w:rPr>
              <w:t>/</w:t>
            </w:r>
          </w:p>
        </w:tc>
      </w:tr>
      <w:tr w14:paraId="217D6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000" w:type="pct"/>
            <w:gridSpan w:val="9"/>
            <w:tcMar>
              <w:top w:w="0" w:type="dxa"/>
              <w:left w:w="57" w:type="dxa"/>
              <w:bottom w:w="0" w:type="dxa"/>
              <w:right w:w="57" w:type="dxa"/>
            </w:tcMar>
            <w:vAlign w:val="center"/>
          </w:tcPr>
          <w:p w14:paraId="2A037519">
            <w:pPr>
              <w:pStyle w:val="20"/>
              <w:bidi w:val="0"/>
              <w:jc w:val="left"/>
              <w:rPr>
                <w:rFonts w:hint="default"/>
                <w:color w:val="auto"/>
                <w:highlight w:val="none"/>
                <w:lang w:val="en-US" w:eastAsia="zh-CN"/>
              </w:rPr>
            </w:pPr>
            <w:r>
              <w:rPr>
                <w:rFonts w:hint="eastAsia"/>
                <w:color w:val="auto"/>
                <w:highlight w:val="none"/>
                <w:lang w:val="en-US" w:eastAsia="zh-CN"/>
              </w:rPr>
              <w:t>注：上列数据统计有组织排放量，现有项目为无组织排放，有组织排放量为0，造成数据不平衡。数据来源详见</w:t>
            </w:r>
            <w:r>
              <w:rPr>
                <w:rFonts w:hint="eastAsia"/>
                <w:color w:val="auto"/>
                <w:highlight w:val="none"/>
                <w:lang w:val="en-US" w:eastAsia="zh-CN"/>
              </w:rPr>
              <w:fldChar w:fldCharType="begin"/>
            </w:r>
            <w:r>
              <w:rPr>
                <w:rFonts w:hint="eastAsia"/>
                <w:color w:val="auto"/>
                <w:highlight w:val="none"/>
                <w:lang w:val="en-US" w:eastAsia="zh-CN"/>
              </w:rPr>
              <w:instrText xml:space="preserve"> REF _Ref14724 \h </w:instrText>
            </w:r>
            <w:r>
              <w:rPr>
                <w:rFonts w:hint="eastAsia"/>
                <w:color w:val="auto"/>
                <w:highlight w:val="none"/>
                <w:lang w:val="en-US" w:eastAsia="zh-CN"/>
              </w:rPr>
              <w:fldChar w:fldCharType="separate"/>
            </w:r>
            <w:r>
              <w:rPr>
                <w:color w:val="auto"/>
                <w:highlight w:val="none"/>
              </w:rPr>
              <w:t>表4-5</w:t>
            </w:r>
            <w:r>
              <w:rPr>
                <w:rFonts w:hint="eastAsia"/>
                <w:color w:val="auto"/>
                <w:highlight w:val="none"/>
                <w:lang w:val="en-US" w:eastAsia="zh-CN"/>
              </w:rPr>
              <w:fldChar w:fldCharType="end"/>
            </w:r>
            <w:r>
              <w:rPr>
                <w:rFonts w:hint="eastAsia"/>
                <w:color w:val="auto"/>
                <w:highlight w:val="none"/>
                <w:lang w:val="en-US" w:eastAsia="zh-CN"/>
              </w:rPr>
              <w:t>，</w:t>
            </w:r>
            <w:r>
              <w:rPr>
                <w:rFonts w:hint="eastAsia"/>
                <w:color w:val="auto"/>
                <w:highlight w:val="none"/>
                <w:lang w:val="en-US" w:eastAsia="zh-CN"/>
              </w:rPr>
              <w:fldChar w:fldCharType="begin"/>
            </w:r>
            <w:r>
              <w:rPr>
                <w:rFonts w:hint="eastAsia"/>
                <w:color w:val="auto"/>
                <w:highlight w:val="none"/>
                <w:lang w:val="en-US" w:eastAsia="zh-CN"/>
              </w:rPr>
              <w:instrText xml:space="preserve"> REF _Ref14724 \h </w:instrText>
            </w:r>
            <w:r>
              <w:rPr>
                <w:rFonts w:hint="eastAsia"/>
                <w:color w:val="auto"/>
                <w:highlight w:val="none"/>
                <w:lang w:val="en-US" w:eastAsia="zh-CN"/>
              </w:rPr>
              <w:fldChar w:fldCharType="separate"/>
            </w:r>
            <w:r>
              <w:rPr>
                <w:color w:val="auto"/>
                <w:highlight w:val="none"/>
              </w:rPr>
              <w:t>表4-5</w:t>
            </w:r>
            <w:r>
              <w:rPr>
                <w:rFonts w:hint="eastAsia"/>
                <w:color w:val="auto"/>
                <w:highlight w:val="none"/>
                <w:lang w:val="en-US" w:eastAsia="zh-CN"/>
              </w:rPr>
              <w:fldChar w:fldCharType="end"/>
            </w:r>
            <w:r>
              <w:rPr>
                <w:rFonts w:hint="eastAsia"/>
                <w:color w:val="auto"/>
                <w:highlight w:val="none"/>
                <w:lang w:val="en-US" w:eastAsia="zh-CN"/>
              </w:rPr>
              <w:t>已统计全厂废气污染物排放平衡。</w:t>
            </w:r>
          </w:p>
        </w:tc>
      </w:tr>
      <w:tr w14:paraId="046ED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restart"/>
            <w:tcMar>
              <w:top w:w="0" w:type="dxa"/>
              <w:left w:w="57" w:type="dxa"/>
              <w:bottom w:w="0" w:type="dxa"/>
              <w:right w:w="57" w:type="dxa"/>
            </w:tcMar>
            <w:vAlign w:val="center"/>
          </w:tcPr>
          <w:p w14:paraId="45CB408E">
            <w:pPr>
              <w:pStyle w:val="20"/>
              <w:bidi w:val="0"/>
              <w:rPr>
                <w:color w:val="auto"/>
                <w:highlight w:val="none"/>
              </w:rPr>
            </w:pPr>
            <w:r>
              <w:rPr>
                <w:rFonts w:hint="eastAsia"/>
                <w:color w:val="auto"/>
                <w:highlight w:val="none"/>
              </w:rPr>
              <w:t>废水</w:t>
            </w:r>
          </w:p>
        </w:tc>
        <w:tc>
          <w:tcPr>
            <w:tcW w:w="839" w:type="pct"/>
            <w:shd w:val="clear" w:color="auto" w:fill="auto"/>
            <w:tcMar>
              <w:top w:w="0" w:type="dxa"/>
              <w:left w:w="57" w:type="dxa"/>
              <w:bottom w:w="0" w:type="dxa"/>
              <w:right w:w="57" w:type="dxa"/>
            </w:tcMar>
            <w:vAlign w:val="center"/>
          </w:tcPr>
          <w:p w14:paraId="54FE6FB8">
            <w:pPr>
              <w:pStyle w:val="20"/>
              <w:bidi w:val="0"/>
              <w:rPr>
                <w:rFonts w:hint="default"/>
                <w:color w:val="auto"/>
                <w:highlight w:val="none"/>
                <w:lang w:val="en-US" w:eastAsia="zh-CN"/>
              </w:rPr>
            </w:pPr>
            <w:r>
              <w:rPr>
                <w:rFonts w:hint="eastAsia"/>
                <w:color w:val="auto"/>
                <w:highlight w:val="none"/>
              </w:rPr>
              <w:t>pH</w:t>
            </w:r>
            <w:r>
              <w:rPr>
                <w:rFonts w:hint="eastAsia"/>
                <w:color w:val="auto"/>
                <w:highlight w:val="none"/>
                <w:lang w:eastAsia="zh-CN"/>
              </w:rPr>
              <w:t>（</w:t>
            </w:r>
            <w:r>
              <w:rPr>
                <w:rFonts w:hint="eastAsia"/>
                <w:color w:val="auto"/>
                <w:highlight w:val="none"/>
                <w:lang w:val="en-US" w:eastAsia="zh-CN"/>
              </w:rPr>
              <w:t>无量纲）</w:t>
            </w:r>
          </w:p>
        </w:tc>
        <w:tc>
          <w:tcPr>
            <w:tcW w:w="566" w:type="pct"/>
            <w:tcMar>
              <w:top w:w="0" w:type="dxa"/>
              <w:left w:w="57" w:type="dxa"/>
              <w:bottom w:w="0" w:type="dxa"/>
              <w:right w:w="57" w:type="dxa"/>
            </w:tcMar>
            <w:vAlign w:val="center"/>
          </w:tcPr>
          <w:p w14:paraId="20C20355">
            <w:pPr>
              <w:pStyle w:val="20"/>
              <w:bidi w:val="0"/>
              <w:rPr>
                <w:color w:val="auto"/>
                <w:highlight w:val="none"/>
              </w:rPr>
            </w:pPr>
            <w:r>
              <w:rPr>
                <w:rFonts w:hint="eastAsia"/>
                <w:color w:val="auto"/>
                <w:highlight w:val="none"/>
              </w:rPr>
              <w:t>/</w:t>
            </w:r>
          </w:p>
        </w:tc>
        <w:tc>
          <w:tcPr>
            <w:tcW w:w="462" w:type="pct"/>
            <w:tcMar>
              <w:top w:w="0" w:type="dxa"/>
              <w:left w:w="57" w:type="dxa"/>
              <w:bottom w:w="0" w:type="dxa"/>
              <w:right w:w="57" w:type="dxa"/>
            </w:tcMar>
            <w:vAlign w:val="center"/>
          </w:tcPr>
          <w:p w14:paraId="69D3474B">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3E1698C9">
            <w:pPr>
              <w:pStyle w:val="20"/>
              <w:bidi w:val="0"/>
              <w:rPr>
                <w:color w:val="auto"/>
                <w:highlight w:val="none"/>
              </w:rPr>
            </w:pPr>
            <w:r>
              <w:rPr>
                <w:rFonts w:hint="eastAsia"/>
                <w:color w:val="auto"/>
                <w:highlight w:val="none"/>
              </w:rPr>
              <w:t>/</w:t>
            </w:r>
          </w:p>
        </w:tc>
        <w:tc>
          <w:tcPr>
            <w:tcW w:w="556" w:type="pct"/>
            <w:tcMar>
              <w:top w:w="0" w:type="dxa"/>
              <w:left w:w="57" w:type="dxa"/>
              <w:bottom w:w="0" w:type="dxa"/>
              <w:right w:w="57" w:type="dxa"/>
            </w:tcMar>
            <w:vAlign w:val="center"/>
          </w:tcPr>
          <w:p w14:paraId="64555E2E">
            <w:pPr>
              <w:pStyle w:val="20"/>
              <w:bidi w:val="0"/>
              <w:rPr>
                <w:color w:val="auto"/>
                <w:highlight w:val="none"/>
              </w:rPr>
            </w:pPr>
            <w:r>
              <w:rPr>
                <w:rFonts w:hint="eastAsia"/>
                <w:color w:val="auto"/>
                <w:highlight w:val="none"/>
              </w:rPr>
              <w:t>/</w:t>
            </w:r>
          </w:p>
        </w:tc>
        <w:tc>
          <w:tcPr>
            <w:tcW w:w="490" w:type="pct"/>
            <w:tcMar>
              <w:top w:w="0" w:type="dxa"/>
              <w:left w:w="57" w:type="dxa"/>
              <w:bottom w:w="0" w:type="dxa"/>
              <w:right w:w="57" w:type="dxa"/>
            </w:tcMar>
            <w:vAlign w:val="center"/>
          </w:tcPr>
          <w:p w14:paraId="2ACAF364">
            <w:pPr>
              <w:pStyle w:val="20"/>
              <w:bidi w:val="0"/>
              <w:rPr>
                <w:color w:val="auto"/>
                <w:highlight w:val="none"/>
              </w:rPr>
            </w:pPr>
            <w:r>
              <w:rPr>
                <w:rFonts w:hint="eastAsia"/>
                <w:color w:val="auto"/>
                <w:highlight w:val="none"/>
              </w:rPr>
              <w:t>/</w:t>
            </w:r>
          </w:p>
        </w:tc>
        <w:tc>
          <w:tcPr>
            <w:tcW w:w="594" w:type="pct"/>
            <w:tcMar>
              <w:top w:w="0" w:type="dxa"/>
              <w:left w:w="57" w:type="dxa"/>
              <w:bottom w:w="0" w:type="dxa"/>
              <w:right w:w="57" w:type="dxa"/>
            </w:tcMar>
            <w:vAlign w:val="center"/>
          </w:tcPr>
          <w:p w14:paraId="659B3C2D">
            <w:pPr>
              <w:pStyle w:val="20"/>
              <w:bidi w:val="0"/>
              <w:rPr>
                <w:color w:val="auto"/>
                <w:highlight w:val="none"/>
                <w:lang w:val="en-US" w:eastAsia="zh-CN"/>
              </w:rPr>
            </w:pPr>
            <w:r>
              <w:rPr>
                <w:rFonts w:hint="eastAsia"/>
                <w:color w:val="auto"/>
                <w:highlight w:val="none"/>
              </w:rPr>
              <w:t>/</w:t>
            </w:r>
          </w:p>
        </w:tc>
        <w:tc>
          <w:tcPr>
            <w:tcW w:w="447" w:type="pct"/>
            <w:tcMar>
              <w:top w:w="0" w:type="dxa"/>
              <w:left w:w="57" w:type="dxa"/>
              <w:bottom w:w="0" w:type="dxa"/>
              <w:right w:w="57" w:type="dxa"/>
            </w:tcMar>
            <w:vAlign w:val="center"/>
          </w:tcPr>
          <w:p w14:paraId="1C345749">
            <w:pPr>
              <w:pStyle w:val="20"/>
              <w:bidi w:val="0"/>
              <w:rPr>
                <w:color w:val="auto"/>
                <w:highlight w:val="none"/>
                <w:lang w:val="en-US" w:eastAsia="zh-CN"/>
              </w:rPr>
            </w:pPr>
            <w:r>
              <w:rPr>
                <w:rFonts w:hint="eastAsia"/>
                <w:color w:val="auto"/>
                <w:highlight w:val="none"/>
              </w:rPr>
              <w:t>/</w:t>
            </w:r>
          </w:p>
        </w:tc>
      </w:tr>
      <w:tr w14:paraId="517E6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234809D6">
            <w:pPr>
              <w:pStyle w:val="20"/>
              <w:bidi w:val="0"/>
              <w:rPr>
                <w:color w:val="auto"/>
                <w:highlight w:val="none"/>
              </w:rPr>
            </w:pPr>
          </w:p>
        </w:tc>
        <w:tc>
          <w:tcPr>
            <w:tcW w:w="839" w:type="pct"/>
            <w:shd w:val="clear" w:color="auto" w:fill="auto"/>
            <w:tcMar>
              <w:top w:w="0" w:type="dxa"/>
              <w:left w:w="57" w:type="dxa"/>
              <w:bottom w:w="0" w:type="dxa"/>
              <w:right w:w="57" w:type="dxa"/>
            </w:tcMar>
            <w:vAlign w:val="center"/>
          </w:tcPr>
          <w:p w14:paraId="2B7E94B9">
            <w:pPr>
              <w:pStyle w:val="20"/>
              <w:bidi w:val="0"/>
              <w:rPr>
                <w:rFonts w:hint="default"/>
                <w:color w:val="auto"/>
                <w:highlight w:val="none"/>
                <w:lang w:val="en-US" w:eastAsia="zh-CN"/>
              </w:rPr>
            </w:pPr>
            <w:r>
              <w:rPr>
                <w:rFonts w:hint="eastAsia"/>
                <w:color w:val="auto"/>
                <w:highlight w:val="none"/>
              </w:rPr>
              <w:t>COD</w:t>
            </w:r>
          </w:p>
        </w:tc>
        <w:tc>
          <w:tcPr>
            <w:tcW w:w="566" w:type="pct"/>
            <w:shd w:val="clear" w:color="auto" w:fill="auto"/>
            <w:tcMar>
              <w:top w:w="0" w:type="dxa"/>
              <w:left w:w="57" w:type="dxa"/>
              <w:bottom w:w="0" w:type="dxa"/>
              <w:right w:w="57" w:type="dxa"/>
            </w:tcMar>
            <w:vAlign w:val="center"/>
          </w:tcPr>
          <w:p w14:paraId="3FCA14DF">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0.0420</w:t>
            </w:r>
          </w:p>
        </w:tc>
        <w:tc>
          <w:tcPr>
            <w:tcW w:w="462" w:type="pct"/>
            <w:tcMar>
              <w:top w:w="0" w:type="dxa"/>
              <w:left w:w="57" w:type="dxa"/>
              <w:bottom w:w="0" w:type="dxa"/>
              <w:right w:w="57" w:type="dxa"/>
            </w:tcMar>
            <w:vAlign w:val="center"/>
          </w:tcPr>
          <w:p w14:paraId="13DF7F20">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20C5755F">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1105E0DC">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0.1099</w:t>
            </w:r>
          </w:p>
        </w:tc>
        <w:tc>
          <w:tcPr>
            <w:tcW w:w="490" w:type="pct"/>
            <w:tcMar>
              <w:top w:w="0" w:type="dxa"/>
              <w:left w:w="57" w:type="dxa"/>
              <w:bottom w:w="0" w:type="dxa"/>
              <w:right w:w="57" w:type="dxa"/>
            </w:tcMar>
            <w:vAlign w:val="center"/>
          </w:tcPr>
          <w:p w14:paraId="2A4A7E0C">
            <w:pPr>
              <w:pStyle w:val="20"/>
              <w:bidi w:val="0"/>
              <w:rPr>
                <w:color w:val="auto"/>
                <w:highlight w:val="none"/>
              </w:rPr>
            </w:pPr>
            <w:r>
              <w:rPr>
                <w:rFonts w:hint="eastAsia"/>
                <w:color w:val="auto"/>
                <w:highlight w:val="none"/>
              </w:rPr>
              <w:t>/</w:t>
            </w:r>
          </w:p>
        </w:tc>
        <w:tc>
          <w:tcPr>
            <w:tcW w:w="594" w:type="pct"/>
            <w:shd w:val="clear" w:color="auto" w:fill="auto"/>
            <w:tcMar>
              <w:top w:w="0" w:type="dxa"/>
              <w:left w:w="57" w:type="dxa"/>
              <w:bottom w:w="0" w:type="dxa"/>
              <w:right w:w="57" w:type="dxa"/>
            </w:tcMar>
            <w:vAlign w:val="center"/>
          </w:tcPr>
          <w:p w14:paraId="0BDF3D27">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0.1519</w:t>
            </w:r>
          </w:p>
        </w:tc>
        <w:tc>
          <w:tcPr>
            <w:tcW w:w="447" w:type="pct"/>
            <w:tcMar>
              <w:top w:w="0" w:type="dxa"/>
              <w:left w:w="57" w:type="dxa"/>
              <w:bottom w:w="0" w:type="dxa"/>
              <w:right w:w="57" w:type="dxa"/>
            </w:tcMar>
            <w:vAlign w:val="center"/>
          </w:tcPr>
          <w:p w14:paraId="44E91777">
            <w:pPr>
              <w:pStyle w:val="20"/>
              <w:bidi w:val="0"/>
              <w:rPr>
                <w:rFonts w:hint="default"/>
                <w:color w:val="auto"/>
                <w:highlight w:val="none"/>
                <w:lang w:val="en-US" w:eastAsia="zh-CN"/>
              </w:rPr>
            </w:pPr>
            <w:r>
              <w:rPr>
                <w:rFonts w:hint="eastAsia"/>
                <w:color w:val="auto"/>
                <w:highlight w:val="none"/>
                <w:lang w:val="en-US" w:eastAsia="zh-CN"/>
              </w:rPr>
              <w:t>+0.1099</w:t>
            </w:r>
          </w:p>
        </w:tc>
      </w:tr>
      <w:tr w14:paraId="39DB7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50FD93D7">
            <w:pPr>
              <w:pStyle w:val="20"/>
              <w:bidi w:val="0"/>
              <w:rPr>
                <w:color w:val="auto"/>
                <w:highlight w:val="none"/>
              </w:rPr>
            </w:pPr>
          </w:p>
        </w:tc>
        <w:tc>
          <w:tcPr>
            <w:tcW w:w="839" w:type="pct"/>
            <w:shd w:val="clear" w:color="auto" w:fill="auto"/>
            <w:tcMar>
              <w:top w:w="0" w:type="dxa"/>
              <w:left w:w="57" w:type="dxa"/>
              <w:bottom w:w="0" w:type="dxa"/>
              <w:right w:w="57" w:type="dxa"/>
            </w:tcMar>
            <w:vAlign w:val="center"/>
          </w:tcPr>
          <w:p w14:paraId="6AFA5F68">
            <w:pPr>
              <w:pStyle w:val="20"/>
              <w:bidi w:val="0"/>
              <w:rPr>
                <w:rFonts w:hint="default"/>
                <w:color w:val="auto"/>
                <w:highlight w:val="none"/>
                <w:lang w:val="en-US" w:eastAsia="zh-CN"/>
              </w:rPr>
            </w:pPr>
            <w:r>
              <w:rPr>
                <w:rFonts w:hint="eastAsia"/>
                <w:color w:val="auto"/>
                <w:highlight w:val="none"/>
              </w:rPr>
              <w:t>BOD5</w:t>
            </w:r>
          </w:p>
        </w:tc>
        <w:tc>
          <w:tcPr>
            <w:tcW w:w="566" w:type="pct"/>
            <w:shd w:val="clear" w:color="auto" w:fill="auto"/>
            <w:tcMar>
              <w:top w:w="0" w:type="dxa"/>
              <w:left w:w="57" w:type="dxa"/>
              <w:bottom w:w="0" w:type="dxa"/>
              <w:right w:w="57" w:type="dxa"/>
            </w:tcMar>
            <w:vAlign w:val="center"/>
          </w:tcPr>
          <w:p w14:paraId="24B69021">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0.0084</w:t>
            </w:r>
          </w:p>
        </w:tc>
        <w:tc>
          <w:tcPr>
            <w:tcW w:w="462" w:type="pct"/>
            <w:tcMar>
              <w:top w:w="0" w:type="dxa"/>
              <w:left w:w="57" w:type="dxa"/>
              <w:bottom w:w="0" w:type="dxa"/>
              <w:right w:w="57" w:type="dxa"/>
            </w:tcMar>
            <w:vAlign w:val="center"/>
          </w:tcPr>
          <w:p w14:paraId="7FBC6532">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31F2F89F">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3E6E7B5D">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0.0220</w:t>
            </w:r>
          </w:p>
        </w:tc>
        <w:tc>
          <w:tcPr>
            <w:tcW w:w="490" w:type="pct"/>
            <w:tcMar>
              <w:top w:w="0" w:type="dxa"/>
              <w:left w:w="57" w:type="dxa"/>
              <w:bottom w:w="0" w:type="dxa"/>
              <w:right w:w="57" w:type="dxa"/>
            </w:tcMar>
            <w:vAlign w:val="center"/>
          </w:tcPr>
          <w:p w14:paraId="5323902D">
            <w:pPr>
              <w:pStyle w:val="20"/>
              <w:bidi w:val="0"/>
              <w:rPr>
                <w:color w:val="auto"/>
                <w:highlight w:val="none"/>
              </w:rPr>
            </w:pPr>
            <w:r>
              <w:rPr>
                <w:rFonts w:hint="eastAsia"/>
                <w:color w:val="auto"/>
                <w:highlight w:val="none"/>
              </w:rPr>
              <w:t>/</w:t>
            </w:r>
          </w:p>
        </w:tc>
        <w:tc>
          <w:tcPr>
            <w:tcW w:w="594" w:type="pct"/>
            <w:shd w:val="clear" w:color="auto" w:fill="auto"/>
            <w:tcMar>
              <w:top w:w="0" w:type="dxa"/>
              <w:left w:w="57" w:type="dxa"/>
              <w:bottom w:w="0" w:type="dxa"/>
              <w:right w:w="57" w:type="dxa"/>
            </w:tcMar>
            <w:vAlign w:val="center"/>
          </w:tcPr>
          <w:p w14:paraId="61EDE1C2">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0.0304</w:t>
            </w:r>
          </w:p>
        </w:tc>
        <w:tc>
          <w:tcPr>
            <w:tcW w:w="447" w:type="pct"/>
            <w:tcMar>
              <w:top w:w="0" w:type="dxa"/>
              <w:left w:w="57" w:type="dxa"/>
              <w:bottom w:w="0" w:type="dxa"/>
              <w:right w:w="57" w:type="dxa"/>
            </w:tcMar>
            <w:vAlign w:val="center"/>
          </w:tcPr>
          <w:p w14:paraId="5DF5BA60">
            <w:pPr>
              <w:pStyle w:val="20"/>
              <w:bidi w:val="0"/>
              <w:rPr>
                <w:rFonts w:hint="default"/>
                <w:color w:val="auto"/>
                <w:highlight w:val="none"/>
                <w:lang w:val="en-US" w:eastAsia="zh-CN"/>
              </w:rPr>
            </w:pPr>
            <w:r>
              <w:rPr>
                <w:rFonts w:hint="eastAsia"/>
                <w:color w:val="auto"/>
                <w:highlight w:val="none"/>
                <w:lang w:val="en-US" w:eastAsia="zh-CN"/>
              </w:rPr>
              <w:t>+0.0220</w:t>
            </w:r>
          </w:p>
        </w:tc>
      </w:tr>
      <w:tr w14:paraId="4E4F7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06CB1E02">
            <w:pPr>
              <w:pStyle w:val="20"/>
              <w:bidi w:val="0"/>
              <w:rPr>
                <w:color w:val="auto"/>
                <w:highlight w:val="none"/>
              </w:rPr>
            </w:pPr>
          </w:p>
        </w:tc>
        <w:tc>
          <w:tcPr>
            <w:tcW w:w="839" w:type="pct"/>
            <w:shd w:val="clear" w:color="auto" w:fill="auto"/>
            <w:tcMar>
              <w:top w:w="0" w:type="dxa"/>
              <w:left w:w="57" w:type="dxa"/>
              <w:bottom w:w="0" w:type="dxa"/>
              <w:right w:w="57" w:type="dxa"/>
            </w:tcMar>
            <w:vAlign w:val="center"/>
          </w:tcPr>
          <w:p w14:paraId="1B281B7B">
            <w:pPr>
              <w:pStyle w:val="20"/>
              <w:bidi w:val="0"/>
              <w:rPr>
                <w:rFonts w:hint="default"/>
                <w:color w:val="auto"/>
                <w:highlight w:val="none"/>
                <w:lang w:val="en-US" w:eastAsia="zh-CN"/>
              </w:rPr>
            </w:pPr>
            <w:r>
              <w:rPr>
                <w:rFonts w:hint="eastAsia"/>
                <w:color w:val="auto"/>
                <w:highlight w:val="none"/>
              </w:rPr>
              <w:t>SS</w:t>
            </w:r>
          </w:p>
        </w:tc>
        <w:tc>
          <w:tcPr>
            <w:tcW w:w="566" w:type="pct"/>
            <w:shd w:val="clear" w:color="auto" w:fill="auto"/>
            <w:tcMar>
              <w:top w:w="0" w:type="dxa"/>
              <w:left w:w="57" w:type="dxa"/>
              <w:bottom w:w="0" w:type="dxa"/>
              <w:right w:w="57" w:type="dxa"/>
            </w:tcMar>
            <w:vAlign w:val="center"/>
          </w:tcPr>
          <w:p w14:paraId="33B15BC6">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0.0294</w:t>
            </w:r>
          </w:p>
        </w:tc>
        <w:tc>
          <w:tcPr>
            <w:tcW w:w="462" w:type="pct"/>
            <w:tcMar>
              <w:top w:w="0" w:type="dxa"/>
              <w:left w:w="57" w:type="dxa"/>
              <w:bottom w:w="0" w:type="dxa"/>
              <w:right w:w="57" w:type="dxa"/>
            </w:tcMar>
            <w:vAlign w:val="center"/>
          </w:tcPr>
          <w:p w14:paraId="7CE04C85">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3248D17A">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1CBB61F9">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0.0769</w:t>
            </w:r>
          </w:p>
        </w:tc>
        <w:tc>
          <w:tcPr>
            <w:tcW w:w="490" w:type="pct"/>
            <w:tcMar>
              <w:top w:w="0" w:type="dxa"/>
              <w:left w:w="57" w:type="dxa"/>
              <w:bottom w:w="0" w:type="dxa"/>
              <w:right w:w="57" w:type="dxa"/>
            </w:tcMar>
            <w:vAlign w:val="center"/>
          </w:tcPr>
          <w:p w14:paraId="51DEC1EC">
            <w:pPr>
              <w:pStyle w:val="20"/>
              <w:bidi w:val="0"/>
              <w:rPr>
                <w:color w:val="auto"/>
                <w:highlight w:val="none"/>
              </w:rPr>
            </w:pPr>
            <w:r>
              <w:rPr>
                <w:rFonts w:hint="eastAsia"/>
                <w:color w:val="auto"/>
                <w:highlight w:val="none"/>
              </w:rPr>
              <w:t>/</w:t>
            </w:r>
          </w:p>
        </w:tc>
        <w:tc>
          <w:tcPr>
            <w:tcW w:w="594" w:type="pct"/>
            <w:shd w:val="clear" w:color="auto" w:fill="auto"/>
            <w:tcMar>
              <w:top w:w="0" w:type="dxa"/>
              <w:left w:w="57" w:type="dxa"/>
              <w:bottom w:w="0" w:type="dxa"/>
              <w:right w:w="57" w:type="dxa"/>
            </w:tcMar>
            <w:vAlign w:val="center"/>
          </w:tcPr>
          <w:p w14:paraId="35377704">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0.1063</w:t>
            </w:r>
          </w:p>
        </w:tc>
        <w:tc>
          <w:tcPr>
            <w:tcW w:w="447" w:type="pct"/>
            <w:tcMar>
              <w:top w:w="0" w:type="dxa"/>
              <w:left w:w="57" w:type="dxa"/>
              <w:bottom w:w="0" w:type="dxa"/>
              <w:right w:w="57" w:type="dxa"/>
            </w:tcMar>
            <w:vAlign w:val="center"/>
          </w:tcPr>
          <w:p w14:paraId="1FDD7FBB">
            <w:pPr>
              <w:pStyle w:val="20"/>
              <w:bidi w:val="0"/>
              <w:rPr>
                <w:rFonts w:hint="default"/>
                <w:color w:val="auto"/>
                <w:highlight w:val="none"/>
                <w:lang w:val="en-US" w:eastAsia="zh-CN"/>
              </w:rPr>
            </w:pPr>
            <w:r>
              <w:rPr>
                <w:rFonts w:hint="eastAsia"/>
                <w:color w:val="auto"/>
                <w:highlight w:val="none"/>
                <w:lang w:val="en-US" w:eastAsia="zh-CN"/>
              </w:rPr>
              <w:t>+0.0769</w:t>
            </w:r>
          </w:p>
        </w:tc>
      </w:tr>
      <w:tr w14:paraId="3B9B4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297E7177">
            <w:pPr>
              <w:pStyle w:val="20"/>
              <w:bidi w:val="0"/>
              <w:rPr>
                <w:color w:val="auto"/>
                <w:highlight w:val="none"/>
              </w:rPr>
            </w:pPr>
          </w:p>
        </w:tc>
        <w:tc>
          <w:tcPr>
            <w:tcW w:w="839" w:type="pct"/>
            <w:shd w:val="clear" w:color="auto" w:fill="auto"/>
            <w:tcMar>
              <w:top w:w="0" w:type="dxa"/>
              <w:left w:w="57" w:type="dxa"/>
              <w:bottom w:w="0" w:type="dxa"/>
              <w:right w:w="57" w:type="dxa"/>
            </w:tcMar>
            <w:vAlign w:val="center"/>
          </w:tcPr>
          <w:p w14:paraId="4296A9D3">
            <w:pPr>
              <w:pStyle w:val="20"/>
              <w:bidi w:val="0"/>
              <w:rPr>
                <w:rFonts w:hint="default"/>
                <w:color w:val="auto"/>
                <w:highlight w:val="none"/>
                <w:lang w:val="en-US" w:eastAsia="zh-CN"/>
              </w:rPr>
            </w:pPr>
            <w:r>
              <w:rPr>
                <w:rFonts w:hint="eastAsia"/>
                <w:color w:val="auto"/>
                <w:highlight w:val="none"/>
                <w:lang w:val="en-US" w:eastAsia="zh-CN"/>
              </w:rPr>
              <w:t>氨氮</w:t>
            </w:r>
          </w:p>
        </w:tc>
        <w:tc>
          <w:tcPr>
            <w:tcW w:w="566" w:type="pct"/>
            <w:shd w:val="clear" w:color="auto" w:fill="auto"/>
            <w:tcMar>
              <w:top w:w="0" w:type="dxa"/>
              <w:left w:w="57" w:type="dxa"/>
              <w:bottom w:w="0" w:type="dxa"/>
              <w:right w:w="57" w:type="dxa"/>
            </w:tcMar>
            <w:vAlign w:val="center"/>
          </w:tcPr>
          <w:p w14:paraId="319AB569">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0.0063</w:t>
            </w:r>
          </w:p>
        </w:tc>
        <w:tc>
          <w:tcPr>
            <w:tcW w:w="462" w:type="pct"/>
            <w:tcMar>
              <w:top w:w="0" w:type="dxa"/>
              <w:left w:w="57" w:type="dxa"/>
              <w:bottom w:w="0" w:type="dxa"/>
              <w:right w:w="57" w:type="dxa"/>
            </w:tcMar>
            <w:vAlign w:val="center"/>
          </w:tcPr>
          <w:p w14:paraId="442B05E6">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10B96BC0">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4726B177">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0.0165</w:t>
            </w:r>
          </w:p>
        </w:tc>
        <w:tc>
          <w:tcPr>
            <w:tcW w:w="490" w:type="pct"/>
            <w:tcMar>
              <w:top w:w="0" w:type="dxa"/>
              <w:left w:w="57" w:type="dxa"/>
              <w:bottom w:w="0" w:type="dxa"/>
              <w:right w:w="57" w:type="dxa"/>
            </w:tcMar>
            <w:vAlign w:val="center"/>
          </w:tcPr>
          <w:p w14:paraId="54B2E3FA">
            <w:pPr>
              <w:pStyle w:val="20"/>
              <w:bidi w:val="0"/>
              <w:rPr>
                <w:color w:val="auto"/>
                <w:highlight w:val="none"/>
              </w:rPr>
            </w:pPr>
            <w:r>
              <w:rPr>
                <w:rFonts w:hint="eastAsia"/>
                <w:color w:val="auto"/>
                <w:highlight w:val="none"/>
              </w:rPr>
              <w:t>/</w:t>
            </w:r>
          </w:p>
        </w:tc>
        <w:tc>
          <w:tcPr>
            <w:tcW w:w="594" w:type="pct"/>
            <w:shd w:val="clear" w:color="auto" w:fill="auto"/>
            <w:tcMar>
              <w:top w:w="0" w:type="dxa"/>
              <w:left w:w="57" w:type="dxa"/>
              <w:bottom w:w="0" w:type="dxa"/>
              <w:right w:w="57" w:type="dxa"/>
            </w:tcMar>
            <w:vAlign w:val="center"/>
          </w:tcPr>
          <w:p w14:paraId="2B7FD8B7">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0.0228</w:t>
            </w:r>
          </w:p>
        </w:tc>
        <w:tc>
          <w:tcPr>
            <w:tcW w:w="447" w:type="pct"/>
            <w:tcMar>
              <w:top w:w="0" w:type="dxa"/>
              <w:left w:w="57" w:type="dxa"/>
              <w:bottom w:w="0" w:type="dxa"/>
              <w:right w:w="57" w:type="dxa"/>
            </w:tcMar>
            <w:vAlign w:val="center"/>
          </w:tcPr>
          <w:p w14:paraId="67E19A2C">
            <w:pPr>
              <w:pStyle w:val="20"/>
              <w:bidi w:val="0"/>
              <w:rPr>
                <w:color w:val="auto"/>
                <w:highlight w:val="none"/>
                <w:lang w:val="en-US" w:eastAsia="zh-CN"/>
              </w:rPr>
            </w:pPr>
            <w:r>
              <w:rPr>
                <w:rFonts w:hint="eastAsia"/>
                <w:color w:val="auto"/>
                <w:highlight w:val="none"/>
                <w:lang w:val="en-US" w:eastAsia="zh-CN"/>
              </w:rPr>
              <w:t>+0.0165</w:t>
            </w:r>
          </w:p>
        </w:tc>
      </w:tr>
      <w:tr w14:paraId="66D2C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1090D974">
            <w:pPr>
              <w:pStyle w:val="20"/>
              <w:bidi w:val="0"/>
              <w:rPr>
                <w:color w:val="auto"/>
                <w:highlight w:val="none"/>
              </w:rPr>
            </w:pPr>
          </w:p>
        </w:tc>
        <w:tc>
          <w:tcPr>
            <w:tcW w:w="839" w:type="pct"/>
            <w:shd w:val="clear" w:color="auto" w:fill="auto"/>
            <w:tcMar>
              <w:top w:w="0" w:type="dxa"/>
              <w:left w:w="57" w:type="dxa"/>
              <w:bottom w:w="0" w:type="dxa"/>
              <w:right w:w="57" w:type="dxa"/>
            </w:tcMar>
            <w:vAlign w:val="center"/>
          </w:tcPr>
          <w:p w14:paraId="6A0EA0F9">
            <w:pPr>
              <w:pStyle w:val="20"/>
              <w:bidi w:val="0"/>
              <w:rPr>
                <w:rFonts w:hint="default"/>
                <w:color w:val="auto"/>
                <w:highlight w:val="none"/>
                <w:lang w:val="en-US" w:eastAsia="zh-CN"/>
              </w:rPr>
            </w:pPr>
            <w:r>
              <w:rPr>
                <w:rFonts w:hint="eastAsia"/>
                <w:color w:val="auto"/>
                <w:highlight w:val="none"/>
                <w:lang w:val="en-US" w:eastAsia="zh-CN"/>
              </w:rPr>
              <w:t>石油类</w:t>
            </w:r>
          </w:p>
        </w:tc>
        <w:tc>
          <w:tcPr>
            <w:tcW w:w="566" w:type="pct"/>
            <w:shd w:val="clear" w:color="auto" w:fill="auto"/>
            <w:tcMar>
              <w:top w:w="0" w:type="dxa"/>
              <w:left w:w="57" w:type="dxa"/>
              <w:bottom w:w="0" w:type="dxa"/>
              <w:right w:w="57" w:type="dxa"/>
            </w:tcMar>
            <w:vAlign w:val="center"/>
          </w:tcPr>
          <w:p w14:paraId="4FF507B5">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0.0021</w:t>
            </w:r>
          </w:p>
        </w:tc>
        <w:tc>
          <w:tcPr>
            <w:tcW w:w="462" w:type="pct"/>
            <w:tcMar>
              <w:top w:w="0" w:type="dxa"/>
              <w:left w:w="57" w:type="dxa"/>
              <w:bottom w:w="0" w:type="dxa"/>
              <w:right w:w="57" w:type="dxa"/>
            </w:tcMar>
            <w:vAlign w:val="center"/>
          </w:tcPr>
          <w:p w14:paraId="0F30E1A7">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5A5CBAA3">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6D26BFAA">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0.0055</w:t>
            </w:r>
          </w:p>
        </w:tc>
        <w:tc>
          <w:tcPr>
            <w:tcW w:w="490" w:type="pct"/>
            <w:tcMar>
              <w:top w:w="0" w:type="dxa"/>
              <w:left w:w="57" w:type="dxa"/>
              <w:bottom w:w="0" w:type="dxa"/>
              <w:right w:w="57" w:type="dxa"/>
            </w:tcMar>
            <w:vAlign w:val="center"/>
          </w:tcPr>
          <w:p w14:paraId="4381F1CE">
            <w:pPr>
              <w:pStyle w:val="20"/>
              <w:bidi w:val="0"/>
              <w:rPr>
                <w:color w:val="auto"/>
                <w:highlight w:val="none"/>
              </w:rPr>
            </w:pPr>
            <w:r>
              <w:rPr>
                <w:rFonts w:hint="eastAsia"/>
                <w:color w:val="auto"/>
                <w:highlight w:val="none"/>
              </w:rPr>
              <w:t>/</w:t>
            </w:r>
          </w:p>
        </w:tc>
        <w:tc>
          <w:tcPr>
            <w:tcW w:w="594" w:type="pct"/>
            <w:shd w:val="clear" w:color="auto" w:fill="auto"/>
            <w:tcMar>
              <w:top w:w="0" w:type="dxa"/>
              <w:left w:w="57" w:type="dxa"/>
              <w:bottom w:w="0" w:type="dxa"/>
              <w:right w:w="57" w:type="dxa"/>
            </w:tcMar>
            <w:vAlign w:val="center"/>
          </w:tcPr>
          <w:p w14:paraId="783FA3F9">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0.0076</w:t>
            </w:r>
          </w:p>
        </w:tc>
        <w:tc>
          <w:tcPr>
            <w:tcW w:w="447" w:type="pct"/>
            <w:tcMar>
              <w:top w:w="0" w:type="dxa"/>
              <w:left w:w="57" w:type="dxa"/>
              <w:bottom w:w="0" w:type="dxa"/>
              <w:right w:w="57" w:type="dxa"/>
            </w:tcMar>
            <w:vAlign w:val="center"/>
          </w:tcPr>
          <w:p w14:paraId="260BD349">
            <w:pPr>
              <w:pStyle w:val="20"/>
              <w:bidi w:val="0"/>
              <w:rPr>
                <w:color w:val="auto"/>
                <w:highlight w:val="none"/>
                <w:lang w:val="en-US" w:eastAsia="zh-CN"/>
              </w:rPr>
            </w:pPr>
            <w:r>
              <w:rPr>
                <w:rFonts w:hint="eastAsia"/>
                <w:color w:val="auto"/>
                <w:highlight w:val="none"/>
                <w:lang w:val="en-US" w:eastAsia="zh-CN"/>
              </w:rPr>
              <w:t>+0.0055</w:t>
            </w:r>
          </w:p>
        </w:tc>
      </w:tr>
      <w:tr w14:paraId="50627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5EBD8BC1">
            <w:pPr>
              <w:pStyle w:val="20"/>
              <w:bidi w:val="0"/>
              <w:rPr>
                <w:color w:val="auto"/>
                <w:highlight w:val="none"/>
              </w:rPr>
            </w:pPr>
          </w:p>
        </w:tc>
        <w:tc>
          <w:tcPr>
            <w:tcW w:w="839" w:type="pct"/>
            <w:shd w:val="clear" w:color="auto" w:fill="auto"/>
            <w:tcMar>
              <w:top w:w="0" w:type="dxa"/>
              <w:left w:w="57" w:type="dxa"/>
              <w:bottom w:w="0" w:type="dxa"/>
              <w:right w:w="57" w:type="dxa"/>
            </w:tcMar>
            <w:vAlign w:val="center"/>
          </w:tcPr>
          <w:p w14:paraId="79434FC2">
            <w:pPr>
              <w:pStyle w:val="20"/>
              <w:bidi w:val="0"/>
              <w:rPr>
                <w:rFonts w:hint="eastAsia"/>
                <w:color w:val="auto"/>
                <w:highlight w:val="none"/>
                <w:lang w:val="en-US" w:eastAsia="zh-CN"/>
              </w:rPr>
            </w:pPr>
            <w:r>
              <w:rPr>
                <w:rFonts w:hint="eastAsia"/>
                <w:color w:val="auto"/>
                <w:highlight w:val="none"/>
                <w:lang w:val="en-US" w:eastAsia="zh-CN"/>
              </w:rPr>
              <w:t>TP</w:t>
            </w:r>
          </w:p>
        </w:tc>
        <w:tc>
          <w:tcPr>
            <w:tcW w:w="566" w:type="pct"/>
            <w:shd w:val="clear" w:color="auto" w:fill="auto"/>
            <w:tcMar>
              <w:top w:w="0" w:type="dxa"/>
              <w:left w:w="57" w:type="dxa"/>
              <w:bottom w:w="0" w:type="dxa"/>
              <w:right w:w="57" w:type="dxa"/>
            </w:tcMar>
            <w:vAlign w:val="center"/>
          </w:tcPr>
          <w:p w14:paraId="68322FF1">
            <w:pPr>
              <w:pStyle w:val="20"/>
              <w:bidi w:val="0"/>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0.0002</w:t>
            </w:r>
          </w:p>
        </w:tc>
        <w:tc>
          <w:tcPr>
            <w:tcW w:w="462" w:type="pct"/>
            <w:tcMar>
              <w:top w:w="0" w:type="dxa"/>
              <w:left w:w="57" w:type="dxa"/>
              <w:bottom w:w="0" w:type="dxa"/>
              <w:right w:w="57" w:type="dxa"/>
            </w:tcMar>
            <w:vAlign w:val="center"/>
          </w:tcPr>
          <w:p w14:paraId="28306F4A">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4381346C">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2DE0AFB7">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0.0006</w:t>
            </w:r>
          </w:p>
        </w:tc>
        <w:tc>
          <w:tcPr>
            <w:tcW w:w="490" w:type="pct"/>
            <w:tcMar>
              <w:top w:w="0" w:type="dxa"/>
              <w:left w:w="57" w:type="dxa"/>
              <w:bottom w:w="0" w:type="dxa"/>
              <w:right w:w="57" w:type="dxa"/>
            </w:tcMar>
            <w:vAlign w:val="center"/>
          </w:tcPr>
          <w:p w14:paraId="5C16653B">
            <w:pPr>
              <w:pStyle w:val="20"/>
              <w:bidi w:val="0"/>
              <w:rPr>
                <w:color w:val="auto"/>
                <w:highlight w:val="none"/>
              </w:rPr>
            </w:pPr>
            <w:r>
              <w:rPr>
                <w:rFonts w:hint="eastAsia"/>
                <w:color w:val="auto"/>
                <w:highlight w:val="none"/>
              </w:rPr>
              <w:t>/</w:t>
            </w:r>
          </w:p>
        </w:tc>
        <w:tc>
          <w:tcPr>
            <w:tcW w:w="594" w:type="pct"/>
            <w:shd w:val="clear" w:color="auto" w:fill="auto"/>
            <w:tcMar>
              <w:top w:w="0" w:type="dxa"/>
              <w:left w:w="57" w:type="dxa"/>
              <w:bottom w:w="0" w:type="dxa"/>
              <w:right w:w="57" w:type="dxa"/>
            </w:tcMar>
            <w:vAlign w:val="center"/>
          </w:tcPr>
          <w:p w14:paraId="3A07C6E7">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0.0008</w:t>
            </w:r>
          </w:p>
        </w:tc>
        <w:tc>
          <w:tcPr>
            <w:tcW w:w="447" w:type="pct"/>
            <w:tcMar>
              <w:top w:w="0" w:type="dxa"/>
              <w:left w:w="57" w:type="dxa"/>
              <w:bottom w:w="0" w:type="dxa"/>
              <w:right w:w="57" w:type="dxa"/>
            </w:tcMar>
            <w:vAlign w:val="center"/>
          </w:tcPr>
          <w:p w14:paraId="38CA7F43">
            <w:pPr>
              <w:pStyle w:val="20"/>
              <w:bidi w:val="0"/>
              <w:rPr>
                <w:color w:val="auto"/>
                <w:highlight w:val="none"/>
                <w:lang w:val="en-US" w:eastAsia="zh-CN"/>
              </w:rPr>
            </w:pPr>
            <w:r>
              <w:rPr>
                <w:rFonts w:hint="eastAsia"/>
                <w:color w:val="auto"/>
                <w:highlight w:val="none"/>
                <w:lang w:val="en-US" w:eastAsia="zh-CN"/>
              </w:rPr>
              <w:t>+0.0006</w:t>
            </w:r>
          </w:p>
        </w:tc>
      </w:tr>
      <w:tr w14:paraId="7636E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26FF1866">
            <w:pPr>
              <w:pStyle w:val="20"/>
              <w:bidi w:val="0"/>
              <w:rPr>
                <w:color w:val="auto"/>
                <w:highlight w:val="none"/>
              </w:rPr>
            </w:pPr>
          </w:p>
        </w:tc>
        <w:tc>
          <w:tcPr>
            <w:tcW w:w="839" w:type="pct"/>
            <w:shd w:val="clear" w:color="auto" w:fill="auto"/>
            <w:tcMar>
              <w:top w:w="0" w:type="dxa"/>
              <w:left w:w="57" w:type="dxa"/>
              <w:bottom w:w="0" w:type="dxa"/>
              <w:right w:w="57" w:type="dxa"/>
            </w:tcMar>
            <w:vAlign w:val="center"/>
          </w:tcPr>
          <w:p w14:paraId="67DB1722">
            <w:pPr>
              <w:pStyle w:val="20"/>
              <w:bidi w:val="0"/>
              <w:rPr>
                <w:rFonts w:hint="default"/>
                <w:color w:val="auto"/>
                <w:highlight w:val="none"/>
                <w:lang w:val="en-US" w:eastAsia="zh-CN"/>
              </w:rPr>
            </w:pPr>
            <w:r>
              <w:rPr>
                <w:rFonts w:hint="eastAsia"/>
                <w:color w:val="auto"/>
                <w:highlight w:val="none"/>
                <w:lang w:val="en-US" w:eastAsia="zh-CN"/>
              </w:rPr>
              <w:t>TN</w:t>
            </w:r>
          </w:p>
        </w:tc>
        <w:tc>
          <w:tcPr>
            <w:tcW w:w="566" w:type="pct"/>
            <w:shd w:val="clear" w:color="auto" w:fill="auto"/>
            <w:tcMar>
              <w:top w:w="0" w:type="dxa"/>
              <w:left w:w="57" w:type="dxa"/>
              <w:bottom w:w="0" w:type="dxa"/>
              <w:right w:w="57" w:type="dxa"/>
            </w:tcMar>
            <w:vAlign w:val="center"/>
          </w:tcPr>
          <w:p w14:paraId="01F4ECDC">
            <w:pPr>
              <w:pStyle w:val="20"/>
              <w:bidi w:val="0"/>
              <w:rPr>
                <w:rFonts w:hint="default"/>
                <w:color w:val="auto"/>
                <w:highlight w:val="none"/>
                <w:lang w:val="en-US" w:eastAsia="zh-CN"/>
              </w:rPr>
            </w:pPr>
            <w:r>
              <w:rPr>
                <w:rFonts w:hint="eastAsia"/>
                <w:color w:val="auto"/>
                <w:highlight w:val="none"/>
                <w:lang w:val="en-US" w:eastAsia="zh-CN"/>
              </w:rPr>
              <w:t>/</w:t>
            </w:r>
          </w:p>
        </w:tc>
        <w:tc>
          <w:tcPr>
            <w:tcW w:w="462" w:type="pct"/>
            <w:tcMar>
              <w:top w:w="0" w:type="dxa"/>
              <w:left w:w="57" w:type="dxa"/>
              <w:bottom w:w="0" w:type="dxa"/>
              <w:right w:w="57" w:type="dxa"/>
            </w:tcMar>
            <w:vAlign w:val="center"/>
          </w:tcPr>
          <w:p w14:paraId="08C7E4DB">
            <w:pPr>
              <w:pStyle w:val="20"/>
              <w:bidi w:val="0"/>
              <w:rPr>
                <w:rFonts w:hint="eastAsia" w:eastAsia="宋体"/>
                <w:color w:val="auto"/>
                <w:highlight w:val="none"/>
                <w:lang w:val="en-US" w:eastAsia="zh-CN"/>
              </w:rPr>
            </w:pPr>
            <w:r>
              <w:rPr>
                <w:rFonts w:hint="eastAsia"/>
                <w:color w:val="auto"/>
                <w:highlight w:val="none"/>
                <w:lang w:val="en-US" w:eastAsia="zh-CN"/>
              </w:rPr>
              <w:t>/</w:t>
            </w:r>
          </w:p>
        </w:tc>
        <w:tc>
          <w:tcPr>
            <w:tcW w:w="499" w:type="pct"/>
            <w:tcMar>
              <w:top w:w="0" w:type="dxa"/>
              <w:left w:w="57" w:type="dxa"/>
              <w:bottom w:w="0" w:type="dxa"/>
              <w:right w:w="57" w:type="dxa"/>
            </w:tcMar>
            <w:vAlign w:val="center"/>
          </w:tcPr>
          <w:p w14:paraId="3C71434C">
            <w:pPr>
              <w:pStyle w:val="20"/>
              <w:bidi w:val="0"/>
              <w:rPr>
                <w:rFonts w:hint="eastAsia" w:eastAsia="宋体"/>
                <w:color w:val="auto"/>
                <w:highlight w:val="none"/>
                <w:lang w:val="en-US" w:eastAsia="zh-CN"/>
              </w:rPr>
            </w:pPr>
            <w:r>
              <w:rPr>
                <w:rFonts w:hint="eastAsia"/>
                <w:color w:val="auto"/>
                <w:highlight w:val="none"/>
                <w:lang w:val="en-US" w:eastAsia="zh-CN"/>
              </w:rPr>
              <w:t>/</w:t>
            </w:r>
          </w:p>
        </w:tc>
        <w:tc>
          <w:tcPr>
            <w:tcW w:w="556" w:type="pct"/>
            <w:tcMar>
              <w:top w:w="0" w:type="dxa"/>
              <w:left w:w="57" w:type="dxa"/>
              <w:bottom w:w="0" w:type="dxa"/>
              <w:right w:w="57" w:type="dxa"/>
            </w:tcMar>
            <w:vAlign w:val="center"/>
          </w:tcPr>
          <w:p w14:paraId="2E6F270B">
            <w:pPr>
              <w:pStyle w:val="20"/>
              <w:bidi w:val="0"/>
              <w:rPr>
                <w:rFonts w:hint="default"/>
                <w:color w:val="auto"/>
                <w:highlight w:val="none"/>
                <w:lang w:val="en-US" w:eastAsia="zh-CN"/>
              </w:rPr>
            </w:pPr>
            <w:r>
              <w:rPr>
                <w:rFonts w:hint="eastAsia"/>
                <w:color w:val="auto"/>
                <w:highlight w:val="none"/>
                <w:lang w:val="en-US" w:eastAsia="zh-CN"/>
              </w:rPr>
              <w:t>/</w:t>
            </w:r>
          </w:p>
        </w:tc>
        <w:tc>
          <w:tcPr>
            <w:tcW w:w="490" w:type="pct"/>
            <w:tcMar>
              <w:top w:w="0" w:type="dxa"/>
              <w:left w:w="57" w:type="dxa"/>
              <w:bottom w:w="0" w:type="dxa"/>
              <w:right w:w="57" w:type="dxa"/>
            </w:tcMar>
            <w:vAlign w:val="center"/>
          </w:tcPr>
          <w:p w14:paraId="232BA803">
            <w:pPr>
              <w:pStyle w:val="20"/>
              <w:bidi w:val="0"/>
              <w:rPr>
                <w:rFonts w:hint="eastAsia" w:eastAsia="宋体"/>
                <w:color w:val="auto"/>
                <w:highlight w:val="none"/>
                <w:lang w:val="en-US" w:eastAsia="zh-CN"/>
              </w:rPr>
            </w:pPr>
            <w:r>
              <w:rPr>
                <w:rFonts w:hint="eastAsia"/>
                <w:color w:val="auto"/>
                <w:highlight w:val="none"/>
                <w:lang w:val="en-US" w:eastAsia="zh-CN"/>
              </w:rPr>
              <w:t>/</w:t>
            </w:r>
          </w:p>
        </w:tc>
        <w:tc>
          <w:tcPr>
            <w:tcW w:w="594" w:type="pct"/>
            <w:tcMar>
              <w:top w:w="0" w:type="dxa"/>
              <w:left w:w="57" w:type="dxa"/>
              <w:bottom w:w="0" w:type="dxa"/>
              <w:right w:w="57" w:type="dxa"/>
            </w:tcMar>
            <w:vAlign w:val="center"/>
          </w:tcPr>
          <w:p w14:paraId="60232233">
            <w:pPr>
              <w:pStyle w:val="20"/>
              <w:bidi w:val="0"/>
              <w:rPr>
                <w:rFonts w:hint="default"/>
                <w:color w:val="auto"/>
                <w:highlight w:val="none"/>
                <w:lang w:val="en-US" w:eastAsia="zh-CN"/>
              </w:rPr>
            </w:pPr>
            <w:r>
              <w:rPr>
                <w:rFonts w:hint="eastAsia"/>
                <w:color w:val="auto"/>
                <w:highlight w:val="none"/>
                <w:lang w:val="en-US" w:eastAsia="zh-CN"/>
              </w:rPr>
              <w:t>/</w:t>
            </w:r>
          </w:p>
        </w:tc>
        <w:tc>
          <w:tcPr>
            <w:tcW w:w="447" w:type="pct"/>
            <w:tcMar>
              <w:top w:w="0" w:type="dxa"/>
              <w:left w:w="57" w:type="dxa"/>
              <w:bottom w:w="0" w:type="dxa"/>
              <w:right w:w="57" w:type="dxa"/>
            </w:tcMar>
            <w:vAlign w:val="center"/>
          </w:tcPr>
          <w:p w14:paraId="4609214B">
            <w:pPr>
              <w:pStyle w:val="20"/>
              <w:bidi w:val="0"/>
              <w:rPr>
                <w:rFonts w:hint="eastAsia"/>
                <w:color w:val="auto"/>
                <w:highlight w:val="none"/>
                <w:lang w:val="en-US" w:eastAsia="zh-CN"/>
              </w:rPr>
            </w:pPr>
          </w:p>
        </w:tc>
      </w:tr>
      <w:tr w14:paraId="5EBFD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restart"/>
            <w:tcMar>
              <w:top w:w="0" w:type="dxa"/>
              <w:left w:w="57" w:type="dxa"/>
              <w:bottom w:w="0" w:type="dxa"/>
              <w:right w:w="57" w:type="dxa"/>
            </w:tcMar>
            <w:vAlign w:val="center"/>
          </w:tcPr>
          <w:p w14:paraId="2ED88408">
            <w:pPr>
              <w:pStyle w:val="20"/>
              <w:bidi w:val="0"/>
              <w:rPr>
                <w:color w:val="auto"/>
                <w:highlight w:val="none"/>
              </w:rPr>
            </w:pPr>
            <w:r>
              <w:rPr>
                <w:rFonts w:hint="eastAsia"/>
                <w:color w:val="auto"/>
                <w:highlight w:val="none"/>
              </w:rPr>
              <w:t>一般工业固体废物</w:t>
            </w:r>
          </w:p>
        </w:tc>
        <w:tc>
          <w:tcPr>
            <w:tcW w:w="839" w:type="pct"/>
            <w:shd w:val="clear" w:color="auto" w:fill="auto"/>
            <w:tcMar>
              <w:top w:w="0" w:type="dxa"/>
              <w:left w:w="57" w:type="dxa"/>
              <w:bottom w:w="0" w:type="dxa"/>
              <w:right w:w="57" w:type="dxa"/>
            </w:tcMar>
            <w:vAlign w:val="center"/>
          </w:tcPr>
          <w:p w14:paraId="733A85FA">
            <w:pPr>
              <w:pStyle w:val="20"/>
              <w:bidi w:val="0"/>
              <w:rPr>
                <w:rFonts w:hint="default"/>
                <w:color w:val="auto"/>
                <w:highlight w:val="none"/>
                <w:lang w:val="en-US" w:eastAsia="zh-CN"/>
              </w:rPr>
            </w:pPr>
            <w:r>
              <w:rPr>
                <w:rFonts w:hint="eastAsia"/>
                <w:color w:val="auto"/>
                <w:highlight w:val="none"/>
                <w:lang w:val="en-US" w:eastAsia="zh-CN"/>
              </w:rPr>
              <w:t>废原料包装</w:t>
            </w:r>
          </w:p>
        </w:tc>
        <w:tc>
          <w:tcPr>
            <w:tcW w:w="566" w:type="pct"/>
            <w:shd w:val="clear" w:color="auto" w:fill="auto"/>
            <w:tcMar>
              <w:top w:w="0" w:type="dxa"/>
              <w:left w:w="57" w:type="dxa"/>
              <w:bottom w:w="0" w:type="dxa"/>
              <w:right w:w="57" w:type="dxa"/>
            </w:tcMar>
            <w:vAlign w:val="center"/>
          </w:tcPr>
          <w:p w14:paraId="141A976E">
            <w:pPr>
              <w:pStyle w:val="20"/>
              <w:bidi w:val="0"/>
              <w:rPr>
                <w:rFonts w:hint="default"/>
                <w:color w:val="auto"/>
                <w:highlight w:val="none"/>
                <w:lang w:val="en-US" w:eastAsia="zh-CN"/>
              </w:rPr>
            </w:pPr>
            <w:r>
              <w:rPr>
                <w:rFonts w:hint="eastAsia"/>
                <w:color w:val="auto"/>
                <w:highlight w:val="none"/>
                <w:lang w:val="en-US" w:eastAsia="zh-CN"/>
              </w:rPr>
              <w:t>0.127</w:t>
            </w:r>
          </w:p>
        </w:tc>
        <w:tc>
          <w:tcPr>
            <w:tcW w:w="462" w:type="pct"/>
            <w:tcMar>
              <w:top w:w="0" w:type="dxa"/>
              <w:left w:w="57" w:type="dxa"/>
              <w:bottom w:w="0" w:type="dxa"/>
              <w:right w:w="57" w:type="dxa"/>
            </w:tcMar>
            <w:vAlign w:val="center"/>
          </w:tcPr>
          <w:p w14:paraId="5F1EE384">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194939D4">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5833A39A">
            <w:pPr>
              <w:pStyle w:val="20"/>
              <w:bidi w:val="0"/>
              <w:rPr>
                <w:rFonts w:hint="eastAsia"/>
                <w:color w:val="auto"/>
                <w:highlight w:val="none"/>
                <w:lang w:val="en-US" w:eastAsia="zh-CN"/>
              </w:rPr>
            </w:pPr>
            <w:r>
              <w:rPr>
                <w:rFonts w:hint="default"/>
                <w:color w:val="auto"/>
                <w:highlight w:val="none"/>
                <w:lang w:val="en-US" w:eastAsia="zh-CN"/>
              </w:rPr>
              <w:t>0.85</w:t>
            </w:r>
          </w:p>
        </w:tc>
        <w:tc>
          <w:tcPr>
            <w:tcW w:w="490" w:type="pct"/>
            <w:tcMar>
              <w:top w:w="0" w:type="dxa"/>
              <w:left w:w="57" w:type="dxa"/>
              <w:bottom w:w="0" w:type="dxa"/>
              <w:right w:w="57" w:type="dxa"/>
            </w:tcMar>
            <w:vAlign w:val="center"/>
          </w:tcPr>
          <w:p w14:paraId="4511CB9D">
            <w:pPr>
              <w:pStyle w:val="20"/>
              <w:bidi w:val="0"/>
              <w:rPr>
                <w:color w:val="auto"/>
                <w:highlight w:val="none"/>
              </w:rPr>
            </w:pPr>
            <w:r>
              <w:rPr>
                <w:rFonts w:hint="eastAsia"/>
                <w:color w:val="auto"/>
                <w:highlight w:val="none"/>
              </w:rPr>
              <w:t>/</w:t>
            </w:r>
          </w:p>
        </w:tc>
        <w:tc>
          <w:tcPr>
            <w:tcW w:w="594" w:type="pct"/>
            <w:shd w:val="clear" w:color="auto" w:fill="auto"/>
            <w:tcMar>
              <w:top w:w="0" w:type="dxa"/>
              <w:left w:w="57" w:type="dxa"/>
              <w:bottom w:w="0" w:type="dxa"/>
              <w:right w:w="57" w:type="dxa"/>
            </w:tcMar>
            <w:vAlign w:val="center"/>
          </w:tcPr>
          <w:p w14:paraId="657F466D">
            <w:pPr>
              <w:pStyle w:val="20"/>
              <w:bidi w:val="0"/>
              <w:rPr>
                <w:rFonts w:hint="eastAsia"/>
                <w:color w:val="auto"/>
                <w:highlight w:val="none"/>
                <w:lang w:val="en-US" w:eastAsia="zh-CN"/>
              </w:rPr>
            </w:pPr>
            <w:r>
              <w:rPr>
                <w:rFonts w:hint="eastAsia"/>
                <w:color w:val="auto"/>
                <w:highlight w:val="none"/>
              </w:rPr>
              <w:t>1</w:t>
            </w:r>
          </w:p>
        </w:tc>
        <w:tc>
          <w:tcPr>
            <w:tcW w:w="447" w:type="pct"/>
            <w:shd w:val="clear" w:color="auto" w:fill="auto"/>
            <w:tcMar>
              <w:top w:w="0" w:type="dxa"/>
              <w:left w:w="57" w:type="dxa"/>
              <w:bottom w:w="0" w:type="dxa"/>
              <w:right w:w="57" w:type="dxa"/>
            </w:tcMar>
            <w:vAlign w:val="center"/>
          </w:tcPr>
          <w:p w14:paraId="47A839AC">
            <w:pPr>
              <w:pStyle w:val="20"/>
              <w:bidi w:val="0"/>
              <w:rPr>
                <w:rFonts w:hint="eastAsia"/>
                <w:color w:val="auto"/>
                <w:highlight w:val="none"/>
                <w:lang w:val="en-US" w:eastAsia="zh-CN"/>
              </w:rPr>
            </w:pPr>
            <w:r>
              <w:rPr>
                <w:rFonts w:hint="eastAsia"/>
                <w:color w:val="auto"/>
                <w:highlight w:val="none"/>
                <w:lang w:val="en-US" w:eastAsia="zh-CN"/>
              </w:rPr>
              <w:t>+</w:t>
            </w:r>
            <w:r>
              <w:rPr>
                <w:rFonts w:hint="default"/>
                <w:color w:val="auto"/>
                <w:highlight w:val="none"/>
                <w:lang w:val="en-US" w:eastAsia="zh-CN"/>
              </w:rPr>
              <w:t>0.85</w:t>
            </w:r>
          </w:p>
        </w:tc>
      </w:tr>
      <w:tr w14:paraId="6805D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2FAD0367">
            <w:pPr>
              <w:pStyle w:val="20"/>
              <w:bidi w:val="0"/>
              <w:rPr>
                <w:color w:val="auto"/>
                <w:highlight w:val="none"/>
              </w:rPr>
            </w:pPr>
          </w:p>
        </w:tc>
        <w:tc>
          <w:tcPr>
            <w:tcW w:w="839" w:type="pct"/>
            <w:shd w:val="clear" w:color="auto" w:fill="auto"/>
            <w:tcMar>
              <w:top w:w="0" w:type="dxa"/>
              <w:left w:w="57" w:type="dxa"/>
              <w:bottom w:w="0" w:type="dxa"/>
              <w:right w:w="57" w:type="dxa"/>
            </w:tcMar>
            <w:vAlign w:val="center"/>
          </w:tcPr>
          <w:p w14:paraId="65EA3302">
            <w:pPr>
              <w:pStyle w:val="20"/>
              <w:bidi w:val="0"/>
              <w:rPr>
                <w:rFonts w:hint="default"/>
                <w:color w:val="auto"/>
                <w:highlight w:val="none"/>
                <w:lang w:val="en-US" w:eastAsia="zh-CN"/>
              </w:rPr>
            </w:pPr>
            <w:r>
              <w:rPr>
                <w:rFonts w:hint="eastAsia"/>
                <w:color w:val="auto"/>
                <w:highlight w:val="none"/>
                <w:lang w:val="en-US" w:eastAsia="zh-CN"/>
              </w:rPr>
              <w:t>废料</w:t>
            </w:r>
          </w:p>
        </w:tc>
        <w:tc>
          <w:tcPr>
            <w:tcW w:w="566" w:type="pct"/>
            <w:shd w:val="clear" w:color="auto" w:fill="auto"/>
            <w:tcMar>
              <w:top w:w="0" w:type="dxa"/>
              <w:left w:w="57" w:type="dxa"/>
              <w:bottom w:w="0" w:type="dxa"/>
              <w:right w:w="57" w:type="dxa"/>
            </w:tcMar>
            <w:vAlign w:val="center"/>
          </w:tcPr>
          <w:p w14:paraId="116C609A">
            <w:pPr>
              <w:pStyle w:val="20"/>
              <w:bidi w:val="0"/>
              <w:rPr>
                <w:rFonts w:hint="default"/>
                <w:color w:val="auto"/>
                <w:highlight w:val="none"/>
                <w:lang w:val="en-US" w:eastAsia="zh-CN"/>
              </w:rPr>
            </w:pPr>
            <w:r>
              <w:rPr>
                <w:rFonts w:hint="eastAsia"/>
                <w:color w:val="auto"/>
                <w:highlight w:val="none"/>
                <w:lang w:val="en-US" w:eastAsia="zh-CN"/>
              </w:rPr>
              <w:t>0.027</w:t>
            </w:r>
          </w:p>
        </w:tc>
        <w:tc>
          <w:tcPr>
            <w:tcW w:w="462" w:type="pct"/>
            <w:tcMar>
              <w:top w:w="0" w:type="dxa"/>
              <w:left w:w="57" w:type="dxa"/>
              <w:bottom w:w="0" w:type="dxa"/>
              <w:right w:w="57" w:type="dxa"/>
            </w:tcMar>
            <w:vAlign w:val="center"/>
          </w:tcPr>
          <w:p w14:paraId="31377146">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42416159">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5BAD154E">
            <w:pPr>
              <w:pStyle w:val="20"/>
              <w:bidi w:val="0"/>
              <w:rPr>
                <w:rFonts w:hint="eastAsia"/>
                <w:color w:val="auto"/>
                <w:highlight w:val="none"/>
                <w:lang w:val="en-US" w:eastAsia="zh-CN"/>
              </w:rPr>
            </w:pPr>
            <w:r>
              <w:rPr>
                <w:rFonts w:hint="default"/>
                <w:color w:val="auto"/>
                <w:highlight w:val="none"/>
                <w:lang w:val="en-US" w:eastAsia="zh-CN"/>
              </w:rPr>
              <w:t>0.181</w:t>
            </w:r>
          </w:p>
        </w:tc>
        <w:tc>
          <w:tcPr>
            <w:tcW w:w="490" w:type="pct"/>
            <w:tcMar>
              <w:top w:w="0" w:type="dxa"/>
              <w:left w:w="57" w:type="dxa"/>
              <w:bottom w:w="0" w:type="dxa"/>
              <w:right w:w="57" w:type="dxa"/>
            </w:tcMar>
            <w:vAlign w:val="center"/>
          </w:tcPr>
          <w:p w14:paraId="56E054E2">
            <w:pPr>
              <w:pStyle w:val="20"/>
              <w:bidi w:val="0"/>
              <w:rPr>
                <w:color w:val="auto"/>
                <w:highlight w:val="none"/>
              </w:rPr>
            </w:pPr>
            <w:r>
              <w:rPr>
                <w:rFonts w:hint="eastAsia"/>
                <w:color w:val="auto"/>
                <w:highlight w:val="none"/>
              </w:rPr>
              <w:t>/</w:t>
            </w:r>
          </w:p>
        </w:tc>
        <w:tc>
          <w:tcPr>
            <w:tcW w:w="594" w:type="pct"/>
            <w:shd w:val="clear" w:color="auto" w:fill="auto"/>
            <w:tcMar>
              <w:top w:w="0" w:type="dxa"/>
              <w:left w:w="57" w:type="dxa"/>
              <w:bottom w:w="0" w:type="dxa"/>
              <w:right w:w="57" w:type="dxa"/>
            </w:tcMar>
            <w:vAlign w:val="center"/>
          </w:tcPr>
          <w:p w14:paraId="7F02EE04">
            <w:pPr>
              <w:pStyle w:val="20"/>
              <w:bidi w:val="0"/>
              <w:rPr>
                <w:rFonts w:hint="default"/>
                <w:color w:val="auto"/>
                <w:highlight w:val="none"/>
                <w:lang w:val="en-US" w:eastAsia="zh-CN"/>
              </w:rPr>
            </w:pPr>
            <w:r>
              <w:rPr>
                <w:rFonts w:hint="eastAsia"/>
                <w:color w:val="auto"/>
                <w:highlight w:val="none"/>
                <w:lang w:val="en-US" w:eastAsia="zh-CN"/>
              </w:rPr>
              <w:t>0.211</w:t>
            </w:r>
          </w:p>
        </w:tc>
        <w:tc>
          <w:tcPr>
            <w:tcW w:w="447" w:type="pct"/>
            <w:shd w:val="clear" w:color="auto" w:fill="auto"/>
            <w:tcMar>
              <w:top w:w="0" w:type="dxa"/>
              <w:left w:w="57" w:type="dxa"/>
              <w:bottom w:w="0" w:type="dxa"/>
              <w:right w:w="57" w:type="dxa"/>
            </w:tcMar>
            <w:vAlign w:val="center"/>
          </w:tcPr>
          <w:p w14:paraId="1E87480D">
            <w:pPr>
              <w:pStyle w:val="20"/>
              <w:bidi w:val="0"/>
              <w:rPr>
                <w:rFonts w:hint="eastAsia"/>
                <w:color w:val="auto"/>
                <w:highlight w:val="none"/>
                <w:lang w:val="en-US" w:eastAsia="zh-CN"/>
              </w:rPr>
            </w:pPr>
            <w:r>
              <w:rPr>
                <w:rFonts w:hint="eastAsia"/>
                <w:color w:val="auto"/>
                <w:highlight w:val="none"/>
                <w:lang w:val="en-US" w:eastAsia="zh-CN"/>
              </w:rPr>
              <w:t>+</w:t>
            </w:r>
            <w:r>
              <w:rPr>
                <w:rFonts w:hint="default"/>
                <w:color w:val="auto"/>
                <w:highlight w:val="none"/>
                <w:lang w:val="en-US" w:eastAsia="zh-CN"/>
              </w:rPr>
              <w:t>0.181</w:t>
            </w:r>
          </w:p>
        </w:tc>
      </w:tr>
      <w:tr w14:paraId="36A87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0292959C">
            <w:pPr>
              <w:pStyle w:val="20"/>
              <w:bidi w:val="0"/>
              <w:rPr>
                <w:color w:val="auto"/>
                <w:highlight w:val="none"/>
              </w:rPr>
            </w:pPr>
          </w:p>
        </w:tc>
        <w:tc>
          <w:tcPr>
            <w:tcW w:w="839" w:type="pct"/>
            <w:shd w:val="clear" w:color="auto" w:fill="auto"/>
            <w:tcMar>
              <w:top w:w="0" w:type="dxa"/>
              <w:left w:w="57" w:type="dxa"/>
              <w:bottom w:w="0" w:type="dxa"/>
              <w:right w:w="57" w:type="dxa"/>
            </w:tcMar>
            <w:vAlign w:val="center"/>
          </w:tcPr>
          <w:p w14:paraId="221A627F">
            <w:pPr>
              <w:pStyle w:val="20"/>
              <w:bidi w:val="0"/>
              <w:rPr>
                <w:rFonts w:hint="default"/>
                <w:color w:val="auto"/>
                <w:highlight w:val="none"/>
                <w:lang w:val="en-US" w:eastAsia="zh-CN"/>
              </w:rPr>
            </w:pPr>
            <w:r>
              <w:rPr>
                <w:rFonts w:hint="eastAsia"/>
                <w:color w:val="auto"/>
                <w:highlight w:val="none"/>
                <w:lang w:val="en-US" w:eastAsia="zh-CN"/>
              </w:rPr>
              <w:t>边角料</w:t>
            </w:r>
          </w:p>
        </w:tc>
        <w:tc>
          <w:tcPr>
            <w:tcW w:w="566" w:type="pct"/>
            <w:shd w:val="clear" w:color="auto" w:fill="auto"/>
            <w:tcMar>
              <w:top w:w="0" w:type="dxa"/>
              <w:left w:w="57" w:type="dxa"/>
              <w:bottom w:w="0" w:type="dxa"/>
              <w:right w:w="57" w:type="dxa"/>
            </w:tcMar>
            <w:vAlign w:val="center"/>
          </w:tcPr>
          <w:p w14:paraId="1D8F9958">
            <w:pPr>
              <w:pStyle w:val="20"/>
              <w:bidi w:val="0"/>
              <w:rPr>
                <w:rFonts w:hint="default"/>
                <w:color w:val="auto"/>
                <w:highlight w:val="none"/>
                <w:lang w:val="en-US" w:eastAsia="zh-CN"/>
              </w:rPr>
            </w:pPr>
            <w:r>
              <w:rPr>
                <w:rFonts w:hint="eastAsia"/>
                <w:color w:val="auto"/>
                <w:highlight w:val="none"/>
                <w:lang w:val="en-US" w:eastAsia="zh-CN"/>
              </w:rPr>
              <w:t>4.462</w:t>
            </w:r>
          </w:p>
        </w:tc>
        <w:tc>
          <w:tcPr>
            <w:tcW w:w="462" w:type="pct"/>
            <w:tcMar>
              <w:top w:w="0" w:type="dxa"/>
              <w:left w:w="57" w:type="dxa"/>
              <w:bottom w:w="0" w:type="dxa"/>
              <w:right w:w="57" w:type="dxa"/>
            </w:tcMar>
            <w:vAlign w:val="center"/>
          </w:tcPr>
          <w:p w14:paraId="5F7E1D4D">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3CD3AE07">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05F54EB7">
            <w:pPr>
              <w:pStyle w:val="20"/>
              <w:bidi w:val="0"/>
              <w:rPr>
                <w:rFonts w:hint="eastAsia"/>
                <w:color w:val="auto"/>
                <w:highlight w:val="none"/>
                <w:lang w:val="en-US" w:eastAsia="zh-CN"/>
              </w:rPr>
            </w:pPr>
            <w:r>
              <w:rPr>
                <w:rFonts w:hint="default"/>
                <w:color w:val="auto"/>
                <w:highlight w:val="none"/>
                <w:lang w:val="en-US" w:eastAsia="zh-CN"/>
              </w:rPr>
              <w:t>31.25</w:t>
            </w:r>
          </w:p>
        </w:tc>
        <w:tc>
          <w:tcPr>
            <w:tcW w:w="490" w:type="pct"/>
            <w:tcMar>
              <w:top w:w="0" w:type="dxa"/>
              <w:left w:w="57" w:type="dxa"/>
              <w:bottom w:w="0" w:type="dxa"/>
              <w:right w:w="57" w:type="dxa"/>
            </w:tcMar>
            <w:vAlign w:val="center"/>
          </w:tcPr>
          <w:p w14:paraId="33C81314">
            <w:pPr>
              <w:pStyle w:val="20"/>
              <w:bidi w:val="0"/>
              <w:rPr>
                <w:color w:val="auto"/>
                <w:highlight w:val="none"/>
              </w:rPr>
            </w:pPr>
            <w:r>
              <w:rPr>
                <w:rFonts w:hint="eastAsia"/>
                <w:color w:val="auto"/>
                <w:highlight w:val="none"/>
              </w:rPr>
              <w:t>/</w:t>
            </w:r>
          </w:p>
        </w:tc>
        <w:tc>
          <w:tcPr>
            <w:tcW w:w="594" w:type="pct"/>
            <w:shd w:val="clear" w:color="auto" w:fill="auto"/>
            <w:tcMar>
              <w:top w:w="0" w:type="dxa"/>
              <w:left w:w="57" w:type="dxa"/>
              <w:bottom w:w="0" w:type="dxa"/>
              <w:right w:w="57" w:type="dxa"/>
            </w:tcMar>
            <w:vAlign w:val="center"/>
          </w:tcPr>
          <w:p w14:paraId="1D3265D5">
            <w:pPr>
              <w:pStyle w:val="20"/>
              <w:bidi w:val="0"/>
              <w:rPr>
                <w:rFonts w:hint="default"/>
                <w:color w:val="auto"/>
                <w:highlight w:val="none"/>
                <w:lang w:val="en-US" w:eastAsia="zh-CN"/>
              </w:rPr>
            </w:pPr>
            <w:r>
              <w:rPr>
                <w:rFonts w:hint="eastAsia"/>
                <w:color w:val="auto"/>
                <w:highlight w:val="none"/>
                <w:lang w:val="en-US" w:eastAsia="zh-CN"/>
              </w:rPr>
              <w:t>35.05</w:t>
            </w:r>
          </w:p>
        </w:tc>
        <w:tc>
          <w:tcPr>
            <w:tcW w:w="447" w:type="pct"/>
            <w:shd w:val="clear" w:color="auto" w:fill="auto"/>
            <w:tcMar>
              <w:top w:w="0" w:type="dxa"/>
              <w:left w:w="57" w:type="dxa"/>
              <w:bottom w:w="0" w:type="dxa"/>
              <w:right w:w="57" w:type="dxa"/>
            </w:tcMar>
            <w:vAlign w:val="center"/>
          </w:tcPr>
          <w:p w14:paraId="15A70578">
            <w:pPr>
              <w:pStyle w:val="20"/>
              <w:bidi w:val="0"/>
              <w:rPr>
                <w:rFonts w:hint="eastAsia"/>
                <w:color w:val="auto"/>
                <w:highlight w:val="none"/>
                <w:lang w:val="en-US" w:eastAsia="zh-CN"/>
              </w:rPr>
            </w:pPr>
            <w:r>
              <w:rPr>
                <w:rFonts w:hint="eastAsia"/>
                <w:color w:val="auto"/>
                <w:highlight w:val="none"/>
                <w:lang w:val="en-US" w:eastAsia="zh-CN"/>
              </w:rPr>
              <w:t>+</w:t>
            </w:r>
            <w:r>
              <w:rPr>
                <w:rFonts w:hint="default"/>
                <w:color w:val="auto"/>
                <w:highlight w:val="none"/>
                <w:lang w:val="en-US" w:eastAsia="zh-CN"/>
              </w:rPr>
              <w:t>31.25</w:t>
            </w:r>
          </w:p>
        </w:tc>
      </w:tr>
      <w:tr w14:paraId="57181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0E1A8F15">
            <w:pPr>
              <w:pStyle w:val="20"/>
              <w:bidi w:val="0"/>
              <w:rPr>
                <w:color w:val="auto"/>
                <w:highlight w:val="none"/>
              </w:rPr>
            </w:pPr>
          </w:p>
        </w:tc>
        <w:tc>
          <w:tcPr>
            <w:tcW w:w="839" w:type="pct"/>
            <w:shd w:val="clear" w:color="auto" w:fill="auto"/>
            <w:tcMar>
              <w:top w:w="0" w:type="dxa"/>
              <w:left w:w="57" w:type="dxa"/>
              <w:bottom w:w="0" w:type="dxa"/>
              <w:right w:w="57" w:type="dxa"/>
            </w:tcMar>
            <w:vAlign w:val="center"/>
          </w:tcPr>
          <w:p w14:paraId="6826EE44">
            <w:pPr>
              <w:pStyle w:val="20"/>
              <w:bidi w:val="0"/>
              <w:rPr>
                <w:rFonts w:hint="eastAsia"/>
                <w:color w:val="auto"/>
                <w:highlight w:val="none"/>
                <w:lang w:val="en-US" w:eastAsia="zh-CN"/>
              </w:rPr>
            </w:pPr>
            <w:r>
              <w:rPr>
                <w:rFonts w:hint="eastAsia"/>
                <w:color w:val="auto"/>
                <w:highlight w:val="none"/>
                <w:lang w:val="en-US" w:eastAsia="zh-CN"/>
              </w:rPr>
              <w:t>不合格品</w:t>
            </w:r>
          </w:p>
        </w:tc>
        <w:tc>
          <w:tcPr>
            <w:tcW w:w="566" w:type="pct"/>
            <w:shd w:val="clear" w:color="auto" w:fill="auto"/>
            <w:tcMar>
              <w:top w:w="0" w:type="dxa"/>
              <w:left w:w="57" w:type="dxa"/>
              <w:bottom w:w="0" w:type="dxa"/>
              <w:right w:w="57" w:type="dxa"/>
            </w:tcMar>
            <w:vAlign w:val="center"/>
          </w:tcPr>
          <w:p w14:paraId="7B25E503">
            <w:pPr>
              <w:pStyle w:val="20"/>
              <w:bidi w:val="0"/>
              <w:rPr>
                <w:rFonts w:hint="default"/>
                <w:color w:val="auto"/>
                <w:highlight w:val="none"/>
                <w:lang w:val="en-US" w:eastAsia="zh-CN"/>
              </w:rPr>
            </w:pPr>
            <w:r>
              <w:rPr>
                <w:rFonts w:hint="eastAsia"/>
                <w:color w:val="auto"/>
                <w:highlight w:val="none"/>
                <w:lang w:val="en-US" w:eastAsia="zh-CN"/>
              </w:rPr>
              <w:t>2.746</w:t>
            </w:r>
          </w:p>
        </w:tc>
        <w:tc>
          <w:tcPr>
            <w:tcW w:w="462" w:type="pct"/>
            <w:tcMar>
              <w:top w:w="0" w:type="dxa"/>
              <w:left w:w="57" w:type="dxa"/>
              <w:bottom w:w="0" w:type="dxa"/>
              <w:right w:w="57" w:type="dxa"/>
            </w:tcMar>
            <w:vAlign w:val="center"/>
          </w:tcPr>
          <w:p w14:paraId="3A6CE45F">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5022DA12">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7BC9363B">
            <w:pPr>
              <w:pStyle w:val="20"/>
              <w:bidi w:val="0"/>
              <w:rPr>
                <w:rFonts w:hint="eastAsia"/>
                <w:color w:val="auto"/>
                <w:highlight w:val="none"/>
                <w:lang w:val="en-US" w:eastAsia="zh-CN"/>
              </w:rPr>
            </w:pPr>
            <w:r>
              <w:rPr>
                <w:rFonts w:hint="default"/>
                <w:color w:val="auto"/>
                <w:highlight w:val="none"/>
                <w:lang w:val="en-US" w:eastAsia="zh-CN"/>
              </w:rPr>
              <w:t>18.825</w:t>
            </w:r>
          </w:p>
        </w:tc>
        <w:tc>
          <w:tcPr>
            <w:tcW w:w="490" w:type="pct"/>
            <w:tcMar>
              <w:top w:w="0" w:type="dxa"/>
              <w:left w:w="57" w:type="dxa"/>
              <w:bottom w:w="0" w:type="dxa"/>
              <w:right w:w="57" w:type="dxa"/>
            </w:tcMar>
            <w:vAlign w:val="center"/>
          </w:tcPr>
          <w:p w14:paraId="1721C4CD">
            <w:pPr>
              <w:pStyle w:val="20"/>
              <w:bidi w:val="0"/>
              <w:rPr>
                <w:color w:val="auto"/>
                <w:highlight w:val="none"/>
              </w:rPr>
            </w:pPr>
            <w:r>
              <w:rPr>
                <w:rFonts w:hint="eastAsia"/>
                <w:color w:val="auto"/>
                <w:highlight w:val="none"/>
              </w:rPr>
              <w:t>/</w:t>
            </w:r>
          </w:p>
        </w:tc>
        <w:tc>
          <w:tcPr>
            <w:tcW w:w="594" w:type="pct"/>
            <w:shd w:val="clear" w:color="auto" w:fill="auto"/>
            <w:tcMar>
              <w:top w:w="0" w:type="dxa"/>
              <w:left w:w="57" w:type="dxa"/>
              <w:bottom w:w="0" w:type="dxa"/>
              <w:right w:w="57" w:type="dxa"/>
            </w:tcMar>
            <w:vAlign w:val="center"/>
          </w:tcPr>
          <w:p w14:paraId="1E35DF82">
            <w:pPr>
              <w:pStyle w:val="20"/>
              <w:bidi w:val="0"/>
              <w:rPr>
                <w:rFonts w:hint="default"/>
                <w:color w:val="auto"/>
                <w:highlight w:val="none"/>
                <w:lang w:val="en-US" w:eastAsia="zh-CN"/>
              </w:rPr>
            </w:pPr>
            <w:r>
              <w:rPr>
                <w:rFonts w:hint="eastAsia"/>
                <w:color w:val="auto"/>
                <w:highlight w:val="none"/>
                <w:lang w:val="en-US" w:eastAsia="zh-CN"/>
              </w:rPr>
              <w:t>21.575</w:t>
            </w:r>
          </w:p>
        </w:tc>
        <w:tc>
          <w:tcPr>
            <w:tcW w:w="447" w:type="pct"/>
            <w:shd w:val="clear" w:color="auto" w:fill="auto"/>
            <w:tcMar>
              <w:top w:w="0" w:type="dxa"/>
              <w:left w:w="57" w:type="dxa"/>
              <w:bottom w:w="0" w:type="dxa"/>
              <w:right w:w="57" w:type="dxa"/>
            </w:tcMar>
            <w:vAlign w:val="center"/>
          </w:tcPr>
          <w:p w14:paraId="41775D4D">
            <w:pPr>
              <w:pStyle w:val="20"/>
              <w:bidi w:val="0"/>
              <w:rPr>
                <w:rFonts w:hint="eastAsia"/>
                <w:color w:val="auto"/>
                <w:highlight w:val="none"/>
                <w:lang w:val="en-US" w:eastAsia="zh-CN"/>
              </w:rPr>
            </w:pPr>
            <w:r>
              <w:rPr>
                <w:rFonts w:hint="eastAsia"/>
                <w:color w:val="auto"/>
                <w:highlight w:val="none"/>
                <w:lang w:val="en-US" w:eastAsia="zh-CN"/>
              </w:rPr>
              <w:t>+18.825</w:t>
            </w:r>
          </w:p>
        </w:tc>
      </w:tr>
      <w:tr w14:paraId="121D7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3C202E9A">
            <w:pPr>
              <w:pStyle w:val="20"/>
              <w:bidi w:val="0"/>
              <w:rPr>
                <w:color w:val="auto"/>
                <w:highlight w:val="none"/>
              </w:rPr>
            </w:pPr>
          </w:p>
        </w:tc>
        <w:tc>
          <w:tcPr>
            <w:tcW w:w="839" w:type="pct"/>
            <w:shd w:val="clear" w:color="auto" w:fill="auto"/>
            <w:tcMar>
              <w:top w:w="0" w:type="dxa"/>
              <w:left w:w="57" w:type="dxa"/>
              <w:bottom w:w="0" w:type="dxa"/>
              <w:right w:w="57" w:type="dxa"/>
            </w:tcMar>
            <w:vAlign w:val="center"/>
          </w:tcPr>
          <w:p w14:paraId="75310189">
            <w:pPr>
              <w:pStyle w:val="20"/>
              <w:bidi w:val="0"/>
              <w:rPr>
                <w:rFonts w:hint="eastAsia"/>
                <w:color w:val="auto"/>
                <w:highlight w:val="none"/>
                <w:lang w:val="en-US" w:eastAsia="zh-CN"/>
              </w:rPr>
            </w:pPr>
            <w:r>
              <w:rPr>
                <w:rFonts w:hint="eastAsia"/>
                <w:color w:val="auto"/>
                <w:highlight w:val="none"/>
                <w:lang w:val="en-US" w:eastAsia="zh-CN"/>
              </w:rPr>
              <w:t>废产品包装材料</w:t>
            </w:r>
          </w:p>
        </w:tc>
        <w:tc>
          <w:tcPr>
            <w:tcW w:w="566" w:type="pct"/>
            <w:shd w:val="clear" w:color="auto" w:fill="auto"/>
            <w:tcMar>
              <w:top w:w="0" w:type="dxa"/>
              <w:left w:w="57" w:type="dxa"/>
              <w:bottom w:w="0" w:type="dxa"/>
              <w:right w:w="57" w:type="dxa"/>
            </w:tcMar>
            <w:vAlign w:val="center"/>
          </w:tcPr>
          <w:p w14:paraId="0F567C53">
            <w:pPr>
              <w:pStyle w:val="20"/>
              <w:bidi w:val="0"/>
              <w:rPr>
                <w:rFonts w:hint="default"/>
                <w:color w:val="auto"/>
                <w:highlight w:val="none"/>
                <w:lang w:val="en-US" w:eastAsia="zh-CN"/>
              </w:rPr>
            </w:pPr>
            <w:r>
              <w:rPr>
                <w:rFonts w:hint="eastAsia"/>
                <w:color w:val="auto"/>
                <w:highlight w:val="none"/>
                <w:lang w:val="en-US" w:eastAsia="zh-CN"/>
              </w:rPr>
              <w:t>0.255</w:t>
            </w:r>
          </w:p>
        </w:tc>
        <w:tc>
          <w:tcPr>
            <w:tcW w:w="462" w:type="pct"/>
            <w:tcMar>
              <w:top w:w="0" w:type="dxa"/>
              <w:left w:w="57" w:type="dxa"/>
              <w:bottom w:w="0" w:type="dxa"/>
              <w:right w:w="57" w:type="dxa"/>
            </w:tcMar>
            <w:vAlign w:val="center"/>
          </w:tcPr>
          <w:p w14:paraId="65BA6F43">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0434BB1C">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27A178C3">
            <w:pPr>
              <w:pStyle w:val="20"/>
              <w:bidi w:val="0"/>
              <w:rPr>
                <w:rFonts w:hint="eastAsia"/>
                <w:color w:val="auto"/>
                <w:highlight w:val="none"/>
                <w:lang w:val="en-US" w:eastAsia="zh-CN"/>
              </w:rPr>
            </w:pPr>
            <w:r>
              <w:rPr>
                <w:rFonts w:hint="default"/>
                <w:color w:val="auto"/>
                <w:highlight w:val="none"/>
                <w:lang w:val="en-US" w:eastAsia="zh-CN"/>
              </w:rPr>
              <w:t>1.7</w:t>
            </w:r>
          </w:p>
        </w:tc>
        <w:tc>
          <w:tcPr>
            <w:tcW w:w="490" w:type="pct"/>
            <w:tcMar>
              <w:top w:w="0" w:type="dxa"/>
              <w:left w:w="57" w:type="dxa"/>
              <w:bottom w:w="0" w:type="dxa"/>
              <w:right w:w="57" w:type="dxa"/>
            </w:tcMar>
            <w:vAlign w:val="center"/>
          </w:tcPr>
          <w:p w14:paraId="59CAF594">
            <w:pPr>
              <w:pStyle w:val="20"/>
              <w:bidi w:val="0"/>
              <w:rPr>
                <w:color w:val="auto"/>
                <w:highlight w:val="none"/>
              </w:rPr>
            </w:pPr>
            <w:r>
              <w:rPr>
                <w:rFonts w:hint="eastAsia"/>
                <w:color w:val="auto"/>
                <w:highlight w:val="none"/>
              </w:rPr>
              <w:t>/</w:t>
            </w:r>
          </w:p>
        </w:tc>
        <w:tc>
          <w:tcPr>
            <w:tcW w:w="594" w:type="pct"/>
            <w:shd w:val="clear" w:color="auto" w:fill="auto"/>
            <w:tcMar>
              <w:top w:w="0" w:type="dxa"/>
              <w:left w:w="57" w:type="dxa"/>
              <w:bottom w:w="0" w:type="dxa"/>
              <w:right w:w="57" w:type="dxa"/>
            </w:tcMar>
            <w:vAlign w:val="center"/>
          </w:tcPr>
          <w:p w14:paraId="14687E54">
            <w:pPr>
              <w:pStyle w:val="20"/>
              <w:bidi w:val="0"/>
              <w:rPr>
                <w:rFonts w:hint="eastAsia"/>
                <w:color w:val="auto"/>
                <w:highlight w:val="none"/>
                <w:lang w:val="en-US" w:eastAsia="zh-CN"/>
              </w:rPr>
            </w:pPr>
            <w:r>
              <w:rPr>
                <w:rFonts w:hint="eastAsia"/>
                <w:color w:val="auto"/>
                <w:highlight w:val="none"/>
                <w:lang w:val="en-US" w:eastAsia="zh-CN"/>
              </w:rPr>
              <w:t>2</w:t>
            </w:r>
          </w:p>
        </w:tc>
        <w:tc>
          <w:tcPr>
            <w:tcW w:w="447" w:type="pct"/>
            <w:shd w:val="clear" w:color="auto" w:fill="auto"/>
            <w:tcMar>
              <w:top w:w="0" w:type="dxa"/>
              <w:left w:w="57" w:type="dxa"/>
              <w:bottom w:w="0" w:type="dxa"/>
              <w:right w:w="57" w:type="dxa"/>
            </w:tcMar>
            <w:vAlign w:val="center"/>
          </w:tcPr>
          <w:p w14:paraId="41E9E72E">
            <w:pPr>
              <w:pStyle w:val="20"/>
              <w:bidi w:val="0"/>
              <w:rPr>
                <w:rFonts w:hint="eastAsia"/>
                <w:color w:val="auto"/>
                <w:highlight w:val="none"/>
                <w:lang w:val="en-US" w:eastAsia="zh-CN"/>
              </w:rPr>
            </w:pPr>
            <w:r>
              <w:rPr>
                <w:rFonts w:hint="eastAsia"/>
                <w:color w:val="auto"/>
                <w:highlight w:val="none"/>
                <w:lang w:val="en-US" w:eastAsia="zh-CN"/>
              </w:rPr>
              <w:t>+1.7</w:t>
            </w:r>
          </w:p>
        </w:tc>
      </w:tr>
      <w:tr w14:paraId="15015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0A05A82B">
            <w:pPr>
              <w:pStyle w:val="20"/>
              <w:bidi w:val="0"/>
              <w:rPr>
                <w:color w:val="auto"/>
                <w:highlight w:val="none"/>
              </w:rPr>
            </w:pPr>
          </w:p>
        </w:tc>
        <w:tc>
          <w:tcPr>
            <w:tcW w:w="839" w:type="pct"/>
            <w:shd w:val="clear" w:color="auto" w:fill="auto"/>
            <w:tcMar>
              <w:top w:w="0" w:type="dxa"/>
              <w:left w:w="57" w:type="dxa"/>
              <w:bottom w:w="0" w:type="dxa"/>
              <w:right w:w="57" w:type="dxa"/>
            </w:tcMar>
            <w:vAlign w:val="center"/>
          </w:tcPr>
          <w:p w14:paraId="4034A1F1">
            <w:pPr>
              <w:pStyle w:val="20"/>
              <w:bidi w:val="0"/>
              <w:rPr>
                <w:rFonts w:hint="eastAsia"/>
                <w:color w:val="auto"/>
                <w:highlight w:val="none"/>
                <w:lang w:val="en-US" w:eastAsia="zh-CN"/>
              </w:rPr>
            </w:pPr>
            <w:r>
              <w:rPr>
                <w:rFonts w:hint="eastAsia"/>
                <w:color w:val="auto"/>
                <w:highlight w:val="none"/>
              </w:rPr>
              <w:t>废零件</w:t>
            </w:r>
            <w:r>
              <w:rPr>
                <w:rFonts w:hint="eastAsia"/>
                <w:color w:val="auto"/>
                <w:highlight w:val="none"/>
                <w:lang w:eastAsia="zh-CN"/>
              </w:rPr>
              <w:t>（</w:t>
            </w:r>
            <w:r>
              <w:rPr>
                <w:rFonts w:hint="eastAsia"/>
                <w:color w:val="auto"/>
                <w:highlight w:val="none"/>
                <w:lang w:val="en-US" w:eastAsia="zh-CN"/>
              </w:rPr>
              <w:t>未沾染油渍）</w:t>
            </w:r>
          </w:p>
        </w:tc>
        <w:tc>
          <w:tcPr>
            <w:tcW w:w="566" w:type="pct"/>
            <w:shd w:val="clear" w:color="auto" w:fill="auto"/>
            <w:tcMar>
              <w:top w:w="0" w:type="dxa"/>
              <w:left w:w="57" w:type="dxa"/>
              <w:bottom w:w="0" w:type="dxa"/>
              <w:right w:w="57" w:type="dxa"/>
            </w:tcMar>
            <w:vAlign w:val="center"/>
          </w:tcPr>
          <w:p w14:paraId="5D92E128">
            <w:pPr>
              <w:pStyle w:val="20"/>
              <w:bidi w:val="0"/>
              <w:rPr>
                <w:rFonts w:hint="default"/>
                <w:color w:val="auto"/>
                <w:highlight w:val="none"/>
                <w:lang w:val="en-US" w:eastAsia="zh-CN"/>
              </w:rPr>
            </w:pPr>
            <w:r>
              <w:rPr>
                <w:rFonts w:hint="eastAsia"/>
                <w:color w:val="auto"/>
                <w:highlight w:val="none"/>
                <w:lang w:val="en-US" w:eastAsia="zh-CN"/>
              </w:rPr>
              <w:t>0.006</w:t>
            </w:r>
          </w:p>
        </w:tc>
        <w:tc>
          <w:tcPr>
            <w:tcW w:w="462" w:type="pct"/>
            <w:tcMar>
              <w:top w:w="0" w:type="dxa"/>
              <w:left w:w="57" w:type="dxa"/>
              <w:bottom w:w="0" w:type="dxa"/>
              <w:right w:w="57" w:type="dxa"/>
            </w:tcMar>
            <w:vAlign w:val="center"/>
          </w:tcPr>
          <w:p w14:paraId="38EF7D5F">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211A8329">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33020638">
            <w:pPr>
              <w:pStyle w:val="20"/>
              <w:bidi w:val="0"/>
              <w:rPr>
                <w:rFonts w:hint="eastAsia"/>
                <w:color w:val="auto"/>
                <w:highlight w:val="none"/>
                <w:lang w:val="en-US" w:eastAsia="zh-CN"/>
              </w:rPr>
            </w:pPr>
            <w:r>
              <w:rPr>
                <w:rFonts w:hint="default"/>
                <w:color w:val="auto"/>
                <w:highlight w:val="none"/>
                <w:lang w:val="en-US" w:eastAsia="zh-CN"/>
              </w:rPr>
              <w:t>0.04</w:t>
            </w:r>
          </w:p>
        </w:tc>
        <w:tc>
          <w:tcPr>
            <w:tcW w:w="490" w:type="pct"/>
            <w:tcMar>
              <w:top w:w="0" w:type="dxa"/>
              <w:left w:w="57" w:type="dxa"/>
              <w:bottom w:w="0" w:type="dxa"/>
              <w:right w:w="57" w:type="dxa"/>
            </w:tcMar>
            <w:vAlign w:val="center"/>
          </w:tcPr>
          <w:p w14:paraId="7ABD54AF">
            <w:pPr>
              <w:pStyle w:val="20"/>
              <w:bidi w:val="0"/>
              <w:rPr>
                <w:color w:val="auto"/>
                <w:highlight w:val="none"/>
              </w:rPr>
            </w:pPr>
            <w:r>
              <w:rPr>
                <w:rFonts w:hint="eastAsia"/>
                <w:color w:val="auto"/>
                <w:highlight w:val="none"/>
              </w:rPr>
              <w:t>/</w:t>
            </w:r>
          </w:p>
        </w:tc>
        <w:tc>
          <w:tcPr>
            <w:tcW w:w="594" w:type="pct"/>
            <w:shd w:val="clear" w:color="auto" w:fill="auto"/>
            <w:tcMar>
              <w:top w:w="0" w:type="dxa"/>
              <w:left w:w="57" w:type="dxa"/>
              <w:bottom w:w="0" w:type="dxa"/>
              <w:right w:w="57" w:type="dxa"/>
            </w:tcMar>
            <w:vAlign w:val="center"/>
          </w:tcPr>
          <w:p w14:paraId="393A98BA">
            <w:pPr>
              <w:pStyle w:val="20"/>
              <w:bidi w:val="0"/>
              <w:rPr>
                <w:rFonts w:hint="default"/>
                <w:color w:val="auto"/>
                <w:highlight w:val="none"/>
                <w:lang w:val="en-US" w:eastAsia="zh-CN"/>
              </w:rPr>
            </w:pPr>
            <w:r>
              <w:rPr>
                <w:rFonts w:hint="eastAsia"/>
                <w:color w:val="auto"/>
                <w:highlight w:val="none"/>
                <w:lang w:val="en-US" w:eastAsia="zh-CN"/>
              </w:rPr>
              <w:t>0.05</w:t>
            </w:r>
          </w:p>
        </w:tc>
        <w:tc>
          <w:tcPr>
            <w:tcW w:w="447" w:type="pct"/>
            <w:shd w:val="clear" w:color="auto" w:fill="auto"/>
            <w:tcMar>
              <w:top w:w="0" w:type="dxa"/>
              <w:left w:w="57" w:type="dxa"/>
              <w:bottom w:w="0" w:type="dxa"/>
              <w:right w:w="57" w:type="dxa"/>
            </w:tcMar>
            <w:vAlign w:val="center"/>
          </w:tcPr>
          <w:p w14:paraId="620BB85B">
            <w:pPr>
              <w:pStyle w:val="20"/>
              <w:bidi w:val="0"/>
              <w:rPr>
                <w:rFonts w:hint="eastAsia"/>
                <w:color w:val="auto"/>
                <w:highlight w:val="none"/>
                <w:lang w:val="en-US" w:eastAsia="zh-CN"/>
              </w:rPr>
            </w:pPr>
            <w:r>
              <w:rPr>
                <w:rFonts w:hint="eastAsia"/>
                <w:color w:val="auto"/>
                <w:highlight w:val="none"/>
                <w:lang w:val="en-US" w:eastAsia="zh-CN"/>
              </w:rPr>
              <w:t>+0.04</w:t>
            </w:r>
          </w:p>
        </w:tc>
      </w:tr>
      <w:tr w14:paraId="02E3D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restart"/>
            <w:tcMar>
              <w:top w:w="0" w:type="dxa"/>
              <w:left w:w="57" w:type="dxa"/>
              <w:bottom w:w="0" w:type="dxa"/>
              <w:right w:w="57" w:type="dxa"/>
            </w:tcMar>
            <w:vAlign w:val="center"/>
          </w:tcPr>
          <w:p w14:paraId="4DF27CCD">
            <w:pPr>
              <w:pStyle w:val="20"/>
              <w:bidi w:val="0"/>
              <w:rPr>
                <w:color w:val="auto"/>
                <w:highlight w:val="none"/>
              </w:rPr>
            </w:pPr>
            <w:r>
              <w:rPr>
                <w:rFonts w:hint="eastAsia"/>
                <w:color w:val="auto"/>
                <w:highlight w:val="none"/>
              </w:rPr>
              <w:t>危险废物</w:t>
            </w:r>
          </w:p>
        </w:tc>
        <w:tc>
          <w:tcPr>
            <w:tcW w:w="839" w:type="pct"/>
            <w:shd w:val="clear" w:color="auto" w:fill="auto"/>
            <w:tcMar>
              <w:top w:w="0" w:type="dxa"/>
              <w:left w:w="57" w:type="dxa"/>
              <w:bottom w:w="0" w:type="dxa"/>
              <w:right w:w="57" w:type="dxa"/>
            </w:tcMar>
            <w:vAlign w:val="center"/>
          </w:tcPr>
          <w:p w14:paraId="07E5B86C">
            <w:pPr>
              <w:pStyle w:val="20"/>
              <w:bidi w:val="0"/>
              <w:rPr>
                <w:rFonts w:hint="default"/>
                <w:color w:val="auto"/>
                <w:highlight w:val="none"/>
                <w:lang w:val="en-US" w:eastAsia="zh-CN"/>
              </w:rPr>
            </w:pPr>
            <w:r>
              <w:rPr>
                <w:rFonts w:hint="eastAsia"/>
                <w:color w:val="auto"/>
                <w:highlight w:val="none"/>
                <w:lang w:val="en-US" w:eastAsia="zh-CN"/>
              </w:rPr>
              <w:t>废润滑油</w:t>
            </w:r>
          </w:p>
        </w:tc>
        <w:tc>
          <w:tcPr>
            <w:tcW w:w="566" w:type="pct"/>
            <w:shd w:val="clear" w:color="auto" w:fill="auto"/>
            <w:tcMar>
              <w:top w:w="0" w:type="dxa"/>
              <w:left w:w="57" w:type="dxa"/>
              <w:bottom w:w="0" w:type="dxa"/>
              <w:right w:w="57" w:type="dxa"/>
            </w:tcMar>
            <w:vAlign w:val="center"/>
          </w:tcPr>
          <w:p w14:paraId="688C3AF6">
            <w:pPr>
              <w:pStyle w:val="20"/>
              <w:bidi w:val="0"/>
              <w:rPr>
                <w:rFonts w:hint="default"/>
                <w:color w:val="auto"/>
                <w:highlight w:val="none"/>
                <w:lang w:val="en-US" w:eastAsia="zh-CN"/>
              </w:rPr>
            </w:pPr>
            <w:r>
              <w:rPr>
                <w:rFonts w:hint="eastAsia"/>
                <w:color w:val="auto"/>
                <w:highlight w:val="none"/>
                <w:lang w:val="en-US" w:eastAsia="zh-CN"/>
              </w:rPr>
              <w:t>0.025</w:t>
            </w:r>
          </w:p>
        </w:tc>
        <w:tc>
          <w:tcPr>
            <w:tcW w:w="462" w:type="pct"/>
            <w:tcMar>
              <w:top w:w="0" w:type="dxa"/>
              <w:left w:w="57" w:type="dxa"/>
              <w:bottom w:w="0" w:type="dxa"/>
              <w:right w:w="57" w:type="dxa"/>
            </w:tcMar>
            <w:vAlign w:val="center"/>
          </w:tcPr>
          <w:p w14:paraId="6089730A">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5E822CA8">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1B9EB14B">
            <w:pPr>
              <w:pStyle w:val="20"/>
              <w:bidi w:val="0"/>
              <w:rPr>
                <w:rFonts w:hint="eastAsia"/>
                <w:color w:val="auto"/>
                <w:highlight w:val="none"/>
                <w:lang w:val="en-US" w:eastAsia="zh-CN"/>
              </w:rPr>
            </w:pPr>
            <w:r>
              <w:rPr>
                <w:rFonts w:hint="default"/>
                <w:color w:val="auto"/>
                <w:highlight w:val="none"/>
                <w:lang w:val="en-US" w:eastAsia="zh-CN"/>
              </w:rPr>
              <w:t>0.175</w:t>
            </w:r>
          </w:p>
        </w:tc>
        <w:tc>
          <w:tcPr>
            <w:tcW w:w="490" w:type="pct"/>
            <w:tcMar>
              <w:top w:w="0" w:type="dxa"/>
              <w:left w:w="57" w:type="dxa"/>
              <w:bottom w:w="0" w:type="dxa"/>
              <w:right w:w="57" w:type="dxa"/>
            </w:tcMar>
            <w:vAlign w:val="center"/>
          </w:tcPr>
          <w:p w14:paraId="0371F1DF">
            <w:pPr>
              <w:pStyle w:val="20"/>
              <w:bidi w:val="0"/>
              <w:rPr>
                <w:color w:val="auto"/>
                <w:highlight w:val="none"/>
              </w:rPr>
            </w:pPr>
            <w:r>
              <w:rPr>
                <w:rFonts w:hint="eastAsia"/>
                <w:color w:val="auto"/>
                <w:highlight w:val="none"/>
              </w:rPr>
              <w:t>/</w:t>
            </w:r>
          </w:p>
        </w:tc>
        <w:tc>
          <w:tcPr>
            <w:tcW w:w="594" w:type="pct"/>
            <w:shd w:val="clear" w:color="auto" w:fill="auto"/>
            <w:tcMar>
              <w:top w:w="0" w:type="dxa"/>
              <w:left w:w="57" w:type="dxa"/>
              <w:bottom w:w="0" w:type="dxa"/>
              <w:right w:w="57" w:type="dxa"/>
            </w:tcMar>
            <w:vAlign w:val="center"/>
          </w:tcPr>
          <w:p w14:paraId="4E410DDE">
            <w:pPr>
              <w:pStyle w:val="20"/>
              <w:bidi w:val="0"/>
              <w:rPr>
                <w:rFonts w:hint="default"/>
                <w:color w:val="auto"/>
                <w:highlight w:val="none"/>
                <w:lang w:val="en-US" w:eastAsia="zh-CN"/>
              </w:rPr>
            </w:pPr>
            <w:r>
              <w:rPr>
                <w:rFonts w:hint="eastAsia"/>
                <w:color w:val="auto"/>
                <w:highlight w:val="none"/>
                <w:lang w:val="en-US" w:eastAsia="zh-CN"/>
              </w:rPr>
              <w:t>0.2</w:t>
            </w:r>
          </w:p>
        </w:tc>
        <w:tc>
          <w:tcPr>
            <w:tcW w:w="447" w:type="pct"/>
            <w:shd w:val="clear" w:color="auto" w:fill="auto"/>
            <w:tcMar>
              <w:top w:w="0" w:type="dxa"/>
              <w:left w:w="57" w:type="dxa"/>
              <w:bottom w:w="0" w:type="dxa"/>
              <w:right w:w="57" w:type="dxa"/>
            </w:tcMar>
            <w:vAlign w:val="center"/>
          </w:tcPr>
          <w:p w14:paraId="6F9C8D17">
            <w:pPr>
              <w:pStyle w:val="20"/>
              <w:bidi w:val="0"/>
              <w:rPr>
                <w:rFonts w:hint="eastAsia"/>
                <w:color w:val="auto"/>
                <w:highlight w:val="none"/>
                <w:lang w:val="en-US" w:eastAsia="zh-CN"/>
              </w:rPr>
            </w:pPr>
            <w:r>
              <w:rPr>
                <w:rFonts w:hint="eastAsia"/>
                <w:color w:val="auto"/>
                <w:highlight w:val="none"/>
                <w:lang w:val="en-US" w:eastAsia="zh-CN"/>
              </w:rPr>
              <w:t>+0.175</w:t>
            </w:r>
          </w:p>
        </w:tc>
      </w:tr>
      <w:tr w14:paraId="61C9C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7F32A5DA">
            <w:pPr>
              <w:pStyle w:val="20"/>
              <w:bidi w:val="0"/>
              <w:rPr>
                <w:color w:val="auto"/>
                <w:highlight w:val="none"/>
              </w:rPr>
            </w:pPr>
          </w:p>
        </w:tc>
        <w:tc>
          <w:tcPr>
            <w:tcW w:w="839" w:type="pct"/>
            <w:shd w:val="clear" w:color="auto" w:fill="auto"/>
            <w:tcMar>
              <w:top w:w="0" w:type="dxa"/>
              <w:left w:w="57" w:type="dxa"/>
              <w:bottom w:w="0" w:type="dxa"/>
              <w:right w:w="57" w:type="dxa"/>
            </w:tcMar>
            <w:vAlign w:val="center"/>
          </w:tcPr>
          <w:p w14:paraId="1E3473A8">
            <w:pPr>
              <w:pStyle w:val="20"/>
              <w:bidi w:val="0"/>
              <w:rPr>
                <w:rFonts w:hint="eastAsia"/>
                <w:color w:val="auto"/>
                <w:highlight w:val="none"/>
                <w:lang w:val="en-US" w:eastAsia="zh-CN"/>
              </w:rPr>
            </w:pPr>
            <w:r>
              <w:rPr>
                <w:rFonts w:hint="eastAsia"/>
                <w:color w:val="auto"/>
                <w:highlight w:val="none"/>
                <w:lang w:val="en-US" w:eastAsia="zh-CN"/>
              </w:rPr>
              <w:t>废油桶</w:t>
            </w:r>
          </w:p>
        </w:tc>
        <w:tc>
          <w:tcPr>
            <w:tcW w:w="566" w:type="pct"/>
            <w:shd w:val="clear" w:color="auto" w:fill="auto"/>
            <w:tcMar>
              <w:top w:w="0" w:type="dxa"/>
              <w:left w:w="57" w:type="dxa"/>
              <w:bottom w:w="0" w:type="dxa"/>
              <w:right w:w="57" w:type="dxa"/>
            </w:tcMar>
            <w:vAlign w:val="center"/>
          </w:tcPr>
          <w:p w14:paraId="09F04CE1">
            <w:pPr>
              <w:pStyle w:val="20"/>
              <w:bidi w:val="0"/>
              <w:rPr>
                <w:rFonts w:hint="eastAsia"/>
                <w:color w:val="auto"/>
                <w:highlight w:val="none"/>
                <w:lang w:val="en-US" w:eastAsia="zh-CN"/>
              </w:rPr>
            </w:pPr>
            <w:r>
              <w:rPr>
                <w:rFonts w:hint="eastAsia"/>
                <w:color w:val="auto"/>
                <w:highlight w:val="none"/>
                <w:lang w:val="en-US" w:eastAsia="zh-CN"/>
              </w:rPr>
              <w:t>0.013</w:t>
            </w:r>
          </w:p>
        </w:tc>
        <w:tc>
          <w:tcPr>
            <w:tcW w:w="462" w:type="pct"/>
            <w:tcMar>
              <w:top w:w="0" w:type="dxa"/>
              <w:left w:w="57" w:type="dxa"/>
              <w:bottom w:w="0" w:type="dxa"/>
              <w:right w:w="57" w:type="dxa"/>
            </w:tcMar>
            <w:vAlign w:val="center"/>
          </w:tcPr>
          <w:p w14:paraId="4F961CF0">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3E9405E3">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7BE9FD31">
            <w:pPr>
              <w:pStyle w:val="20"/>
              <w:bidi w:val="0"/>
              <w:rPr>
                <w:rFonts w:hint="eastAsia"/>
                <w:color w:val="auto"/>
                <w:highlight w:val="none"/>
                <w:lang w:val="en-US" w:eastAsia="zh-CN"/>
              </w:rPr>
            </w:pPr>
            <w:r>
              <w:rPr>
                <w:rFonts w:hint="default"/>
                <w:color w:val="auto"/>
                <w:highlight w:val="none"/>
                <w:lang w:val="en-US" w:eastAsia="zh-CN"/>
              </w:rPr>
              <w:t>0.087</w:t>
            </w:r>
          </w:p>
        </w:tc>
        <w:tc>
          <w:tcPr>
            <w:tcW w:w="490" w:type="pct"/>
            <w:tcMar>
              <w:top w:w="0" w:type="dxa"/>
              <w:left w:w="57" w:type="dxa"/>
              <w:bottom w:w="0" w:type="dxa"/>
              <w:right w:w="57" w:type="dxa"/>
            </w:tcMar>
            <w:vAlign w:val="center"/>
          </w:tcPr>
          <w:p w14:paraId="5D8FCF3E">
            <w:pPr>
              <w:pStyle w:val="20"/>
              <w:bidi w:val="0"/>
              <w:rPr>
                <w:color w:val="auto"/>
                <w:highlight w:val="none"/>
              </w:rPr>
            </w:pPr>
            <w:r>
              <w:rPr>
                <w:rFonts w:hint="eastAsia"/>
                <w:color w:val="auto"/>
                <w:highlight w:val="none"/>
              </w:rPr>
              <w:t>/</w:t>
            </w:r>
          </w:p>
        </w:tc>
        <w:tc>
          <w:tcPr>
            <w:tcW w:w="594" w:type="pct"/>
            <w:shd w:val="clear" w:color="auto" w:fill="auto"/>
            <w:tcMar>
              <w:top w:w="0" w:type="dxa"/>
              <w:left w:w="57" w:type="dxa"/>
              <w:bottom w:w="0" w:type="dxa"/>
              <w:right w:w="57" w:type="dxa"/>
            </w:tcMar>
            <w:vAlign w:val="center"/>
          </w:tcPr>
          <w:p w14:paraId="12F8DBCB">
            <w:pPr>
              <w:pStyle w:val="20"/>
              <w:bidi w:val="0"/>
              <w:rPr>
                <w:rFonts w:hint="default"/>
                <w:color w:val="auto"/>
                <w:highlight w:val="none"/>
                <w:lang w:val="en-US" w:eastAsia="zh-CN"/>
              </w:rPr>
            </w:pPr>
            <w:r>
              <w:rPr>
                <w:rFonts w:hint="eastAsia"/>
                <w:color w:val="auto"/>
                <w:highlight w:val="none"/>
                <w:lang w:val="en-US" w:eastAsia="zh-CN"/>
              </w:rPr>
              <w:t>0.1</w:t>
            </w:r>
          </w:p>
        </w:tc>
        <w:tc>
          <w:tcPr>
            <w:tcW w:w="447" w:type="pct"/>
            <w:shd w:val="clear" w:color="auto" w:fill="auto"/>
            <w:tcMar>
              <w:top w:w="0" w:type="dxa"/>
              <w:left w:w="57" w:type="dxa"/>
              <w:bottom w:w="0" w:type="dxa"/>
              <w:right w:w="57" w:type="dxa"/>
            </w:tcMar>
            <w:vAlign w:val="center"/>
          </w:tcPr>
          <w:p w14:paraId="4AD77916">
            <w:pPr>
              <w:pStyle w:val="20"/>
              <w:bidi w:val="0"/>
              <w:rPr>
                <w:rFonts w:hint="eastAsia"/>
                <w:color w:val="auto"/>
                <w:highlight w:val="none"/>
                <w:lang w:val="en-US" w:eastAsia="zh-CN"/>
              </w:rPr>
            </w:pPr>
            <w:r>
              <w:rPr>
                <w:rFonts w:hint="eastAsia"/>
                <w:color w:val="auto"/>
                <w:highlight w:val="none"/>
                <w:lang w:val="en-US" w:eastAsia="zh-CN"/>
              </w:rPr>
              <w:t>+0.085</w:t>
            </w:r>
          </w:p>
        </w:tc>
      </w:tr>
      <w:tr w14:paraId="08DCC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3BACAFCC">
            <w:pPr>
              <w:pStyle w:val="20"/>
              <w:bidi w:val="0"/>
              <w:rPr>
                <w:color w:val="auto"/>
                <w:highlight w:val="none"/>
              </w:rPr>
            </w:pPr>
          </w:p>
        </w:tc>
        <w:tc>
          <w:tcPr>
            <w:tcW w:w="839" w:type="pct"/>
            <w:shd w:val="clear" w:color="auto" w:fill="auto"/>
            <w:tcMar>
              <w:top w:w="0" w:type="dxa"/>
              <w:left w:w="57" w:type="dxa"/>
              <w:bottom w:w="0" w:type="dxa"/>
              <w:right w:w="57" w:type="dxa"/>
            </w:tcMar>
            <w:vAlign w:val="center"/>
          </w:tcPr>
          <w:p w14:paraId="2DC2E88B">
            <w:pPr>
              <w:pStyle w:val="20"/>
              <w:bidi w:val="0"/>
              <w:rPr>
                <w:rFonts w:hint="eastAsia"/>
                <w:color w:val="auto"/>
                <w:highlight w:val="none"/>
                <w:lang w:val="en-US" w:eastAsia="zh-CN"/>
              </w:rPr>
            </w:pPr>
            <w:r>
              <w:rPr>
                <w:rFonts w:hint="eastAsia"/>
                <w:color w:val="auto"/>
                <w:highlight w:val="none"/>
                <w:lang w:val="en-US" w:eastAsia="zh-CN"/>
              </w:rPr>
              <w:t>废含油棉纱及手套</w:t>
            </w:r>
          </w:p>
        </w:tc>
        <w:tc>
          <w:tcPr>
            <w:tcW w:w="566" w:type="pct"/>
            <w:shd w:val="clear" w:color="auto" w:fill="auto"/>
            <w:tcMar>
              <w:top w:w="0" w:type="dxa"/>
              <w:left w:w="57" w:type="dxa"/>
              <w:bottom w:w="0" w:type="dxa"/>
              <w:right w:w="57" w:type="dxa"/>
            </w:tcMar>
            <w:vAlign w:val="center"/>
          </w:tcPr>
          <w:p w14:paraId="093F7700">
            <w:pPr>
              <w:pStyle w:val="20"/>
              <w:bidi w:val="0"/>
              <w:rPr>
                <w:rFonts w:hint="eastAsia"/>
                <w:color w:val="auto"/>
                <w:highlight w:val="none"/>
                <w:lang w:val="en-US" w:eastAsia="zh-CN"/>
              </w:rPr>
            </w:pPr>
            <w:r>
              <w:rPr>
                <w:rFonts w:hint="eastAsia"/>
                <w:color w:val="auto"/>
                <w:highlight w:val="none"/>
                <w:lang w:val="en-US" w:eastAsia="zh-CN"/>
              </w:rPr>
              <w:t>0.006</w:t>
            </w:r>
          </w:p>
        </w:tc>
        <w:tc>
          <w:tcPr>
            <w:tcW w:w="462" w:type="pct"/>
            <w:tcMar>
              <w:top w:w="0" w:type="dxa"/>
              <w:left w:w="57" w:type="dxa"/>
              <w:bottom w:w="0" w:type="dxa"/>
              <w:right w:w="57" w:type="dxa"/>
            </w:tcMar>
            <w:vAlign w:val="center"/>
          </w:tcPr>
          <w:p w14:paraId="3014A7F0">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59F7280A">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588A8891">
            <w:pPr>
              <w:pStyle w:val="20"/>
              <w:bidi w:val="0"/>
              <w:rPr>
                <w:rFonts w:hint="default"/>
                <w:color w:val="auto"/>
                <w:highlight w:val="none"/>
                <w:lang w:val="en-US" w:eastAsia="zh-CN"/>
              </w:rPr>
            </w:pPr>
            <w:r>
              <w:rPr>
                <w:rFonts w:hint="default"/>
                <w:color w:val="auto"/>
                <w:highlight w:val="none"/>
                <w:lang w:val="en-US" w:eastAsia="zh-CN"/>
              </w:rPr>
              <w:t>0.044</w:t>
            </w:r>
          </w:p>
        </w:tc>
        <w:tc>
          <w:tcPr>
            <w:tcW w:w="490" w:type="pct"/>
            <w:tcMar>
              <w:top w:w="0" w:type="dxa"/>
              <w:left w:w="57" w:type="dxa"/>
              <w:bottom w:w="0" w:type="dxa"/>
              <w:right w:w="57" w:type="dxa"/>
            </w:tcMar>
            <w:vAlign w:val="center"/>
          </w:tcPr>
          <w:p w14:paraId="02C325F2">
            <w:pPr>
              <w:pStyle w:val="20"/>
              <w:bidi w:val="0"/>
              <w:rPr>
                <w:color w:val="auto"/>
                <w:highlight w:val="none"/>
              </w:rPr>
            </w:pPr>
            <w:r>
              <w:rPr>
                <w:rFonts w:hint="eastAsia"/>
                <w:color w:val="auto"/>
                <w:highlight w:val="none"/>
              </w:rPr>
              <w:t>/</w:t>
            </w:r>
          </w:p>
        </w:tc>
        <w:tc>
          <w:tcPr>
            <w:tcW w:w="594" w:type="pct"/>
            <w:shd w:val="clear" w:color="auto" w:fill="auto"/>
            <w:tcMar>
              <w:top w:w="0" w:type="dxa"/>
              <w:left w:w="57" w:type="dxa"/>
              <w:bottom w:w="0" w:type="dxa"/>
              <w:right w:w="57" w:type="dxa"/>
            </w:tcMar>
            <w:vAlign w:val="center"/>
          </w:tcPr>
          <w:p w14:paraId="36EDC59D">
            <w:pPr>
              <w:pStyle w:val="20"/>
              <w:bidi w:val="0"/>
              <w:rPr>
                <w:rFonts w:hint="default"/>
                <w:color w:val="auto"/>
                <w:highlight w:val="none"/>
                <w:lang w:val="en-US" w:eastAsia="zh-CN"/>
              </w:rPr>
            </w:pPr>
            <w:r>
              <w:rPr>
                <w:rFonts w:hint="eastAsia"/>
                <w:color w:val="auto"/>
                <w:highlight w:val="none"/>
                <w:lang w:val="en-US" w:eastAsia="zh-CN"/>
              </w:rPr>
              <w:t>0.05</w:t>
            </w:r>
          </w:p>
        </w:tc>
        <w:tc>
          <w:tcPr>
            <w:tcW w:w="447" w:type="pct"/>
            <w:shd w:val="clear" w:color="auto" w:fill="auto"/>
            <w:tcMar>
              <w:top w:w="0" w:type="dxa"/>
              <w:left w:w="57" w:type="dxa"/>
              <w:bottom w:w="0" w:type="dxa"/>
              <w:right w:w="57" w:type="dxa"/>
            </w:tcMar>
            <w:vAlign w:val="center"/>
          </w:tcPr>
          <w:p w14:paraId="604102A8">
            <w:pPr>
              <w:pStyle w:val="20"/>
              <w:bidi w:val="0"/>
              <w:rPr>
                <w:rFonts w:hint="default"/>
                <w:color w:val="auto"/>
                <w:highlight w:val="none"/>
                <w:lang w:val="en-US" w:eastAsia="zh-CN"/>
              </w:rPr>
            </w:pPr>
            <w:r>
              <w:rPr>
                <w:rFonts w:hint="eastAsia"/>
                <w:color w:val="auto"/>
                <w:highlight w:val="none"/>
                <w:lang w:val="en-US" w:eastAsia="zh-CN"/>
              </w:rPr>
              <w:t>+0.04</w:t>
            </w:r>
          </w:p>
        </w:tc>
      </w:tr>
      <w:tr w14:paraId="44B5A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7293B1F9">
            <w:pPr>
              <w:pStyle w:val="20"/>
              <w:bidi w:val="0"/>
              <w:rPr>
                <w:color w:val="auto"/>
                <w:highlight w:val="none"/>
              </w:rPr>
            </w:pPr>
          </w:p>
        </w:tc>
        <w:tc>
          <w:tcPr>
            <w:tcW w:w="839" w:type="pct"/>
            <w:shd w:val="clear" w:color="auto" w:fill="auto"/>
            <w:tcMar>
              <w:top w:w="0" w:type="dxa"/>
              <w:left w:w="57" w:type="dxa"/>
              <w:bottom w:w="0" w:type="dxa"/>
              <w:right w:w="57" w:type="dxa"/>
            </w:tcMar>
            <w:vAlign w:val="center"/>
          </w:tcPr>
          <w:p w14:paraId="3D3F9617">
            <w:pPr>
              <w:pStyle w:val="20"/>
              <w:bidi w:val="0"/>
              <w:rPr>
                <w:rFonts w:hint="eastAsia"/>
                <w:color w:val="auto"/>
                <w:highlight w:val="none"/>
                <w:lang w:val="en-US" w:eastAsia="zh-CN"/>
              </w:rPr>
            </w:pPr>
            <w:r>
              <w:rPr>
                <w:rFonts w:hint="eastAsia"/>
                <w:color w:val="auto"/>
                <w:highlight w:val="none"/>
                <w:lang w:val="en-US" w:eastAsia="zh-CN"/>
              </w:rPr>
              <w:t>废液压油</w:t>
            </w:r>
          </w:p>
        </w:tc>
        <w:tc>
          <w:tcPr>
            <w:tcW w:w="566" w:type="pct"/>
            <w:shd w:val="clear" w:color="auto" w:fill="auto"/>
            <w:tcMar>
              <w:top w:w="0" w:type="dxa"/>
              <w:left w:w="57" w:type="dxa"/>
              <w:bottom w:w="0" w:type="dxa"/>
              <w:right w:w="57" w:type="dxa"/>
            </w:tcMar>
            <w:vAlign w:val="center"/>
          </w:tcPr>
          <w:p w14:paraId="56E66901">
            <w:pPr>
              <w:pStyle w:val="20"/>
              <w:bidi w:val="0"/>
              <w:rPr>
                <w:rFonts w:hint="eastAsia"/>
                <w:color w:val="auto"/>
                <w:highlight w:val="none"/>
                <w:lang w:val="en-US" w:eastAsia="zh-CN"/>
              </w:rPr>
            </w:pPr>
            <w:r>
              <w:rPr>
                <w:rFonts w:hint="eastAsia"/>
                <w:color w:val="auto"/>
                <w:highlight w:val="none"/>
                <w:lang w:val="en-US" w:eastAsia="zh-CN"/>
              </w:rPr>
              <w:t>0.3</w:t>
            </w:r>
          </w:p>
        </w:tc>
        <w:tc>
          <w:tcPr>
            <w:tcW w:w="462" w:type="pct"/>
            <w:tcMar>
              <w:top w:w="0" w:type="dxa"/>
              <w:left w:w="57" w:type="dxa"/>
              <w:bottom w:w="0" w:type="dxa"/>
              <w:right w:w="57" w:type="dxa"/>
            </w:tcMar>
            <w:vAlign w:val="center"/>
          </w:tcPr>
          <w:p w14:paraId="0D99BB30">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20C98B2A">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2E99120C">
            <w:pPr>
              <w:pStyle w:val="20"/>
              <w:bidi w:val="0"/>
              <w:rPr>
                <w:rFonts w:hint="default"/>
                <w:color w:val="auto"/>
                <w:highlight w:val="none"/>
                <w:lang w:val="en-US" w:eastAsia="zh-CN"/>
              </w:rPr>
            </w:pPr>
            <w:r>
              <w:rPr>
                <w:rFonts w:hint="default"/>
                <w:color w:val="auto"/>
                <w:highlight w:val="none"/>
                <w:lang w:val="en-US" w:eastAsia="zh-CN"/>
              </w:rPr>
              <w:t>0.45</w:t>
            </w:r>
          </w:p>
        </w:tc>
        <w:tc>
          <w:tcPr>
            <w:tcW w:w="490" w:type="pct"/>
            <w:tcMar>
              <w:top w:w="0" w:type="dxa"/>
              <w:left w:w="57" w:type="dxa"/>
              <w:bottom w:w="0" w:type="dxa"/>
              <w:right w:w="57" w:type="dxa"/>
            </w:tcMar>
            <w:vAlign w:val="center"/>
          </w:tcPr>
          <w:p w14:paraId="7EE6EB0B">
            <w:pPr>
              <w:pStyle w:val="20"/>
              <w:bidi w:val="0"/>
              <w:rPr>
                <w:color w:val="auto"/>
                <w:highlight w:val="none"/>
              </w:rPr>
            </w:pPr>
            <w:r>
              <w:rPr>
                <w:rFonts w:hint="eastAsia"/>
                <w:color w:val="auto"/>
                <w:highlight w:val="none"/>
              </w:rPr>
              <w:t>/</w:t>
            </w:r>
          </w:p>
        </w:tc>
        <w:tc>
          <w:tcPr>
            <w:tcW w:w="594" w:type="pct"/>
            <w:shd w:val="clear" w:color="auto" w:fill="auto"/>
            <w:tcMar>
              <w:top w:w="0" w:type="dxa"/>
              <w:left w:w="57" w:type="dxa"/>
              <w:bottom w:w="0" w:type="dxa"/>
              <w:right w:w="57" w:type="dxa"/>
            </w:tcMar>
            <w:vAlign w:val="center"/>
          </w:tcPr>
          <w:p w14:paraId="6C142F2D">
            <w:pPr>
              <w:pStyle w:val="20"/>
              <w:bidi w:val="0"/>
              <w:rPr>
                <w:rFonts w:hint="default"/>
                <w:color w:val="auto"/>
                <w:highlight w:val="none"/>
                <w:lang w:val="en-US" w:eastAsia="zh-CN"/>
              </w:rPr>
            </w:pPr>
            <w:r>
              <w:rPr>
                <w:rFonts w:hint="eastAsia"/>
                <w:color w:val="auto"/>
                <w:highlight w:val="none"/>
                <w:lang w:val="en-US" w:eastAsia="zh-CN"/>
              </w:rPr>
              <w:t>0.75</w:t>
            </w:r>
          </w:p>
        </w:tc>
        <w:tc>
          <w:tcPr>
            <w:tcW w:w="447" w:type="pct"/>
            <w:shd w:val="clear" w:color="auto" w:fill="auto"/>
            <w:tcMar>
              <w:top w:w="0" w:type="dxa"/>
              <w:left w:w="57" w:type="dxa"/>
              <w:bottom w:w="0" w:type="dxa"/>
              <w:right w:w="57" w:type="dxa"/>
            </w:tcMar>
            <w:vAlign w:val="center"/>
          </w:tcPr>
          <w:p w14:paraId="7F7EB442">
            <w:pPr>
              <w:pStyle w:val="20"/>
              <w:bidi w:val="0"/>
              <w:rPr>
                <w:rFonts w:hint="default"/>
                <w:color w:val="auto"/>
                <w:highlight w:val="none"/>
                <w:lang w:val="en-US" w:eastAsia="zh-CN"/>
              </w:rPr>
            </w:pPr>
            <w:r>
              <w:rPr>
                <w:rFonts w:hint="eastAsia"/>
                <w:color w:val="auto"/>
                <w:highlight w:val="none"/>
                <w:lang w:val="en-US" w:eastAsia="zh-CN"/>
              </w:rPr>
              <w:t>+0.45</w:t>
            </w:r>
          </w:p>
        </w:tc>
      </w:tr>
      <w:tr w14:paraId="235A3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0CC0E01A">
            <w:pPr>
              <w:pStyle w:val="20"/>
              <w:bidi w:val="0"/>
              <w:rPr>
                <w:color w:val="auto"/>
                <w:highlight w:val="none"/>
              </w:rPr>
            </w:pPr>
          </w:p>
        </w:tc>
        <w:tc>
          <w:tcPr>
            <w:tcW w:w="839" w:type="pct"/>
            <w:shd w:val="clear" w:color="auto" w:fill="auto"/>
            <w:tcMar>
              <w:top w:w="0" w:type="dxa"/>
              <w:left w:w="57" w:type="dxa"/>
              <w:bottom w:w="0" w:type="dxa"/>
              <w:right w:w="57" w:type="dxa"/>
            </w:tcMar>
            <w:vAlign w:val="center"/>
          </w:tcPr>
          <w:p w14:paraId="0E91B626">
            <w:pPr>
              <w:pStyle w:val="20"/>
              <w:bidi w:val="0"/>
              <w:rPr>
                <w:color w:val="auto"/>
                <w:highlight w:val="none"/>
                <w:lang w:val="en-US" w:eastAsia="zh-CN"/>
              </w:rPr>
            </w:pPr>
            <w:r>
              <w:rPr>
                <w:rFonts w:hint="eastAsia"/>
                <w:color w:val="auto"/>
                <w:highlight w:val="none"/>
                <w:lang w:val="en-US" w:eastAsia="zh-CN"/>
              </w:rPr>
              <w:t>废零件（沾有油渍）</w:t>
            </w:r>
          </w:p>
        </w:tc>
        <w:tc>
          <w:tcPr>
            <w:tcW w:w="566" w:type="pct"/>
            <w:shd w:val="clear" w:color="auto" w:fill="auto"/>
            <w:tcMar>
              <w:top w:w="0" w:type="dxa"/>
              <w:left w:w="57" w:type="dxa"/>
              <w:bottom w:w="0" w:type="dxa"/>
              <w:right w:w="57" w:type="dxa"/>
            </w:tcMar>
            <w:vAlign w:val="center"/>
          </w:tcPr>
          <w:p w14:paraId="63D382E2">
            <w:pPr>
              <w:pStyle w:val="20"/>
              <w:bidi w:val="0"/>
              <w:rPr>
                <w:rFonts w:hint="eastAsia"/>
                <w:color w:val="auto"/>
                <w:highlight w:val="none"/>
                <w:lang w:val="en-US" w:eastAsia="zh-CN"/>
              </w:rPr>
            </w:pPr>
            <w:r>
              <w:rPr>
                <w:rFonts w:hint="eastAsia"/>
                <w:color w:val="auto"/>
                <w:highlight w:val="none"/>
                <w:lang w:val="en-US" w:eastAsia="zh-CN"/>
              </w:rPr>
              <w:t>0.006</w:t>
            </w:r>
          </w:p>
        </w:tc>
        <w:tc>
          <w:tcPr>
            <w:tcW w:w="462" w:type="pct"/>
            <w:tcMar>
              <w:top w:w="0" w:type="dxa"/>
              <w:left w:w="57" w:type="dxa"/>
              <w:bottom w:w="0" w:type="dxa"/>
              <w:right w:w="57" w:type="dxa"/>
            </w:tcMar>
            <w:vAlign w:val="center"/>
          </w:tcPr>
          <w:p w14:paraId="42B0C159">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698673C6">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4342F1D6">
            <w:pPr>
              <w:pStyle w:val="20"/>
              <w:bidi w:val="0"/>
              <w:rPr>
                <w:rFonts w:hint="eastAsia"/>
                <w:color w:val="auto"/>
                <w:highlight w:val="none"/>
                <w:lang w:val="en-US" w:eastAsia="zh-CN"/>
              </w:rPr>
            </w:pPr>
            <w:r>
              <w:rPr>
                <w:rFonts w:hint="default"/>
                <w:color w:val="auto"/>
                <w:highlight w:val="none"/>
                <w:lang w:val="en-US" w:eastAsia="zh-CN"/>
              </w:rPr>
              <w:t>0.044</w:t>
            </w:r>
          </w:p>
        </w:tc>
        <w:tc>
          <w:tcPr>
            <w:tcW w:w="490" w:type="pct"/>
            <w:tcMar>
              <w:top w:w="0" w:type="dxa"/>
              <w:left w:w="57" w:type="dxa"/>
              <w:bottom w:w="0" w:type="dxa"/>
              <w:right w:w="57" w:type="dxa"/>
            </w:tcMar>
            <w:vAlign w:val="center"/>
          </w:tcPr>
          <w:p w14:paraId="345CE596">
            <w:pPr>
              <w:pStyle w:val="20"/>
              <w:bidi w:val="0"/>
              <w:rPr>
                <w:color w:val="auto"/>
                <w:highlight w:val="none"/>
              </w:rPr>
            </w:pPr>
            <w:r>
              <w:rPr>
                <w:rFonts w:hint="eastAsia"/>
                <w:color w:val="auto"/>
                <w:highlight w:val="none"/>
              </w:rPr>
              <w:t>/</w:t>
            </w:r>
          </w:p>
        </w:tc>
        <w:tc>
          <w:tcPr>
            <w:tcW w:w="594" w:type="pct"/>
            <w:shd w:val="clear" w:color="auto" w:fill="auto"/>
            <w:tcMar>
              <w:top w:w="0" w:type="dxa"/>
              <w:left w:w="57" w:type="dxa"/>
              <w:bottom w:w="0" w:type="dxa"/>
              <w:right w:w="57" w:type="dxa"/>
            </w:tcMar>
            <w:vAlign w:val="center"/>
          </w:tcPr>
          <w:p w14:paraId="74342361">
            <w:pPr>
              <w:pStyle w:val="20"/>
              <w:bidi w:val="0"/>
              <w:rPr>
                <w:rFonts w:hint="eastAsia"/>
                <w:color w:val="auto"/>
                <w:highlight w:val="none"/>
                <w:lang w:val="en-US" w:eastAsia="zh-CN"/>
              </w:rPr>
            </w:pPr>
            <w:r>
              <w:rPr>
                <w:rFonts w:hint="eastAsia"/>
                <w:color w:val="auto"/>
                <w:highlight w:val="none"/>
              </w:rPr>
              <w:t>0.05</w:t>
            </w:r>
          </w:p>
        </w:tc>
        <w:tc>
          <w:tcPr>
            <w:tcW w:w="447" w:type="pct"/>
            <w:shd w:val="clear" w:color="auto" w:fill="auto"/>
            <w:tcMar>
              <w:top w:w="0" w:type="dxa"/>
              <w:left w:w="57" w:type="dxa"/>
              <w:bottom w:w="0" w:type="dxa"/>
              <w:right w:w="57" w:type="dxa"/>
            </w:tcMar>
            <w:vAlign w:val="center"/>
          </w:tcPr>
          <w:p w14:paraId="5DAF214F">
            <w:pPr>
              <w:pStyle w:val="20"/>
              <w:bidi w:val="0"/>
              <w:rPr>
                <w:rFonts w:hint="eastAsia"/>
                <w:color w:val="auto"/>
                <w:highlight w:val="none"/>
                <w:lang w:val="en-US" w:eastAsia="zh-CN"/>
              </w:rPr>
            </w:pPr>
            <w:r>
              <w:rPr>
                <w:rFonts w:hint="eastAsia"/>
                <w:color w:val="auto"/>
                <w:highlight w:val="none"/>
                <w:lang w:val="en-US" w:eastAsia="zh-CN"/>
              </w:rPr>
              <w:t>+0.04</w:t>
            </w:r>
          </w:p>
        </w:tc>
      </w:tr>
      <w:tr w14:paraId="4C571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65A471DD">
            <w:pPr>
              <w:pStyle w:val="20"/>
              <w:bidi w:val="0"/>
              <w:rPr>
                <w:color w:val="auto"/>
                <w:highlight w:val="none"/>
              </w:rPr>
            </w:pPr>
          </w:p>
        </w:tc>
        <w:tc>
          <w:tcPr>
            <w:tcW w:w="839" w:type="pct"/>
            <w:shd w:val="clear" w:color="auto" w:fill="auto"/>
            <w:tcMar>
              <w:top w:w="0" w:type="dxa"/>
              <w:left w:w="57" w:type="dxa"/>
              <w:bottom w:w="0" w:type="dxa"/>
              <w:right w:w="57" w:type="dxa"/>
            </w:tcMar>
            <w:vAlign w:val="center"/>
          </w:tcPr>
          <w:p w14:paraId="6AF3289C">
            <w:pPr>
              <w:pStyle w:val="20"/>
              <w:bidi w:val="0"/>
              <w:rPr>
                <w:rFonts w:hint="eastAsia"/>
                <w:color w:val="auto"/>
                <w:highlight w:val="none"/>
                <w:lang w:val="en-US" w:eastAsia="zh-CN"/>
              </w:rPr>
            </w:pPr>
            <w:r>
              <w:rPr>
                <w:rFonts w:hint="eastAsia"/>
                <w:color w:val="auto"/>
                <w:highlight w:val="none"/>
              </w:rPr>
              <w:t>废</w:t>
            </w:r>
            <w:r>
              <w:rPr>
                <w:rFonts w:hint="eastAsia"/>
                <w:color w:val="auto"/>
                <w:highlight w:val="none"/>
                <w:lang w:val="en-US" w:eastAsia="zh-CN"/>
              </w:rPr>
              <w:t>脱模</w:t>
            </w:r>
            <w:r>
              <w:rPr>
                <w:rFonts w:hint="eastAsia"/>
                <w:color w:val="auto"/>
                <w:highlight w:val="none"/>
              </w:rPr>
              <w:t>清洗剂瓶</w:t>
            </w:r>
          </w:p>
        </w:tc>
        <w:tc>
          <w:tcPr>
            <w:tcW w:w="566" w:type="pct"/>
            <w:shd w:val="clear" w:color="auto" w:fill="auto"/>
            <w:tcMar>
              <w:top w:w="0" w:type="dxa"/>
              <w:left w:w="57" w:type="dxa"/>
              <w:bottom w:w="0" w:type="dxa"/>
              <w:right w:w="57" w:type="dxa"/>
            </w:tcMar>
            <w:vAlign w:val="center"/>
          </w:tcPr>
          <w:p w14:paraId="5A5F987A">
            <w:pPr>
              <w:pStyle w:val="20"/>
              <w:bidi w:val="0"/>
              <w:rPr>
                <w:rFonts w:hint="default"/>
                <w:color w:val="auto"/>
                <w:highlight w:val="none"/>
                <w:lang w:val="en-US" w:eastAsia="zh-CN"/>
              </w:rPr>
            </w:pPr>
            <w:r>
              <w:rPr>
                <w:rFonts w:hint="eastAsia"/>
                <w:color w:val="auto"/>
                <w:highlight w:val="none"/>
                <w:lang w:val="en-US" w:eastAsia="zh-CN"/>
              </w:rPr>
              <w:t>0.0024</w:t>
            </w:r>
          </w:p>
        </w:tc>
        <w:tc>
          <w:tcPr>
            <w:tcW w:w="462" w:type="pct"/>
            <w:tcMar>
              <w:top w:w="0" w:type="dxa"/>
              <w:left w:w="57" w:type="dxa"/>
              <w:bottom w:w="0" w:type="dxa"/>
              <w:right w:w="57" w:type="dxa"/>
            </w:tcMar>
            <w:vAlign w:val="center"/>
          </w:tcPr>
          <w:p w14:paraId="107800BF">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6418AE32">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116A5FA7">
            <w:pPr>
              <w:pStyle w:val="20"/>
              <w:bidi w:val="0"/>
              <w:rPr>
                <w:rFonts w:hint="default"/>
                <w:color w:val="auto"/>
                <w:highlight w:val="none"/>
                <w:lang w:val="en-US" w:eastAsia="zh-CN"/>
              </w:rPr>
            </w:pPr>
            <w:r>
              <w:rPr>
                <w:rFonts w:hint="default"/>
                <w:color w:val="auto"/>
                <w:highlight w:val="none"/>
                <w:lang w:val="en-US" w:eastAsia="zh-CN"/>
              </w:rPr>
              <w:t>0.0156</w:t>
            </w:r>
          </w:p>
        </w:tc>
        <w:tc>
          <w:tcPr>
            <w:tcW w:w="490" w:type="pct"/>
            <w:tcMar>
              <w:top w:w="0" w:type="dxa"/>
              <w:left w:w="57" w:type="dxa"/>
              <w:bottom w:w="0" w:type="dxa"/>
              <w:right w:w="57" w:type="dxa"/>
            </w:tcMar>
            <w:vAlign w:val="center"/>
          </w:tcPr>
          <w:p w14:paraId="25D98B9C">
            <w:pPr>
              <w:pStyle w:val="20"/>
              <w:bidi w:val="0"/>
              <w:rPr>
                <w:color w:val="auto"/>
                <w:highlight w:val="none"/>
              </w:rPr>
            </w:pPr>
            <w:r>
              <w:rPr>
                <w:rFonts w:hint="eastAsia"/>
                <w:color w:val="auto"/>
                <w:highlight w:val="none"/>
              </w:rPr>
              <w:t>/</w:t>
            </w:r>
          </w:p>
        </w:tc>
        <w:tc>
          <w:tcPr>
            <w:tcW w:w="594" w:type="pct"/>
            <w:shd w:val="clear" w:color="auto" w:fill="auto"/>
            <w:tcMar>
              <w:top w:w="0" w:type="dxa"/>
              <w:left w:w="57" w:type="dxa"/>
              <w:bottom w:w="0" w:type="dxa"/>
              <w:right w:w="57" w:type="dxa"/>
            </w:tcMar>
            <w:vAlign w:val="center"/>
          </w:tcPr>
          <w:p w14:paraId="685628C8">
            <w:pPr>
              <w:pStyle w:val="20"/>
              <w:bidi w:val="0"/>
              <w:rPr>
                <w:rFonts w:hint="default"/>
                <w:color w:val="auto"/>
                <w:highlight w:val="none"/>
                <w:lang w:val="en-US" w:eastAsia="zh-CN"/>
              </w:rPr>
            </w:pPr>
            <w:r>
              <w:rPr>
                <w:rFonts w:hint="eastAsia"/>
                <w:color w:val="auto"/>
                <w:highlight w:val="none"/>
                <w:lang w:val="en-US" w:eastAsia="zh-CN"/>
              </w:rPr>
              <w:t>0.018</w:t>
            </w:r>
          </w:p>
        </w:tc>
        <w:tc>
          <w:tcPr>
            <w:tcW w:w="447" w:type="pct"/>
            <w:shd w:val="clear" w:color="auto" w:fill="auto"/>
            <w:tcMar>
              <w:top w:w="0" w:type="dxa"/>
              <w:left w:w="57" w:type="dxa"/>
              <w:bottom w:w="0" w:type="dxa"/>
              <w:right w:w="57" w:type="dxa"/>
            </w:tcMar>
            <w:vAlign w:val="center"/>
          </w:tcPr>
          <w:p w14:paraId="1D93A313">
            <w:pPr>
              <w:pStyle w:val="20"/>
              <w:bidi w:val="0"/>
              <w:rPr>
                <w:rFonts w:hint="default"/>
                <w:color w:val="auto"/>
                <w:highlight w:val="none"/>
                <w:lang w:val="en-US" w:eastAsia="zh-CN"/>
              </w:rPr>
            </w:pPr>
            <w:r>
              <w:rPr>
                <w:rFonts w:hint="eastAsia"/>
                <w:color w:val="auto"/>
                <w:highlight w:val="none"/>
                <w:lang w:val="en-US" w:eastAsia="zh-CN"/>
              </w:rPr>
              <w:t>+0.0156</w:t>
            </w:r>
          </w:p>
        </w:tc>
      </w:tr>
      <w:tr w14:paraId="22542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4BA5C851">
            <w:pPr>
              <w:pStyle w:val="20"/>
              <w:bidi w:val="0"/>
              <w:rPr>
                <w:color w:val="auto"/>
                <w:highlight w:val="none"/>
              </w:rPr>
            </w:pPr>
          </w:p>
        </w:tc>
        <w:tc>
          <w:tcPr>
            <w:tcW w:w="839" w:type="pct"/>
            <w:shd w:val="clear" w:color="auto" w:fill="auto"/>
            <w:tcMar>
              <w:top w:w="0" w:type="dxa"/>
              <w:left w:w="57" w:type="dxa"/>
              <w:bottom w:w="0" w:type="dxa"/>
              <w:right w:w="57" w:type="dxa"/>
            </w:tcMar>
            <w:vAlign w:val="center"/>
          </w:tcPr>
          <w:p w14:paraId="7C5C112A">
            <w:pPr>
              <w:pStyle w:val="20"/>
              <w:bidi w:val="0"/>
              <w:rPr>
                <w:rFonts w:hint="default"/>
                <w:color w:val="auto"/>
                <w:highlight w:val="none"/>
                <w:lang w:val="en-US" w:eastAsia="zh-CN"/>
              </w:rPr>
            </w:pPr>
            <w:r>
              <w:rPr>
                <w:rFonts w:hint="eastAsia"/>
                <w:color w:val="auto"/>
                <w:highlight w:val="none"/>
                <w:lang w:val="en-US" w:eastAsia="zh-CN"/>
              </w:rPr>
              <w:t>空压机废油</w:t>
            </w:r>
          </w:p>
        </w:tc>
        <w:tc>
          <w:tcPr>
            <w:tcW w:w="566" w:type="pct"/>
            <w:shd w:val="clear" w:color="auto" w:fill="auto"/>
            <w:tcMar>
              <w:top w:w="0" w:type="dxa"/>
              <w:left w:w="57" w:type="dxa"/>
              <w:bottom w:w="0" w:type="dxa"/>
              <w:right w:w="57" w:type="dxa"/>
            </w:tcMar>
            <w:vAlign w:val="center"/>
          </w:tcPr>
          <w:p w14:paraId="2E83AD77">
            <w:pPr>
              <w:pStyle w:val="20"/>
              <w:bidi w:val="0"/>
              <w:rPr>
                <w:rFonts w:hint="eastAsia"/>
                <w:color w:val="auto"/>
                <w:highlight w:val="none"/>
                <w:lang w:val="en-US" w:eastAsia="zh-CN"/>
              </w:rPr>
            </w:pPr>
            <w:r>
              <w:rPr>
                <w:rFonts w:hint="eastAsia"/>
                <w:color w:val="auto"/>
                <w:highlight w:val="none"/>
                <w:lang w:val="en-US" w:eastAsia="zh-CN"/>
              </w:rPr>
              <w:t>0.01</w:t>
            </w:r>
          </w:p>
        </w:tc>
        <w:tc>
          <w:tcPr>
            <w:tcW w:w="462" w:type="pct"/>
            <w:tcMar>
              <w:top w:w="0" w:type="dxa"/>
              <w:left w:w="57" w:type="dxa"/>
              <w:bottom w:w="0" w:type="dxa"/>
              <w:right w:w="57" w:type="dxa"/>
            </w:tcMar>
            <w:vAlign w:val="center"/>
          </w:tcPr>
          <w:p w14:paraId="3BF13965">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360F5F61">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06984870">
            <w:pPr>
              <w:pStyle w:val="20"/>
              <w:bidi w:val="0"/>
              <w:rPr>
                <w:rFonts w:hint="eastAsia"/>
                <w:color w:val="auto"/>
                <w:highlight w:val="none"/>
                <w:lang w:val="en-US" w:eastAsia="zh-CN"/>
              </w:rPr>
            </w:pPr>
            <w:r>
              <w:rPr>
                <w:rFonts w:hint="default"/>
                <w:color w:val="auto"/>
                <w:highlight w:val="none"/>
                <w:lang w:val="en-US" w:eastAsia="zh-CN"/>
              </w:rPr>
              <w:t>0.01</w:t>
            </w:r>
          </w:p>
        </w:tc>
        <w:tc>
          <w:tcPr>
            <w:tcW w:w="490" w:type="pct"/>
            <w:tcMar>
              <w:top w:w="0" w:type="dxa"/>
              <w:left w:w="57" w:type="dxa"/>
              <w:bottom w:w="0" w:type="dxa"/>
              <w:right w:w="57" w:type="dxa"/>
            </w:tcMar>
            <w:vAlign w:val="center"/>
          </w:tcPr>
          <w:p w14:paraId="22AAFDE5">
            <w:pPr>
              <w:pStyle w:val="20"/>
              <w:bidi w:val="0"/>
              <w:rPr>
                <w:color w:val="auto"/>
                <w:highlight w:val="none"/>
              </w:rPr>
            </w:pPr>
            <w:r>
              <w:rPr>
                <w:rFonts w:hint="eastAsia"/>
                <w:color w:val="auto"/>
                <w:highlight w:val="none"/>
              </w:rPr>
              <w:t>/</w:t>
            </w:r>
          </w:p>
        </w:tc>
        <w:tc>
          <w:tcPr>
            <w:tcW w:w="594" w:type="pct"/>
            <w:shd w:val="clear" w:color="auto" w:fill="auto"/>
            <w:tcMar>
              <w:top w:w="0" w:type="dxa"/>
              <w:left w:w="57" w:type="dxa"/>
              <w:bottom w:w="0" w:type="dxa"/>
              <w:right w:w="57" w:type="dxa"/>
            </w:tcMar>
            <w:vAlign w:val="center"/>
          </w:tcPr>
          <w:p w14:paraId="67DA46D5">
            <w:pPr>
              <w:pStyle w:val="20"/>
              <w:bidi w:val="0"/>
              <w:rPr>
                <w:rFonts w:hint="default"/>
                <w:color w:val="auto"/>
                <w:highlight w:val="none"/>
                <w:lang w:val="en-US" w:eastAsia="zh-CN"/>
              </w:rPr>
            </w:pPr>
            <w:r>
              <w:rPr>
                <w:rFonts w:hint="eastAsia"/>
                <w:color w:val="auto"/>
                <w:highlight w:val="none"/>
              </w:rPr>
              <w:t>0.0</w:t>
            </w:r>
            <w:r>
              <w:rPr>
                <w:rFonts w:hint="eastAsia"/>
                <w:color w:val="auto"/>
                <w:highlight w:val="none"/>
                <w:lang w:val="en-US" w:eastAsia="zh-CN"/>
              </w:rPr>
              <w:t>2</w:t>
            </w:r>
          </w:p>
        </w:tc>
        <w:tc>
          <w:tcPr>
            <w:tcW w:w="447" w:type="pct"/>
            <w:shd w:val="clear" w:color="auto" w:fill="auto"/>
            <w:tcMar>
              <w:top w:w="0" w:type="dxa"/>
              <w:left w:w="57" w:type="dxa"/>
              <w:bottom w:w="0" w:type="dxa"/>
              <w:right w:w="57" w:type="dxa"/>
            </w:tcMar>
            <w:vAlign w:val="center"/>
          </w:tcPr>
          <w:p w14:paraId="26E0889D">
            <w:pPr>
              <w:pStyle w:val="20"/>
              <w:bidi w:val="0"/>
              <w:rPr>
                <w:rFonts w:hint="eastAsia"/>
                <w:color w:val="auto"/>
                <w:highlight w:val="none"/>
                <w:lang w:val="en-US" w:eastAsia="zh-CN"/>
              </w:rPr>
            </w:pPr>
            <w:r>
              <w:rPr>
                <w:rFonts w:hint="eastAsia"/>
                <w:color w:val="auto"/>
                <w:highlight w:val="none"/>
                <w:lang w:val="en-US" w:eastAsia="zh-CN"/>
              </w:rPr>
              <w:t>+0.01</w:t>
            </w:r>
          </w:p>
        </w:tc>
      </w:tr>
      <w:tr w14:paraId="21990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0B59FC57">
            <w:pPr>
              <w:pStyle w:val="20"/>
              <w:bidi w:val="0"/>
              <w:rPr>
                <w:color w:val="auto"/>
                <w:highlight w:val="none"/>
              </w:rPr>
            </w:pPr>
          </w:p>
        </w:tc>
        <w:tc>
          <w:tcPr>
            <w:tcW w:w="839" w:type="pct"/>
            <w:shd w:val="clear" w:color="auto" w:fill="auto"/>
            <w:tcMar>
              <w:top w:w="0" w:type="dxa"/>
              <w:left w:w="57" w:type="dxa"/>
              <w:bottom w:w="0" w:type="dxa"/>
              <w:right w:w="57" w:type="dxa"/>
            </w:tcMar>
            <w:vAlign w:val="center"/>
          </w:tcPr>
          <w:p w14:paraId="6E00B1F7">
            <w:pPr>
              <w:pStyle w:val="20"/>
              <w:bidi w:val="0"/>
              <w:rPr>
                <w:rFonts w:hint="default"/>
                <w:color w:val="auto"/>
                <w:highlight w:val="none"/>
                <w:lang w:val="en-US" w:eastAsia="zh-CN"/>
              </w:rPr>
            </w:pPr>
            <w:r>
              <w:rPr>
                <w:rFonts w:hint="eastAsia"/>
                <w:color w:val="auto"/>
                <w:highlight w:val="none"/>
                <w:lang w:val="en-US" w:eastAsia="zh-CN"/>
              </w:rPr>
              <w:t>废UV灯管</w:t>
            </w:r>
          </w:p>
        </w:tc>
        <w:tc>
          <w:tcPr>
            <w:tcW w:w="566" w:type="pct"/>
            <w:shd w:val="clear" w:color="auto" w:fill="auto"/>
            <w:tcMar>
              <w:top w:w="0" w:type="dxa"/>
              <w:left w:w="57" w:type="dxa"/>
              <w:bottom w:w="0" w:type="dxa"/>
              <w:right w:w="57" w:type="dxa"/>
            </w:tcMar>
            <w:vAlign w:val="center"/>
          </w:tcPr>
          <w:p w14:paraId="0AA32A50">
            <w:pPr>
              <w:pStyle w:val="20"/>
              <w:bidi w:val="0"/>
              <w:rPr>
                <w:rFonts w:hint="default"/>
                <w:color w:val="auto"/>
                <w:highlight w:val="none"/>
                <w:lang w:val="en-US" w:eastAsia="zh-CN"/>
              </w:rPr>
            </w:pPr>
            <w:r>
              <w:rPr>
                <w:rFonts w:hint="eastAsia"/>
                <w:color w:val="auto"/>
                <w:highlight w:val="none"/>
                <w:lang w:val="en-US" w:eastAsia="zh-CN"/>
              </w:rPr>
              <w:t>/</w:t>
            </w:r>
          </w:p>
        </w:tc>
        <w:tc>
          <w:tcPr>
            <w:tcW w:w="462" w:type="pct"/>
            <w:tcMar>
              <w:top w:w="0" w:type="dxa"/>
              <w:left w:w="57" w:type="dxa"/>
              <w:bottom w:w="0" w:type="dxa"/>
              <w:right w:w="57" w:type="dxa"/>
            </w:tcMar>
            <w:vAlign w:val="center"/>
          </w:tcPr>
          <w:p w14:paraId="71B044BD">
            <w:pPr>
              <w:pStyle w:val="20"/>
              <w:bidi w:val="0"/>
              <w:rPr>
                <w:rFonts w:hint="eastAsia"/>
                <w:color w:val="auto"/>
                <w:highlight w:val="none"/>
              </w:rPr>
            </w:pPr>
          </w:p>
        </w:tc>
        <w:tc>
          <w:tcPr>
            <w:tcW w:w="499" w:type="pct"/>
            <w:tcMar>
              <w:top w:w="0" w:type="dxa"/>
              <w:left w:w="57" w:type="dxa"/>
              <w:bottom w:w="0" w:type="dxa"/>
              <w:right w:w="57" w:type="dxa"/>
            </w:tcMar>
            <w:vAlign w:val="center"/>
          </w:tcPr>
          <w:p w14:paraId="09CB7D08">
            <w:pPr>
              <w:pStyle w:val="20"/>
              <w:bidi w:val="0"/>
              <w:rPr>
                <w:rFonts w:hint="eastAsia"/>
                <w:color w:val="auto"/>
                <w:highlight w:val="none"/>
              </w:rPr>
            </w:pPr>
          </w:p>
        </w:tc>
        <w:tc>
          <w:tcPr>
            <w:tcW w:w="556" w:type="pct"/>
            <w:shd w:val="clear" w:color="auto" w:fill="auto"/>
            <w:tcMar>
              <w:top w:w="0" w:type="dxa"/>
              <w:left w:w="57" w:type="dxa"/>
              <w:bottom w:w="0" w:type="dxa"/>
              <w:right w:w="57" w:type="dxa"/>
            </w:tcMar>
            <w:vAlign w:val="center"/>
          </w:tcPr>
          <w:p w14:paraId="06AAF0F7">
            <w:pPr>
              <w:pStyle w:val="20"/>
              <w:bidi w:val="0"/>
              <w:rPr>
                <w:rFonts w:hint="default"/>
                <w:color w:val="auto"/>
                <w:highlight w:val="none"/>
                <w:lang w:val="en-US" w:eastAsia="zh-CN"/>
              </w:rPr>
            </w:pPr>
            <w:r>
              <w:rPr>
                <w:rFonts w:hint="eastAsia"/>
                <w:color w:val="auto"/>
                <w:highlight w:val="none"/>
                <w:lang w:val="en-US" w:eastAsia="zh-CN"/>
              </w:rPr>
              <w:t>0.01</w:t>
            </w:r>
          </w:p>
        </w:tc>
        <w:tc>
          <w:tcPr>
            <w:tcW w:w="490" w:type="pct"/>
            <w:tcMar>
              <w:top w:w="0" w:type="dxa"/>
              <w:left w:w="57" w:type="dxa"/>
              <w:bottom w:w="0" w:type="dxa"/>
              <w:right w:w="57" w:type="dxa"/>
            </w:tcMar>
            <w:vAlign w:val="center"/>
          </w:tcPr>
          <w:p w14:paraId="57802815">
            <w:pPr>
              <w:pStyle w:val="20"/>
              <w:bidi w:val="0"/>
              <w:rPr>
                <w:rFonts w:hint="eastAsia"/>
                <w:color w:val="auto"/>
                <w:highlight w:val="none"/>
              </w:rPr>
            </w:pPr>
          </w:p>
        </w:tc>
        <w:tc>
          <w:tcPr>
            <w:tcW w:w="594" w:type="pct"/>
            <w:shd w:val="clear" w:color="auto" w:fill="auto"/>
            <w:tcMar>
              <w:top w:w="0" w:type="dxa"/>
              <w:left w:w="57" w:type="dxa"/>
              <w:bottom w:w="0" w:type="dxa"/>
              <w:right w:w="57" w:type="dxa"/>
            </w:tcMar>
            <w:vAlign w:val="center"/>
          </w:tcPr>
          <w:p w14:paraId="50F81D7E">
            <w:pPr>
              <w:pStyle w:val="20"/>
              <w:bidi w:val="0"/>
              <w:rPr>
                <w:rFonts w:hint="default"/>
                <w:color w:val="auto"/>
                <w:highlight w:val="none"/>
                <w:lang w:val="en-US" w:eastAsia="zh-CN"/>
              </w:rPr>
            </w:pPr>
            <w:r>
              <w:rPr>
                <w:rFonts w:hint="eastAsia"/>
                <w:color w:val="auto"/>
                <w:highlight w:val="none"/>
                <w:lang w:val="en-US" w:eastAsia="zh-CN"/>
              </w:rPr>
              <w:t>0.01</w:t>
            </w:r>
          </w:p>
        </w:tc>
        <w:tc>
          <w:tcPr>
            <w:tcW w:w="447" w:type="pct"/>
            <w:shd w:val="clear" w:color="auto" w:fill="auto"/>
            <w:tcMar>
              <w:top w:w="0" w:type="dxa"/>
              <w:left w:w="57" w:type="dxa"/>
              <w:bottom w:w="0" w:type="dxa"/>
              <w:right w:w="57" w:type="dxa"/>
            </w:tcMar>
            <w:vAlign w:val="center"/>
          </w:tcPr>
          <w:p w14:paraId="29E2BF36">
            <w:pPr>
              <w:pStyle w:val="20"/>
              <w:bidi w:val="0"/>
              <w:rPr>
                <w:rFonts w:hint="default"/>
                <w:color w:val="auto"/>
                <w:highlight w:val="none"/>
                <w:lang w:val="en-US" w:eastAsia="zh-CN"/>
              </w:rPr>
            </w:pPr>
            <w:r>
              <w:rPr>
                <w:rFonts w:hint="eastAsia"/>
                <w:color w:val="auto"/>
                <w:highlight w:val="none"/>
                <w:lang w:val="en-US" w:eastAsia="zh-CN"/>
              </w:rPr>
              <w:t>+0.01</w:t>
            </w:r>
          </w:p>
        </w:tc>
      </w:tr>
      <w:tr w14:paraId="283D0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7D8B76B5">
            <w:pPr>
              <w:pStyle w:val="20"/>
              <w:bidi w:val="0"/>
              <w:rPr>
                <w:color w:val="auto"/>
                <w:highlight w:val="none"/>
              </w:rPr>
            </w:pPr>
          </w:p>
        </w:tc>
        <w:tc>
          <w:tcPr>
            <w:tcW w:w="839" w:type="pct"/>
            <w:shd w:val="clear" w:color="auto" w:fill="auto"/>
            <w:tcMar>
              <w:top w:w="0" w:type="dxa"/>
              <w:left w:w="57" w:type="dxa"/>
              <w:bottom w:w="0" w:type="dxa"/>
              <w:right w:w="57" w:type="dxa"/>
            </w:tcMar>
            <w:vAlign w:val="center"/>
          </w:tcPr>
          <w:p w14:paraId="182DD81F">
            <w:pPr>
              <w:pStyle w:val="20"/>
              <w:bidi w:val="0"/>
              <w:rPr>
                <w:rFonts w:hint="default"/>
                <w:color w:val="auto"/>
                <w:highlight w:val="none"/>
                <w:lang w:val="en-US" w:eastAsia="zh-CN"/>
              </w:rPr>
            </w:pPr>
            <w:r>
              <w:rPr>
                <w:rFonts w:hint="eastAsia"/>
                <w:color w:val="auto"/>
                <w:highlight w:val="none"/>
                <w:lang w:val="en-US" w:eastAsia="zh-CN"/>
              </w:rPr>
              <w:t>废过滤棉</w:t>
            </w:r>
          </w:p>
        </w:tc>
        <w:tc>
          <w:tcPr>
            <w:tcW w:w="566" w:type="pct"/>
            <w:shd w:val="clear" w:color="auto" w:fill="auto"/>
            <w:tcMar>
              <w:top w:w="0" w:type="dxa"/>
              <w:left w:w="57" w:type="dxa"/>
              <w:bottom w:w="0" w:type="dxa"/>
              <w:right w:w="57" w:type="dxa"/>
            </w:tcMar>
            <w:vAlign w:val="center"/>
          </w:tcPr>
          <w:p w14:paraId="2B66CC3E">
            <w:pPr>
              <w:pStyle w:val="20"/>
              <w:bidi w:val="0"/>
              <w:rPr>
                <w:rFonts w:hint="default"/>
                <w:color w:val="auto"/>
                <w:highlight w:val="none"/>
                <w:lang w:val="en-US" w:eastAsia="zh-CN"/>
              </w:rPr>
            </w:pPr>
            <w:r>
              <w:rPr>
                <w:rFonts w:hint="eastAsia"/>
                <w:color w:val="auto"/>
                <w:highlight w:val="none"/>
                <w:lang w:val="en-US" w:eastAsia="zh-CN"/>
              </w:rPr>
              <w:t>/</w:t>
            </w:r>
          </w:p>
        </w:tc>
        <w:tc>
          <w:tcPr>
            <w:tcW w:w="462" w:type="pct"/>
            <w:tcMar>
              <w:top w:w="0" w:type="dxa"/>
              <w:left w:w="57" w:type="dxa"/>
              <w:bottom w:w="0" w:type="dxa"/>
              <w:right w:w="57" w:type="dxa"/>
            </w:tcMar>
            <w:vAlign w:val="center"/>
          </w:tcPr>
          <w:p w14:paraId="7202DC20">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1DF41F52">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4969AAB2">
            <w:pPr>
              <w:pStyle w:val="20"/>
              <w:bidi w:val="0"/>
              <w:rPr>
                <w:rFonts w:hint="default"/>
                <w:color w:val="auto"/>
                <w:highlight w:val="none"/>
                <w:lang w:val="en-US" w:eastAsia="zh-CN"/>
              </w:rPr>
            </w:pPr>
            <w:r>
              <w:rPr>
                <w:rFonts w:hint="default"/>
                <w:color w:val="auto"/>
                <w:highlight w:val="none"/>
                <w:lang w:val="en-US" w:eastAsia="zh-CN"/>
              </w:rPr>
              <w:t>0.2</w:t>
            </w:r>
          </w:p>
        </w:tc>
        <w:tc>
          <w:tcPr>
            <w:tcW w:w="490" w:type="pct"/>
            <w:tcMar>
              <w:top w:w="0" w:type="dxa"/>
              <w:left w:w="57" w:type="dxa"/>
              <w:bottom w:w="0" w:type="dxa"/>
              <w:right w:w="57" w:type="dxa"/>
            </w:tcMar>
            <w:vAlign w:val="center"/>
          </w:tcPr>
          <w:p w14:paraId="5AB6C81C">
            <w:pPr>
              <w:pStyle w:val="20"/>
              <w:bidi w:val="0"/>
              <w:rPr>
                <w:color w:val="auto"/>
                <w:highlight w:val="none"/>
              </w:rPr>
            </w:pPr>
            <w:r>
              <w:rPr>
                <w:rFonts w:hint="eastAsia"/>
                <w:color w:val="auto"/>
                <w:highlight w:val="none"/>
              </w:rPr>
              <w:t>/</w:t>
            </w:r>
          </w:p>
        </w:tc>
        <w:tc>
          <w:tcPr>
            <w:tcW w:w="594" w:type="pct"/>
            <w:shd w:val="clear" w:color="auto" w:fill="auto"/>
            <w:tcMar>
              <w:top w:w="0" w:type="dxa"/>
              <w:left w:w="57" w:type="dxa"/>
              <w:bottom w:w="0" w:type="dxa"/>
              <w:right w:w="57" w:type="dxa"/>
            </w:tcMar>
            <w:vAlign w:val="center"/>
          </w:tcPr>
          <w:p w14:paraId="0419960A">
            <w:pPr>
              <w:pStyle w:val="20"/>
              <w:bidi w:val="0"/>
              <w:rPr>
                <w:rFonts w:hint="default"/>
                <w:color w:val="auto"/>
                <w:highlight w:val="none"/>
                <w:lang w:val="en-US" w:eastAsia="zh-CN"/>
              </w:rPr>
            </w:pPr>
            <w:r>
              <w:rPr>
                <w:rFonts w:hint="eastAsia"/>
                <w:color w:val="auto"/>
                <w:highlight w:val="none"/>
                <w:lang w:val="en-US" w:eastAsia="zh-CN"/>
              </w:rPr>
              <w:t>0.2</w:t>
            </w:r>
          </w:p>
        </w:tc>
        <w:tc>
          <w:tcPr>
            <w:tcW w:w="447" w:type="pct"/>
            <w:shd w:val="clear" w:color="auto" w:fill="auto"/>
            <w:tcMar>
              <w:top w:w="0" w:type="dxa"/>
              <w:left w:w="57" w:type="dxa"/>
              <w:bottom w:w="0" w:type="dxa"/>
              <w:right w:w="57" w:type="dxa"/>
            </w:tcMar>
            <w:vAlign w:val="center"/>
          </w:tcPr>
          <w:p w14:paraId="6E59E358">
            <w:pPr>
              <w:pStyle w:val="20"/>
              <w:bidi w:val="0"/>
              <w:rPr>
                <w:rFonts w:hint="default"/>
                <w:color w:val="auto"/>
                <w:highlight w:val="none"/>
                <w:lang w:val="en-US" w:eastAsia="zh-CN"/>
              </w:rPr>
            </w:pPr>
            <w:r>
              <w:rPr>
                <w:rFonts w:hint="eastAsia"/>
                <w:color w:val="auto"/>
                <w:highlight w:val="none"/>
                <w:lang w:val="en-US" w:eastAsia="zh-CN"/>
              </w:rPr>
              <w:t>+</w:t>
            </w:r>
            <w:r>
              <w:rPr>
                <w:rFonts w:hint="default"/>
                <w:color w:val="auto"/>
                <w:highlight w:val="none"/>
                <w:lang w:val="en-US" w:eastAsia="zh-CN"/>
              </w:rPr>
              <w:t>0.2</w:t>
            </w:r>
          </w:p>
        </w:tc>
      </w:tr>
      <w:tr w14:paraId="035CA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0E2DFFA7">
            <w:pPr>
              <w:pStyle w:val="20"/>
              <w:bidi w:val="0"/>
              <w:rPr>
                <w:color w:val="auto"/>
                <w:highlight w:val="none"/>
              </w:rPr>
            </w:pPr>
          </w:p>
        </w:tc>
        <w:tc>
          <w:tcPr>
            <w:tcW w:w="839" w:type="pct"/>
            <w:shd w:val="clear" w:color="auto" w:fill="auto"/>
            <w:tcMar>
              <w:top w:w="0" w:type="dxa"/>
              <w:left w:w="57" w:type="dxa"/>
              <w:bottom w:w="0" w:type="dxa"/>
              <w:right w:w="57" w:type="dxa"/>
            </w:tcMar>
            <w:vAlign w:val="center"/>
          </w:tcPr>
          <w:p w14:paraId="6C1684CB">
            <w:pPr>
              <w:pStyle w:val="20"/>
              <w:bidi w:val="0"/>
              <w:rPr>
                <w:rFonts w:hint="eastAsia"/>
                <w:color w:val="auto"/>
                <w:highlight w:val="none"/>
                <w:lang w:val="en-US" w:eastAsia="zh-CN"/>
              </w:rPr>
            </w:pPr>
            <w:r>
              <w:rPr>
                <w:rFonts w:hint="eastAsia"/>
                <w:color w:val="auto"/>
                <w:highlight w:val="none"/>
              </w:rPr>
              <w:t>废活性炭</w:t>
            </w:r>
          </w:p>
        </w:tc>
        <w:tc>
          <w:tcPr>
            <w:tcW w:w="566" w:type="pct"/>
            <w:shd w:val="clear" w:color="auto" w:fill="auto"/>
            <w:tcMar>
              <w:top w:w="0" w:type="dxa"/>
              <w:left w:w="57" w:type="dxa"/>
              <w:bottom w:w="0" w:type="dxa"/>
              <w:right w:w="57" w:type="dxa"/>
            </w:tcMar>
            <w:vAlign w:val="center"/>
          </w:tcPr>
          <w:p w14:paraId="3F89E57E">
            <w:pPr>
              <w:pStyle w:val="20"/>
              <w:bidi w:val="0"/>
              <w:rPr>
                <w:rFonts w:hint="default"/>
                <w:color w:val="auto"/>
                <w:highlight w:val="none"/>
                <w:lang w:val="en-US" w:eastAsia="zh-CN"/>
              </w:rPr>
            </w:pPr>
            <w:r>
              <w:rPr>
                <w:rFonts w:hint="eastAsia"/>
                <w:color w:val="auto"/>
                <w:highlight w:val="none"/>
                <w:lang w:val="en-US" w:eastAsia="zh-CN"/>
              </w:rPr>
              <w:t>/</w:t>
            </w:r>
          </w:p>
        </w:tc>
        <w:tc>
          <w:tcPr>
            <w:tcW w:w="462" w:type="pct"/>
            <w:tcMar>
              <w:top w:w="0" w:type="dxa"/>
              <w:left w:w="57" w:type="dxa"/>
              <w:bottom w:w="0" w:type="dxa"/>
              <w:right w:w="57" w:type="dxa"/>
            </w:tcMar>
            <w:vAlign w:val="center"/>
          </w:tcPr>
          <w:p w14:paraId="5EFEDF65">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22519B24">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55A407C5">
            <w:pPr>
              <w:pStyle w:val="20"/>
              <w:bidi w:val="0"/>
              <w:rPr>
                <w:rFonts w:hint="default"/>
                <w:color w:val="auto"/>
                <w:highlight w:val="none"/>
                <w:lang w:val="en-US" w:eastAsia="zh-CN"/>
              </w:rPr>
            </w:pPr>
            <w:r>
              <w:rPr>
                <w:rFonts w:hint="eastAsia"/>
                <w:color w:val="auto"/>
                <w:highlight w:val="none"/>
                <w:lang w:val="en-US" w:eastAsia="zh-CN"/>
              </w:rPr>
              <w:t>14.336</w:t>
            </w:r>
          </w:p>
        </w:tc>
        <w:tc>
          <w:tcPr>
            <w:tcW w:w="490" w:type="pct"/>
            <w:tcMar>
              <w:top w:w="0" w:type="dxa"/>
              <w:left w:w="57" w:type="dxa"/>
              <w:bottom w:w="0" w:type="dxa"/>
              <w:right w:w="57" w:type="dxa"/>
            </w:tcMar>
            <w:vAlign w:val="center"/>
          </w:tcPr>
          <w:p w14:paraId="20615DFF">
            <w:pPr>
              <w:pStyle w:val="20"/>
              <w:bidi w:val="0"/>
              <w:rPr>
                <w:color w:val="auto"/>
                <w:highlight w:val="none"/>
              </w:rPr>
            </w:pPr>
            <w:r>
              <w:rPr>
                <w:rFonts w:hint="eastAsia"/>
                <w:color w:val="auto"/>
                <w:highlight w:val="none"/>
              </w:rPr>
              <w:t>/</w:t>
            </w:r>
          </w:p>
        </w:tc>
        <w:tc>
          <w:tcPr>
            <w:tcW w:w="594" w:type="pct"/>
            <w:shd w:val="clear" w:color="auto" w:fill="auto"/>
            <w:tcMar>
              <w:top w:w="0" w:type="dxa"/>
              <w:left w:w="57" w:type="dxa"/>
              <w:bottom w:w="0" w:type="dxa"/>
              <w:right w:w="57" w:type="dxa"/>
            </w:tcMar>
            <w:vAlign w:val="center"/>
          </w:tcPr>
          <w:p w14:paraId="082B428F">
            <w:pPr>
              <w:pStyle w:val="20"/>
              <w:bidi w:val="0"/>
              <w:rPr>
                <w:rFonts w:hint="default"/>
                <w:color w:val="auto"/>
                <w:highlight w:val="none"/>
                <w:lang w:val="en-US" w:eastAsia="zh-CN"/>
              </w:rPr>
            </w:pPr>
            <w:r>
              <w:rPr>
                <w:rFonts w:hint="eastAsia"/>
                <w:color w:val="auto"/>
                <w:highlight w:val="none"/>
                <w:lang w:val="en-US" w:eastAsia="zh-CN"/>
              </w:rPr>
              <w:t>14.336</w:t>
            </w:r>
          </w:p>
        </w:tc>
        <w:tc>
          <w:tcPr>
            <w:tcW w:w="447" w:type="pct"/>
            <w:shd w:val="clear" w:color="auto" w:fill="auto"/>
            <w:tcMar>
              <w:top w:w="0" w:type="dxa"/>
              <w:left w:w="57" w:type="dxa"/>
              <w:bottom w:w="0" w:type="dxa"/>
              <w:right w:w="57" w:type="dxa"/>
            </w:tcMar>
            <w:vAlign w:val="center"/>
          </w:tcPr>
          <w:p w14:paraId="282B0F67">
            <w:pPr>
              <w:pStyle w:val="20"/>
              <w:bidi w:val="0"/>
              <w:rPr>
                <w:rFonts w:hint="default"/>
                <w:color w:val="auto"/>
                <w:highlight w:val="none"/>
                <w:lang w:val="en-US" w:eastAsia="zh-CN"/>
              </w:rPr>
            </w:pPr>
            <w:r>
              <w:rPr>
                <w:rFonts w:hint="eastAsia"/>
                <w:color w:val="auto"/>
                <w:highlight w:val="none"/>
                <w:lang w:val="en-US" w:eastAsia="zh-CN"/>
              </w:rPr>
              <w:t>+14.336</w:t>
            </w:r>
          </w:p>
        </w:tc>
      </w:tr>
      <w:tr w14:paraId="7CDF5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tcMar>
              <w:top w:w="0" w:type="dxa"/>
              <w:left w:w="57" w:type="dxa"/>
              <w:bottom w:w="0" w:type="dxa"/>
              <w:right w:w="57" w:type="dxa"/>
            </w:tcMar>
          </w:tcPr>
          <w:p w14:paraId="3B002F5C">
            <w:pPr>
              <w:pStyle w:val="20"/>
              <w:bidi w:val="0"/>
              <w:rPr>
                <w:color w:val="auto"/>
                <w:highlight w:val="none"/>
              </w:rPr>
            </w:pPr>
            <w:r>
              <w:rPr>
                <w:rFonts w:hint="eastAsia"/>
                <w:color w:val="auto"/>
                <w:highlight w:val="none"/>
              </w:rPr>
              <w:t>生活垃圾</w:t>
            </w:r>
          </w:p>
        </w:tc>
        <w:tc>
          <w:tcPr>
            <w:tcW w:w="839" w:type="pct"/>
            <w:tcMar>
              <w:top w:w="0" w:type="dxa"/>
              <w:left w:w="57" w:type="dxa"/>
              <w:bottom w:w="0" w:type="dxa"/>
              <w:right w:w="57" w:type="dxa"/>
            </w:tcMar>
            <w:vAlign w:val="center"/>
          </w:tcPr>
          <w:p w14:paraId="478FEB42">
            <w:pPr>
              <w:pStyle w:val="20"/>
              <w:bidi w:val="0"/>
              <w:rPr>
                <w:color w:val="auto"/>
                <w:highlight w:val="none"/>
                <w:lang w:val="en-US" w:eastAsia="zh-CN"/>
              </w:rPr>
            </w:pPr>
            <w:r>
              <w:rPr>
                <w:rFonts w:hint="eastAsia"/>
                <w:color w:val="auto"/>
                <w:highlight w:val="none"/>
              </w:rPr>
              <w:t>生活垃圾</w:t>
            </w:r>
          </w:p>
        </w:tc>
        <w:tc>
          <w:tcPr>
            <w:tcW w:w="566" w:type="pct"/>
            <w:shd w:val="clear" w:color="auto" w:fill="auto"/>
            <w:tcMar>
              <w:top w:w="0" w:type="dxa"/>
              <w:left w:w="57" w:type="dxa"/>
              <w:bottom w:w="0" w:type="dxa"/>
              <w:right w:w="57" w:type="dxa"/>
            </w:tcMar>
            <w:vAlign w:val="center"/>
          </w:tcPr>
          <w:p w14:paraId="03C59D24">
            <w:pPr>
              <w:pStyle w:val="20"/>
              <w:bidi w:val="0"/>
              <w:rPr>
                <w:rFonts w:hint="eastAsia"/>
                <w:color w:val="auto"/>
                <w:highlight w:val="none"/>
                <w:lang w:val="en-US" w:eastAsia="zh-CN"/>
              </w:rPr>
            </w:pPr>
            <w:r>
              <w:rPr>
                <w:rFonts w:hint="eastAsia"/>
                <w:color w:val="auto"/>
                <w:highlight w:val="none"/>
                <w:lang w:val="en-US" w:eastAsia="zh-CN"/>
              </w:rPr>
              <w:t>2.25</w:t>
            </w:r>
          </w:p>
        </w:tc>
        <w:tc>
          <w:tcPr>
            <w:tcW w:w="462" w:type="pct"/>
            <w:tcMar>
              <w:top w:w="0" w:type="dxa"/>
              <w:left w:w="57" w:type="dxa"/>
              <w:bottom w:w="0" w:type="dxa"/>
              <w:right w:w="57" w:type="dxa"/>
            </w:tcMar>
            <w:vAlign w:val="center"/>
          </w:tcPr>
          <w:p w14:paraId="0E131256">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1F53A54E">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1B2A980D">
            <w:pPr>
              <w:pStyle w:val="20"/>
              <w:bidi w:val="0"/>
              <w:rPr>
                <w:rFonts w:hint="eastAsia"/>
                <w:color w:val="auto"/>
                <w:highlight w:val="none"/>
                <w:lang w:val="en-US" w:eastAsia="zh-CN"/>
              </w:rPr>
            </w:pPr>
            <w:r>
              <w:rPr>
                <w:rFonts w:hint="eastAsia"/>
                <w:color w:val="auto"/>
                <w:highlight w:val="none"/>
                <w:lang w:val="en-US" w:eastAsia="zh-CN"/>
              </w:rPr>
              <w:t>6.75</w:t>
            </w:r>
          </w:p>
        </w:tc>
        <w:tc>
          <w:tcPr>
            <w:tcW w:w="490" w:type="pct"/>
            <w:tcMar>
              <w:top w:w="0" w:type="dxa"/>
              <w:left w:w="57" w:type="dxa"/>
              <w:bottom w:w="0" w:type="dxa"/>
              <w:right w:w="57" w:type="dxa"/>
            </w:tcMar>
            <w:vAlign w:val="center"/>
          </w:tcPr>
          <w:p w14:paraId="776C8072">
            <w:pPr>
              <w:pStyle w:val="20"/>
              <w:bidi w:val="0"/>
              <w:rPr>
                <w:color w:val="auto"/>
                <w:highlight w:val="none"/>
              </w:rPr>
            </w:pPr>
            <w:r>
              <w:rPr>
                <w:rFonts w:hint="eastAsia"/>
                <w:color w:val="auto"/>
                <w:highlight w:val="none"/>
              </w:rPr>
              <w:t>/</w:t>
            </w:r>
          </w:p>
        </w:tc>
        <w:tc>
          <w:tcPr>
            <w:tcW w:w="594" w:type="pct"/>
            <w:shd w:val="clear" w:color="auto" w:fill="auto"/>
            <w:tcMar>
              <w:top w:w="0" w:type="dxa"/>
              <w:left w:w="57" w:type="dxa"/>
              <w:bottom w:w="0" w:type="dxa"/>
              <w:right w:w="57" w:type="dxa"/>
            </w:tcMar>
            <w:vAlign w:val="center"/>
          </w:tcPr>
          <w:p w14:paraId="62852A58">
            <w:pPr>
              <w:pStyle w:val="20"/>
              <w:bidi w:val="0"/>
              <w:rPr>
                <w:rFonts w:hint="eastAsia"/>
                <w:color w:val="auto"/>
                <w:highlight w:val="none"/>
                <w:lang w:val="en-US" w:eastAsia="zh-CN"/>
              </w:rPr>
            </w:pPr>
            <w:r>
              <w:rPr>
                <w:rFonts w:hint="eastAsia"/>
                <w:color w:val="auto"/>
                <w:highlight w:val="none"/>
              </w:rPr>
              <w:t>9</w:t>
            </w:r>
          </w:p>
        </w:tc>
        <w:tc>
          <w:tcPr>
            <w:tcW w:w="447" w:type="pct"/>
            <w:shd w:val="clear" w:color="auto" w:fill="auto"/>
            <w:tcMar>
              <w:top w:w="0" w:type="dxa"/>
              <w:left w:w="57" w:type="dxa"/>
              <w:bottom w:w="0" w:type="dxa"/>
              <w:right w:w="57" w:type="dxa"/>
            </w:tcMar>
            <w:vAlign w:val="center"/>
          </w:tcPr>
          <w:p w14:paraId="221573ED">
            <w:pPr>
              <w:pStyle w:val="20"/>
              <w:bidi w:val="0"/>
              <w:rPr>
                <w:rFonts w:hint="eastAsia"/>
                <w:color w:val="auto"/>
                <w:highlight w:val="none"/>
                <w:lang w:val="en-US" w:eastAsia="zh-CN"/>
              </w:rPr>
            </w:pPr>
            <w:r>
              <w:rPr>
                <w:rFonts w:hint="eastAsia"/>
                <w:color w:val="auto"/>
                <w:highlight w:val="none"/>
                <w:lang w:val="en-US" w:eastAsia="zh-CN"/>
              </w:rPr>
              <w:t>+6.75</w:t>
            </w:r>
          </w:p>
        </w:tc>
      </w:tr>
    </w:tbl>
    <w:p w14:paraId="033B0AC0">
      <w:pPr>
        <w:spacing w:before="31" w:after="31"/>
        <w:jc w:val="left"/>
        <w:rPr>
          <w:color w:val="auto"/>
          <w:highlight w:val="none"/>
        </w:rPr>
      </w:pPr>
      <w:r>
        <w:rPr>
          <w:rFonts w:hAnsi="宋体"/>
          <w:snapToGrid w:val="0"/>
          <w:color w:val="auto"/>
          <w:kern w:val="21"/>
          <w:szCs w:val="21"/>
          <w:highlight w:val="none"/>
        </w:rPr>
        <w:t>注：</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3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③</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4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④</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5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⑤</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7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⑦</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p>
    <w:sectPr>
      <w:pgSz w:w="11906" w:h="16838"/>
      <w:pgMar w:top="1440" w:right="1463" w:bottom="1440" w:left="1463" w:header="851" w:footer="850" w:gutter="0"/>
      <w:cols w:space="0" w:num="1"/>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auto"/>
    <w:pitch w:val="default"/>
    <w:sig w:usb0="00000000" w:usb1="00000000" w:usb2="00000000" w:usb3="00000000" w:csb0="80000000" w:csb1="00000000"/>
  </w:font>
  <w:font w:name="Cambria Math">
    <w:panose1 w:val="02040503050406030204"/>
    <w:charset w:val="00"/>
    <w:family w:val="auto"/>
    <w:pitch w:val="default"/>
    <w:sig w:usb0="E00006FF" w:usb1="420024FF" w:usb2="02000000" w:usb3="00000000" w:csb0="2000019F"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65826">
    <w:pPr>
      <w:tabs>
        <w:tab w:val="center" w:pos="4153"/>
        <w:tab w:val="right"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8AA0A">
    <w:pPr>
      <w:tabs>
        <w:tab w:val="center" w:pos="4153"/>
        <w:tab w:val="right" w:pos="8306"/>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ADEEDF5">
                          <w:pPr>
                            <w:tabs>
                              <w:tab w:val="center" w:pos="4153"/>
                              <w:tab w:val="right" w:pos="8306"/>
                            </w:tabs>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FIWMoz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FIWMozAgAAZQQAAA4AAAAAAAAAAQAgAAAAHwEAAGRycy9lMm9Eb2MueG1sUEsF&#10;BgAAAAAGAAYAWQEAAMQFAAAAAA==&#10;">
              <v:fill on="f" focussize="0,0"/>
              <v:stroke on="f" weight="0.5pt"/>
              <v:imagedata o:title=""/>
              <o:lock v:ext="edit" aspectratio="f"/>
              <v:textbox inset="0mm,0mm,0mm,0mm" style="mso-fit-shape-to-text:t;">
                <w:txbxContent>
                  <w:p w14:paraId="6ADEEDF5">
                    <w:pPr>
                      <w:tabs>
                        <w:tab w:val="center" w:pos="4153"/>
                        <w:tab w:val="right" w:pos="8306"/>
                      </w:tabs>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7D983">
    <w:pPr>
      <w:tabs>
        <w:tab w:val="center" w:pos="4153"/>
        <w:tab w:val="right" w:pos="8306"/>
      </w:tabs>
      <w:ind w:right="360" w:firstLine="360"/>
      <w:jc w:val="both"/>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AE035E4">
                          <w:pPr>
                            <w:tabs>
                              <w:tab w:val="center" w:pos="4153"/>
                              <w:tab w:val="right" w:pos="8306"/>
                            </w:tabs>
                            <w:snapToGrid/>
                            <w:jc w:val="both"/>
                            <w:rPr>
                              <w:sz w:val="21"/>
                              <w:szCs w:val="21"/>
                            </w:rPr>
                          </w:pPr>
                          <w:r>
                            <w:rPr>
                              <w:sz w:val="21"/>
                              <w:szCs w:val="21"/>
                            </w:rPr>
                            <w:t xml:space="preserve">—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116</w:t>
                          </w:r>
                          <w:r>
                            <w:rPr>
                              <w:sz w:val="21"/>
                              <w:szCs w:val="21"/>
                            </w:rPr>
                            <w:fldChar w:fldCharType="end"/>
                          </w:r>
                          <w:r>
                            <w:rPr>
                              <w:sz w:val="21"/>
                              <w:szCs w:val="21"/>
                            </w:rPr>
                            <w:t xml:space="preserve"> —</w:t>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zPTnl80BAACoAwAADgAAAAAAAAABACAAAAAeAQAAZHJzL2Uy&#10;b0RvYy54bWxQSwUGAAAAAAYABgBZAQAAXQUAAAAA&#10;">
              <v:fill on="f" focussize="0,0"/>
              <v:stroke on="f"/>
              <v:imagedata o:title=""/>
              <o:lock v:ext="edit" aspectratio="f"/>
              <v:textbox inset="0mm,0mm,0mm,0mm" style="mso-fit-shape-to-text:t;">
                <w:txbxContent>
                  <w:p w14:paraId="1AE035E4">
                    <w:pPr>
                      <w:tabs>
                        <w:tab w:val="center" w:pos="4153"/>
                        <w:tab w:val="right" w:pos="8306"/>
                      </w:tabs>
                      <w:snapToGrid/>
                      <w:jc w:val="both"/>
                      <w:rPr>
                        <w:sz w:val="21"/>
                        <w:szCs w:val="21"/>
                      </w:rPr>
                    </w:pPr>
                    <w:r>
                      <w:rPr>
                        <w:sz w:val="21"/>
                        <w:szCs w:val="21"/>
                      </w:rPr>
                      <w:t xml:space="preserve">—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116</w:t>
                    </w:r>
                    <w:r>
                      <w:rPr>
                        <w:sz w:val="21"/>
                        <w:szCs w:val="21"/>
                      </w:rPr>
                      <w:fldChar w:fldCharType="end"/>
                    </w:r>
                    <w:r>
                      <w:rPr>
                        <w:sz w:val="21"/>
                        <w:szCs w:val="21"/>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055DAF"/>
    <w:multiLevelType w:val="singleLevel"/>
    <w:tmpl w:val="97055DAF"/>
    <w:lvl w:ilvl="0" w:tentative="0">
      <w:start w:val="1"/>
      <w:numFmt w:val="decimal"/>
      <w:suff w:val="nothing"/>
      <w:lvlText w:val="%1."/>
      <w:lvlJc w:val="left"/>
      <w:pPr>
        <w:ind w:left="425" w:hanging="425"/>
      </w:pPr>
      <w:rPr>
        <w:rFonts w:hint="default"/>
      </w:rPr>
    </w:lvl>
  </w:abstractNum>
  <w:abstractNum w:abstractNumId="1">
    <w:nsid w:val="A518274B"/>
    <w:multiLevelType w:val="singleLevel"/>
    <w:tmpl w:val="A518274B"/>
    <w:lvl w:ilvl="0" w:tentative="0">
      <w:start w:val="1"/>
      <w:numFmt w:val="decimal"/>
      <w:suff w:val="nothing"/>
      <w:lvlText w:val="%1."/>
      <w:lvlJc w:val="left"/>
      <w:pPr>
        <w:ind w:left="425" w:hanging="425"/>
      </w:pPr>
      <w:rPr>
        <w:rFonts w:hint="default"/>
      </w:rPr>
    </w:lvl>
  </w:abstractNum>
  <w:abstractNum w:abstractNumId="2">
    <w:nsid w:val="B462DAC2"/>
    <w:multiLevelType w:val="singleLevel"/>
    <w:tmpl w:val="B462DAC2"/>
    <w:lvl w:ilvl="0" w:tentative="0">
      <w:start w:val="1"/>
      <w:numFmt w:val="decimal"/>
      <w:suff w:val="nothing"/>
      <w:lvlText w:val="%1."/>
      <w:lvlJc w:val="left"/>
      <w:pPr>
        <w:ind w:left="425" w:hanging="425"/>
      </w:pPr>
      <w:rPr>
        <w:rFonts w:hint="default"/>
      </w:rPr>
    </w:lvl>
  </w:abstractNum>
  <w:abstractNum w:abstractNumId="3">
    <w:nsid w:val="330C0366"/>
    <w:multiLevelType w:val="singleLevel"/>
    <w:tmpl w:val="330C0366"/>
    <w:lvl w:ilvl="0" w:tentative="0">
      <w:start w:val="1"/>
      <w:numFmt w:val="decimal"/>
      <w:suff w:val="nothing"/>
      <w:lvlText w:val="%1."/>
      <w:lvlJc w:val="left"/>
      <w:pPr>
        <w:ind w:left="425" w:hanging="425"/>
      </w:pPr>
      <w:rPr>
        <w:rFonts w:hint="default"/>
      </w:rPr>
    </w:lvl>
  </w:abstractNum>
  <w:abstractNum w:abstractNumId="4">
    <w:nsid w:val="515CA602"/>
    <w:multiLevelType w:val="singleLevel"/>
    <w:tmpl w:val="515CA602"/>
    <w:lvl w:ilvl="0" w:tentative="0">
      <w:start w:val="1"/>
      <w:numFmt w:val="decimal"/>
      <w:suff w:val="nothing"/>
      <w:lvlText w:val="%1."/>
      <w:lvlJc w:val="left"/>
      <w:pPr>
        <w:ind w:left="425" w:hanging="425"/>
      </w:pPr>
      <w:rPr>
        <w:rFonts w:hint="default"/>
      </w:rPr>
    </w:lvl>
  </w:abstractNum>
  <w:abstractNum w:abstractNumId="5">
    <w:nsid w:val="537AC061"/>
    <w:multiLevelType w:val="singleLevel"/>
    <w:tmpl w:val="537AC061"/>
    <w:lvl w:ilvl="0" w:tentative="0">
      <w:start w:val="1"/>
      <w:numFmt w:val="decimal"/>
      <w:pStyle w:val="2"/>
      <w:suff w:val="nothing"/>
      <w:lvlText w:val="%1."/>
      <w:lvlJc w:val="left"/>
      <w:pPr>
        <w:ind w:left="425" w:hanging="425"/>
      </w:pPr>
      <w:rPr>
        <w:rFonts w:hint="default"/>
      </w:rPr>
    </w:lvl>
  </w:abstractNum>
  <w:abstractNum w:abstractNumId="6">
    <w:nsid w:val="5FE8C7FF"/>
    <w:multiLevelType w:val="singleLevel"/>
    <w:tmpl w:val="5FE8C7FF"/>
    <w:lvl w:ilvl="0" w:tentative="0">
      <w:start w:val="1"/>
      <w:numFmt w:val="decimal"/>
      <w:suff w:val="nothing"/>
      <w:lvlText w:val="%1."/>
      <w:lvlJc w:val="left"/>
      <w:pPr>
        <w:ind w:left="425" w:hanging="425"/>
      </w:pPr>
      <w:rPr>
        <w:rFonts w:hint="default"/>
      </w:rPr>
    </w:lvl>
  </w:abstractNum>
  <w:abstractNum w:abstractNumId="7">
    <w:nsid w:val="65D5FCDF"/>
    <w:multiLevelType w:val="singleLevel"/>
    <w:tmpl w:val="65D5FCDF"/>
    <w:lvl w:ilvl="0" w:tentative="0">
      <w:start w:val="1"/>
      <w:numFmt w:val="decimal"/>
      <w:suff w:val="nothing"/>
      <w:lvlText w:val="%1."/>
      <w:lvlJc w:val="left"/>
      <w:pPr>
        <w:ind w:left="425" w:hanging="425"/>
      </w:pPr>
      <w:rPr>
        <w:rFonts w:hint="default"/>
      </w:rPr>
    </w:lvl>
  </w:abstractNum>
  <w:abstractNum w:abstractNumId="8">
    <w:nsid w:val="681D4CC8"/>
    <w:multiLevelType w:val="singleLevel"/>
    <w:tmpl w:val="681D4CC8"/>
    <w:lvl w:ilvl="0" w:tentative="0">
      <w:start w:val="1"/>
      <w:numFmt w:val="decimal"/>
      <w:suff w:val="nothing"/>
      <w:lvlText w:val="%1."/>
      <w:lvlJc w:val="left"/>
      <w:pPr>
        <w:ind w:left="425" w:hanging="425"/>
      </w:pPr>
      <w:rPr>
        <w:rFonts w:hint="default"/>
      </w:rPr>
    </w:lvl>
  </w:abstractNum>
  <w:num w:numId="1">
    <w:abstractNumId w:val="5"/>
  </w:num>
  <w:num w:numId="2">
    <w:abstractNumId w:val="0"/>
  </w:num>
  <w:num w:numId="3">
    <w:abstractNumId w:val="2"/>
  </w:num>
  <w:num w:numId="4">
    <w:abstractNumId w:val="1"/>
  </w:num>
  <w:num w:numId="5">
    <w:abstractNumId w:val="5"/>
    <w:lvlOverride w:ilvl="0">
      <w:startOverride w:val="1"/>
    </w:lvlOverride>
  </w:num>
  <w:num w:numId="6">
    <w:abstractNumId w:val="4"/>
  </w:num>
  <w:num w:numId="7">
    <w:abstractNumId w:val="6"/>
  </w:num>
  <w:num w:numId="8">
    <w:abstractNumId w:val="8"/>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hZjNiZGMzZDgyOTg0ZWRlMjk3ZmJiYWVmOTA2ZWQifQ=="/>
  </w:docVars>
  <w:rsids>
    <w:rsidRoot w:val="00172A27"/>
    <w:rsid w:val="00021C63"/>
    <w:rsid w:val="00023ECE"/>
    <w:rsid w:val="0005579B"/>
    <w:rsid w:val="000A002F"/>
    <w:rsid w:val="000B6B4E"/>
    <w:rsid w:val="0013551E"/>
    <w:rsid w:val="0016001E"/>
    <w:rsid w:val="00172A27"/>
    <w:rsid w:val="00193EAC"/>
    <w:rsid w:val="001C3544"/>
    <w:rsid w:val="001E0589"/>
    <w:rsid w:val="001E23EA"/>
    <w:rsid w:val="001E58CF"/>
    <w:rsid w:val="002042A6"/>
    <w:rsid w:val="00207852"/>
    <w:rsid w:val="002537EA"/>
    <w:rsid w:val="00265185"/>
    <w:rsid w:val="00295B25"/>
    <w:rsid w:val="00296BF4"/>
    <w:rsid w:val="002C0E8E"/>
    <w:rsid w:val="002F2539"/>
    <w:rsid w:val="003508F4"/>
    <w:rsid w:val="0035424D"/>
    <w:rsid w:val="00375493"/>
    <w:rsid w:val="00393D00"/>
    <w:rsid w:val="00396F6C"/>
    <w:rsid w:val="003A4DB8"/>
    <w:rsid w:val="003F5AE9"/>
    <w:rsid w:val="003F6320"/>
    <w:rsid w:val="00411CA3"/>
    <w:rsid w:val="00412753"/>
    <w:rsid w:val="004315B5"/>
    <w:rsid w:val="004545C6"/>
    <w:rsid w:val="0049408D"/>
    <w:rsid w:val="004B2E71"/>
    <w:rsid w:val="004C014D"/>
    <w:rsid w:val="004E7202"/>
    <w:rsid w:val="004F0CDA"/>
    <w:rsid w:val="00531793"/>
    <w:rsid w:val="00555FD3"/>
    <w:rsid w:val="00570456"/>
    <w:rsid w:val="00583A0B"/>
    <w:rsid w:val="005B0BCF"/>
    <w:rsid w:val="00646DD8"/>
    <w:rsid w:val="0065251B"/>
    <w:rsid w:val="0068273B"/>
    <w:rsid w:val="006B147B"/>
    <w:rsid w:val="006B1C6A"/>
    <w:rsid w:val="006B4F71"/>
    <w:rsid w:val="006E6810"/>
    <w:rsid w:val="006F2D18"/>
    <w:rsid w:val="006F74D2"/>
    <w:rsid w:val="0071259D"/>
    <w:rsid w:val="00724545"/>
    <w:rsid w:val="00743FE2"/>
    <w:rsid w:val="00781AAB"/>
    <w:rsid w:val="00786EC9"/>
    <w:rsid w:val="007F6BB6"/>
    <w:rsid w:val="00822872"/>
    <w:rsid w:val="00846F6D"/>
    <w:rsid w:val="009D6B99"/>
    <w:rsid w:val="00A01F7B"/>
    <w:rsid w:val="00A31AE9"/>
    <w:rsid w:val="00A90BD1"/>
    <w:rsid w:val="00AA69B0"/>
    <w:rsid w:val="00AB0214"/>
    <w:rsid w:val="00AE0C83"/>
    <w:rsid w:val="00AE7905"/>
    <w:rsid w:val="00B0542F"/>
    <w:rsid w:val="00B23E4B"/>
    <w:rsid w:val="00B5180C"/>
    <w:rsid w:val="00B62A63"/>
    <w:rsid w:val="00BA57B8"/>
    <w:rsid w:val="00BB241C"/>
    <w:rsid w:val="00BB5E15"/>
    <w:rsid w:val="00BE52E4"/>
    <w:rsid w:val="00BE5D22"/>
    <w:rsid w:val="00BF36CE"/>
    <w:rsid w:val="00C56069"/>
    <w:rsid w:val="00C82F55"/>
    <w:rsid w:val="00C91C7C"/>
    <w:rsid w:val="00D43537"/>
    <w:rsid w:val="00DE552B"/>
    <w:rsid w:val="00DF0887"/>
    <w:rsid w:val="00E03C20"/>
    <w:rsid w:val="00E74962"/>
    <w:rsid w:val="00E840F9"/>
    <w:rsid w:val="00E84CDB"/>
    <w:rsid w:val="00EA3BC7"/>
    <w:rsid w:val="00EB625D"/>
    <w:rsid w:val="00EF168A"/>
    <w:rsid w:val="00EF46A1"/>
    <w:rsid w:val="00F04CDD"/>
    <w:rsid w:val="00F3444D"/>
    <w:rsid w:val="00FC47F1"/>
    <w:rsid w:val="00FD05AE"/>
    <w:rsid w:val="00FE7B1E"/>
    <w:rsid w:val="010103EC"/>
    <w:rsid w:val="010319FE"/>
    <w:rsid w:val="010A6538"/>
    <w:rsid w:val="011952AC"/>
    <w:rsid w:val="01227E81"/>
    <w:rsid w:val="0136673B"/>
    <w:rsid w:val="014632E9"/>
    <w:rsid w:val="01853E11"/>
    <w:rsid w:val="0187402D"/>
    <w:rsid w:val="018A1427"/>
    <w:rsid w:val="018D0A94"/>
    <w:rsid w:val="01B079A0"/>
    <w:rsid w:val="01B32ED9"/>
    <w:rsid w:val="01BE7323"/>
    <w:rsid w:val="01DE17CB"/>
    <w:rsid w:val="01EA0118"/>
    <w:rsid w:val="01EC1CEE"/>
    <w:rsid w:val="01FF0067"/>
    <w:rsid w:val="020411DA"/>
    <w:rsid w:val="020D3E29"/>
    <w:rsid w:val="021653B1"/>
    <w:rsid w:val="022A341C"/>
    <w:rsid w:val="023D36F2"/>
    <w:rsid w:val="02551F1A"/>
    <w:rsid w:val="02553FCA"/>
    <w:rsid w:val="025B3CF3"/>
    <w:rsid w:val="02663DDE"/>
    <w:rsid w:val="026B3007"/>
    <w:rsid w:val="026F2680"/>
    <w:rsid w:val="029D518A"/>
    <w:rsid w:val="02AB3CF3"/>
    <w:rsid w:val="02B65093"/>
    <w:rsid w:val="02C1531D"/>
    <w:rsid w:val="02C73DEC"/>
    <w:rsid w:val="02F16B85"/>
    <w:rsid w:val="02F92D08"/>
    <w:rsid w:val="02FC17B4"/>
    <w:rsid w:val="031E0D03"/>
    <w:rsid w:val="033414F1"/>
    <w:rsid w:val="037C6A95"/>
    <w:rsid w:val="038608F3"/>
    <w:rsid w:val="03884C34"/>
    <w:rsid w:val="03A43D21"/>
    <w:rsid w:val="03B5077B"/>
    <w:rsid w:val="03C52BEB"/>
    <w:rsid w:val="03CB6A59"/>
    <w:rsid w:val="03CC3F79"/>
    <w:rsid w:val="040310C6"/>
    <w:rsid w:val="040B5BD2"/>
    <w:rsid w:val="041360C3"/>
    <w:rsid w:val="04204D4C"/>
    <w:rsid w:val="042359FF"/>
    <w:rsid w:val="042F1BAB"/>
    <w:rsid w:val="04342F7D"/>
    <w:rsid w:val="0449319B"/>
    <w:rsid w:val="044E2E5C"/>
    <w:rsid w:val="04540515"/>
    <w:rsid w:val="045B0A8B"/>
    <w:rsid w:val="046429AC"/>
    <w:rsid w:val="047E3302"/>
    <w:rsid w:val="048825E5"/>
    <w:rsid w:val="048A7E5C"/>
    <w:rsid w:val="04AE7B23"/>
    <w:rsid w:val="04C5454C"/>
    <w:rsid w:val="04D31337"/>
    <w:rsid w:val="04D8407A"/>
    <w:rsid w:val="04DF3B09"/>
    <w:rsid w:val="04E946B7"/>
    <w:rsid w:val="04F70103"/>
    <w:rsid w:val="04FA27A6"/>
    <w:rsid w:val="05033514"/>
    <w:rsid w:val="051072DC"/>
    <w:rsid w:val="051536FE"/>
    <w:rsid w:val="05330645"/>
    <w:rsid w:val="054A0E25"/>
    <w:rsid w:val="0571684C"/>
    <w:rsid w:val="059A3839"/>
    <w:rsid w:val="05AA2098"/>
    <w:rsid w:val="05C606DF"/>
    <w:rsid w:val="05E50700"/>
    <w:rsid w:val="05FC1A05"/>
    <w:rsid w:val="060372C2"/>
    <w:rsid w:val="060914B4"/>
    <w:rsid w:val="060F7A3C"/>
    <w:rsid w:val="062C6F51"/>
    <w:rsid w:val="063330F2"/>
    <w:rsid w:val="063F4ED6"/>
    <w:rsid w:val="06491C6E"/>
    <w:rsid w:val="0656343B"/>
    <w:rsid w:val="0664493D"/>
    <w:rsid w:val="067A1963"/>
    <w:rsid w:val="067B7364"/>
    <w:rsid w:val="06A44211"/>
    <w:rsid w:val="06C72A0D"/>
    <w:rsid w:val="06C9168F"/>
    <w:rsid w:val="06D21E8C"/>
    <w:rsid w:val="06E74FFD"/>
    <w:rsid w:val="06ED4446"/>
    <w:rsid w:val="06EE4206"/>
    <w:rsid w:val="06F22FE4"/>
    <w:rsid w:val="071A78BF"/>
    <w:rsid w:val="071F545F"/>
    <w:rsid w:val="073A744C"/>
    <w:rsid w:val="07435109"/>
    <w:rsid w:val="074D33A5"/>
    <w:rsid w:val="0752124F"/>
    <w:rsid w:val="076B5E84"/>
    <w:rsid w:val="076D6FAC"/>
    <w:rsid w:val="077F0BBF"/>
    <w:rsid w:val="07856C92"/>
    <w:rsid w:val="07A1396F"/>
    <w:rsid w:val="07B63137"/>
    <w:rsid w:val="07DC15D4"/>
    <w:rsid w:val="07F014A4"/>
    <w:rsid w:val="07FA1660"/>
    <w:rsid w:val="07FE66CB"/>
    <w:rsid w:val="080D4B60"/>
    <w:rsid w:val="081A2493"/>
    <w:rsid w:val="0865499C"/>
    <w:rsid w:val="087152DB"/>
    <w:rsid w:val="08744BDF"/>
    <w:rsid w:val="08786EB9"/>
    <w:rsid w:val="088D0011"/>
    <w:rsid w:val="089C14C5"/>
    <w:rsid w:val="08AA1271"/>
    <w:rsid w:val="08AB57EE"/>
    <w:rsid w:val="08AB77F5"/>
    <w:rsid w:val="08BB1CB7"/>
    <w:rsid w:val="08C12FAA"/>
    <w:rsid w:val="08CA0A87"/>
    <w:rsid w:val="08E32185"/>
    <w:rsid w:val="08E619A7"/>
    <w:rsid w:val="08F170BC"/>
    <w:rsid w:val="08FD6FB7"/>
    <w:rsid w:val="0901083E"/>
    <w:rsid w:val="09082FBF"/>
    <w:rsid w:val="09144C9A"/>
    <w:rsid w:val="091B1158"/>
    <w:rsid w:val="092A3E84"/>
    <w:rsid w:val="0932487E"/>
    <w:rsid w:val="094B5ABE"/>
    <w:rsid w:val="098F1A84"/>
    <w:rsid w:val="099472E7"/>
    <w:rsid w:val="099808D7"/>
    <w:rsid w:val="09BA3F93"/>
    <w:rsid w:val="09BE12AB"/>
    <w:rsid w:val="09C94AB7"/>
    <w:rsid w:val="09D860A7"/>
    <w:rsid w:val="09F44E83"/>
    <w:rsid w:val="09FA35E1"/>
    <w:rsid w:val="0A0F696E"/>
    <w:rsid w:val="0A183593"/>
    <w:rsid w:val="0A1A5904"/>
    <w:rsid w:val="0A254BD1"/>
    <w:rsid w:val="0A2C098D"/>
    <w:rsid w:val="0A4534E3"/>
    <w:rsid w:val="0A4E393A"/>
    <w:rsid w:val="0A4F1FD2"/>
    <w:rsid w:val="0A656ED5"/>
    <w:rsid w:val="0A6C2012"/>
    <w:rsid w:val="0A7B2255"/>
    <w:rsid w:val="0A8115CD"/>
    <w:rsid w:val="0A8248B8"/>
    <w:rsid w:val="0A8940B2"/>
    <w:rsid w:val="0A911A78"/>
    <w:rsid w:val="0A96708F"/>
    <w:rsid w:val="0AB70544"/>
    <w:rsid w:val="0ACB0426"/>
    <w:rsid w:val="0ADF27E4"/>
    <w:rsid w:val="0AEC33A1"/>
    <w:rsid w:val="0B057D70"/>
    <w:rsid w:val="0B101589"/>
    <w:rsid w:val="0B266665"/>
    <w:rsid w:val="0B4C599F"/>
    <w:rsid w:val="0B4E1717"/>
    <w:rsid w:val="0B510E79"/>
    <w:rsid w:val="0B5341EC"/>
    <w:rsid w:val="0B6947A3"/>
    <w:rsid w:val="0B79715E"/>
    <w:rsid w:val="0B7C0551"/>
    <w:rsid w:val="0B941961"/>
    <w:rsid w:val="0B957346"/>
    <w:rsid w:val="0BD95444"/>
    <w:rsid w:val="0BE43E2A"/>
    <w:rsid w:val="0C0A5AFB"/>
    <w:rsid w:val="0C0F613C"/>
    <w:rsid w:val="0C11233A"/>
    <w:rsid w:val="0C406B82"/>
    <w:rsid w:val="0C4F49B1"/>
    <w:rsid w:val="0C50326D"/>
    <w:rsid w:val="0C9079AA"/>
    <w:rsid w:val="0C965CB4"/>
    <w:rsid w:val="0CB07405"/>
    <w:rsid w:val="0CBD0903"/>
    <w:rsid w:val="0CC066D9"/>
    <w:rsid w:val="0CD64482"/>
    <w:rsid w:val="0CE52A8A"/>
    <w:rsid w:val="0CE77102"/>
    <w:rsid w:val="0CE85F04"/>
    <w:rsid w:val="0CF63E15"/>
    <w:rsid w:val="0CFA1D51"/>
    <w:rsid w:val="0D02446E"/>
    <w:rsid w:val="0D097CE5"/>
    <w:rsid w:val="0D1424ED"/>
    <w:rsid w:val="0D2564A8"/>
    <w:rsid w:val="0D28727D"/>
    <w:rsid w:val="0D3B2BB1"/>
    <w:rsid w:val="0D5E0626"/>
    <w:rsid w:val="0D73623B"/>
    <w:rsid w:val="0D761CCD"/>
    <w:rsid w:val="0D830A36"/>
    <w:rsid w:val="0D895952"/>
    <w:rsid w:val="0DA9098D"/>
    <w:rsid w:val="0DEF6465"/>
    <w:rsid w:val="0DF05062"/>
    <w:rsid w:val="0DF34973"/>
    <w:rsid w:val="0DF36980"/>
    <w:rsid w:val="0DF74AB3"/>
    <w:rsid w:val="0E0871B9"/>
    <w:rsid w:val="0E214EC1"/>
    <w:rsid w:val="0E350E4D"/>
    <w:rsid w:val="0E455054"/>
    <w:rsid w:val="0E80799A"/>
    <w:rsid w:val="0E8437D2"/>
    <w:rsid w:val="0E8E5388"/>
    <w:rsid w:val="0EA02501"/>
    <w:rsid w:val="0EA6569E"/>
    <w:rsid w:val="0EA66637"/>
    <w:rsid w:val="0ECE0DAB"/>
    <w:rsid w:val="0ED23844"/>
    <w:rsid w:val="0EEB4EF1"/>
    <w:rsid w:val="0EEE5EFB"/>
    <w:rsid w:val="0F055045"/>
    <w:rsid w:val="0F291C4D"/>
    <w:rsid w:val="0F3330FE"/>
    <w:rsid w:val="0F485059"/>
    <w:rsid w:val="0F626AB2"/>
    <w:rsid w:val="0F810D45"/>
    <w:rsid w:val="0F8C5DD4"/>
    <w:rsid w:val="0FA22032"/>
    <w:rsid w:val="0FB07240"/>
    <w:rsid w:val="0FCE0451"/>
    <w:rsid w:val="10001F28"/>
    <w:rsid w:val="100233D8"/>
    <w:rsid w:val="1010485A"/>
    <w:rsid w:val="10150A56"/>
    <w:rsid w:val="10394744"/>
    <w:rsid w:val="105F02A8"/>
    <w:rsid w:val="1064458A"/>
    <w:rsid w:val="107E7A12"/>
    <w:rsid w:val="108D7A4D"/>
    <w:rsid w:val="10901C8E"/>
    <w:rsid w:val="109951E3"/>
    <w:rsid w:val="10DC7A45"/>
    <w:rsid w:val="10F04C15"/>
    <w:rsid w:val="111D150D"/>
    <w:rsid w:val="11240D1F"/>
    <w:rsid w:val="112E7403"/>
    <w:rsid w:val="113076C2"/>
    <w:rsid w:val="113917C7"/>
    <w:rsid w:val="113B0990"/>
    <w:rsid w:val="114710E3"/>
    <w:rsid w:val="114E7B85"/>
    <w:rsid w:val="11580A2C"/>
    <w:rsid w:val="116A4DD1"/>
    <w:rsid w:val="116B189D"/>
    <w:rsid w:val="116E65E3"/>
    <w:rsid w:val="117444FA"/>
    <w:rsid w:val="117730BA"/>
    <w:rsid w:val="117B2B3A"/>
    <w:rsid w:val="118827D8"/>
    <w:rsid w:val="1193257A"/>
    <w:rsid w:val="11A011FE"/>
    <w:rsid w:val="11A2456B"/>
    <w:rsid w:val="11A82250"/>
    <w:rsid w:val="11CF366A"/>
    <w:rsid w:val="11D67855"/>
    <w:rsid w:val="11D7710A"/>
    <w:rsid w:val="11D77AF6"/>
    <w:rsid w:val="11D87F8D"/>
    <w:rsid w:val="11E455D1"/>
    <w:rsid w:val="11FC1ECD"/>
    <w:rsid w:val="120D5E88"/>
    <w:rsid w:val="121224C5"/>
    <w:rsid w:val="121E62E8"/>
    <w:rsid w:val="121F427F"/>
    <w:rsid w:val="124D5D37"/>
    <w:rsid w:val="12505225"/>
    <w:rsid w:val="125D58F4"/>
    <w:rsid w:val="126F37E8"/>
    <w:rsid w:val="12744E48"/>
    <w:rsid w:val="12767ED2"/>
    <w:rsid w:val="127C433C"/>
    <w:rsid w:val="1293615E"/>
    <w:rsid w:val="12A4050D"/>
    <w:rsid w:val="12B00D63"/>
    <w:rsid w:val="12B10403"/>
    <w:rsid w:val="12CB145F"/>
    <w:rsid w:val="12F4356B"/>
    <w:rsid w:val="130F24CC"/>
    <w:rsid w:val="1331700D"/>
    <w:rsid w:val="13355A2E"/>
    <w:rsid w:val="134C276D"/>
    <w:rsid w:val="13711F08"/>
    <w:rsid w:val="13806B2E"/>
    <w:rsid w:val="13A528E5"/>
    <w:rsid w:val="13B76C7A"/>
    <w:rsid w:val="13C50F53"/>
    <w:rsid w:val="13CC7DA0"/>
    <w:rsid w:val="13DA7FEC"/>
    <w:rsid w:val="13EB3FA7"/>
    <w:rsid w:val="13EF107F"/>
    <w:rsid w:val="13EF1661"/>
    <w:rsid w:val="13FE7CD2"/>
    <w:rsid w:val="141A5482"/>
    <w:rsid w:val="14264FE0"/>
    <w:rsid w:val="146B466D"/>
    <w:rsid w:val="148A0D75"/>
    <w:rsid w:val="148F527B"/>
    <w:rsid w:val="14907014"/>
    <w:rsid w:val="14952165"/>
    <w:rsid w:val="14B618A0"/>
    <w:rsid w:val="14DC6AD9"/>
    <w:rsid w:val="14F275B8"/>
    <w:rsid w:val="150F49E6"/>
    <w:rsid w:val="15171E90"/>
    <w:rsid w:val="15206F0B"/>
    <w:rsid w:val="1543184F"/>
    <w:rsid w:val="156A1844"/>
    <w:rsid w:val="156C0F5E"/>
    <w:rsid w:val="1577398F"/>
    <w:rsid w:val="15865CBB"/>
    <w:rsid w:val="15914789"/>
    <w:rsid w:val="1592175D"/>
    <w:rsid w:val="15A765F4"/>
    <w:rsid w:val="15A94E65"/>
    <w:rsid w:val="15AD3421"/>
    <w:rsid w:val="15B66837"/>
    <w:rsid w:val="15C471A6"/>
    <w:rsid w:val="15CA4620"/>
    <w:rsid w:val="15D52DF4"/>
    <w:rsid w:val="15EC4007"/>
    <w:rsid w:val="15EF5316"/>
    <w:rsid w:val="15F2454F"/>
    <w:rsid w:val="1622230E"/>
    <w:rsid w:val="163F250D"/>
    <w:rsid w:val="164375C3"/>
    <w:rsid w:val="16676B90"/>
    <w:rsid w:val="166A6A8F"/>
    <w:rsid w:val="16754C5B"/>
    <w:rsid w:val="167B137A"/>
    <w:rsid w:val="168865E2"/>
    <w:rsid w:val="16887D2F"/>
    <w:rsid w:val="16BA5F72"/>
    <w:rsid w:val="16BC60CF"/>
    <w:rsid w:val="16CA52C0"/>
    <w:rsid w:val="16CB1E6E"/>
    <w:rsid w:val="16CD15A1"/>
    <w:rsid w:val="16DF0904"/>
    <w:rsid w:val="16E802DA"/>
    <w:rsid w:val="171A40B2"/>
    <w:rsid w:val="171B54BE"/>
    <w:rsid w:val="17272808"/>
    <w:rsid w:val="17290D07"/>
    <w:rsid w:val="172E7410"/>
    <w:rsid w:val="17620A24"/>
    <w:rsid w:val="176C6328"/>
    <w:rsid w:val="17701EAA"/>
    <w:rsid w:val="1775287D"/>
    <w:rsid w:val="17824C23"/>
    <w:rsid w:val="178567FF"/>
    <w:rsid w:val="17885FB1"/>
    <w:rsid w:val="17A0249B"/>
    <w:rsid w:val="17A50911"/>
    <w:rsid w:val="17A52E61"/>
    <w:rsid w:val="17AE4240"/>
    <w:rsid w:val="17CC022A"/>
    <w:rsid w:val="17D631C0"/>
    <w:rsid w:val="17E25B24"/>
    <w:rsid w:val="17E7290E"/>
    <w:rsid w:val="17FC0C08"/>
    <w:rsid w:val="17FD2225"/>
    <w:rsid w:val="17FE23F5"/>
    <w:rsid w:val="183414BB"/>
    <w:rsid w:val="184719C8"/>
    <w:rsid w:val="184D741A"/>
    <w:rsid w:val="18726766"/>
    <w:rsid w:val="187D363C"/>
    <w:rsid w:val="188B5D59"/>
    <w:rsid w:val="188D03EF"/>
    <w:rsid w:val="188F2A7A"/>
    <w:rsid w:val="18D313CE"/>
    <w:rsid w:val="18D82117"/>
    <w:rsid w:val="18E86D07"/>
    <w:rsid w:val="19187035"/>
    <w:rsid w:val="19241D0A"/>
    <w:rsid w:val="19306900"/>
    <w:rsid w:val="19351A12"/>
    <w:rsid w:val="193C43F0"/>
    <w:rsid w:val="194653FE"/>
    <w:rsid w:val="195359EA"/>
    <w:rsid w:val="19813167"/>
    <w:rsid w:val="19947D9E"/>
    <w:rsid w:val="19970208"/>
    <w:rsid w:val="19B13200"/>
    <w:rsid w:val="19E03E83"/>
    <w:rsid w:val="19E313EB"/>
    <w:rsid w:val="19EB0972"/>
    <w:rsid w:val="19EC0A79"/>
    <w:rsid w:val="19ED08E1"/>
    <w:rsid w:val="19ED659F"/>
    <w:rsid w:val="19F9460F"/>
    <w:rsid w:val="19FD67E3"/>
    <w:rsid w:val="1A036AD4"/>
    <w:rsid w:val="1A0C1530"/>
    <w:rsid w:val="1A1011BD"/>
    <w:rsid w:val="1A1153B5"/>
    <w:rsid w:val="1A1237C8"/>
    <w:rsid w:val="1A1324AA"/>
    <w:rsid w:val="1A1D7A78"/>
    <w:rsid w:val="1A2D5D89"/>
    <w:rsid w:val="1A3743C9"/>
    <w:rsid w:val="1A3E32B0"/>
    <w:rsid w:val="1A45420D"/>
    <w:rsid w:val="1A457FF0"/>
    <w:rsid w:val="1A4918D5"/>
    <w:rsid w:val="1A512287"/>
    <w:rsid w:val="1A5D3725"/>
    <w:rsid w:val="1A5D5615"/>
    <w:rsid w:val="1A5F4246"/>
    <w:rsid w:val="1A7E73B3"/>
    <w:rsid w:val="1AA25A8E"/>
    <w:rsid w:val="1AAD39F3"/>
    <w:rsid w:val="1AB07CF9"/>
    <w:rsid w:val="1AB2524F"/>
    <w:rsid w:val="1ACD5A86"/>
    <w:rsid w:val="1AD703D8"/>
    <w:rsid w:val="1AE8328E"/>
    <w:rsid w:val="1AEB118E"/>
    <w:rsid w:val="1AEC6857"/>
    <w:rsid w:val="1AF56F61"/>
    <w:rsid w:val="1B1365DF"/>
    <w:rsid w:val="1B1D1E8B"/>
    <w:rsid w:val="1B217E78"/>
    <w:rsid w:val="1B2A399E"/>
    <w:rsid w:val="1B2B737F"/>
    <w:rsid w:val="1B2C029F"/>
    <w:rsid w:val="1B3E5305"/>
    <w:rsid w:val="1B45345B"/>
    <w:rsid w:val="1B550666"/>
    <w:rsid w:val="1B6724EE"/>
    <w:rsid w:val="1B6875F7"/>
    <w:rsid w:val="1B71002C"/>
    <w:rsid w:val="1B7E1BA5"/>
    <w:rsid w:val="1B8A0999"/>
    <w:rsid w:val="1B945946"/>
    <w:rsid w:val="1B9969DF"/>
    <w:rsid w:val="1BAF6202"/>
    <w:rsid w:val="1BB52C4D"/>
    <w:rsid w:val="1BD51022"/>
    <w:rsid w:val="1BEC12B2"/>
    <w:rsid w:val="1C0A4D0F"/>
    <w:rsid w:val="1C105534"/>
    <w:rsid w:val="1C273FEB"/>
    <w:rsid w:val="1C363A87"/>
    <w:rsid w:val="1C3A1F70"/>
    <w:rsid w:val="1C450915"/>
    <w:rsid w:val="1C4B5A8C"/>
    <w:rsid w:val="1C592571"/>
    <w:rsid w:val="1C5D7A0C"/>
    <w:rsid w:val="1C645A43"/>
    <w:rsid w:val="1C662D65"/>
    <w:rsid w:val="1C7B6FDF"/>
    <w:rsid w:val="1C8C6544"/>
    <w:rsid w:val="1C984EE8"/>
    <w:rsid w:val="1CA301E4"/>
    <w:rsid w:val="1CB92923"/>
    <w:rsid w:val="1CE86711"/>
    <w:rsid w:val="1CEE6721"/>
    <w:rsid w:val="1CFD0F69"/>
    <w:rsid w:val="1D013201"/>
    <w:rsid w:val="1D287D2B"/>
    <w:rsid w:val="1D2C32A0"/>
    <w:rsid w:val="1D2E5674"/>
    <w:rsid w:val="1D303373"/>
    <w:rsid w:val="1D3C3020"/>
    <w:rsid w:val="1D5410DB"/>
    <w:rsid w:val="1D631052"/>
    <w:rsid w:val="1D65301C"/>
    <w:rsid w:val="1D6F441D"/>
    <w:rsid w:val="1D703F07"/>
    <w:rsid w:val="1D767107"/>
    <w:rsid w:val="1D88614E"/>
    <w:rsid w:val="1D9A259A"/>
    <w:rsid w:val="1DB82D68"/>
    <w:rsid w:val="1DCC107C"/>
    <w:rsid w:val="1DCD471E"/>
    <w:rsid w:val="1DD800FB"/>
    <w:rsid w:val="1DE06B47"/>
    <w:rsid w:val="1DF919B7"/>
    <w:rsid w:val="1E016487"/>
    <w:rsid w:val="1E032710"/>
    <w:rsid w:val="1E090DA0"/>
    <w:rsid w:val="1E181CCB"/>
    <w:rsid w:val="1E2105A3"/>
    <w:rsid w:val="1E256308"/>
    <w:rsid w:val="1E3B4028"/>
    <w:rsid w:val="1E501234"/>
    <w:rsid w:val="1E644E82"/>
    <w:rsid w:val="1E6958D5"/>
    <w:rsid w:val="1E7023F2"/>
    <w:rsid w:val="1E8E51B5"/>
    <w:rsid w:val="1E984D2C"/>
    <w:rsid w:val="1EA55706"/>
    <w:rsid w:val="1EB63404"/>
    <w:rsid w:val="1EC507DB"/>
    <w:rsid w:val="1EC60FF8"/>
    <w:rsid w:val="1ECC70CB"/>
    <w:rsid w:val="1ED657D3"/>
    <w:rsid w:val="1EF03F7B"/>
    <w:rsid w:val="1F041ECF"/>
    <w:rsid w:val="1F130856"/>
    <w:rsid w:val="1F217B78"/>
    <w:rsid w:val="1F2448BB"/>
    <w:rsid w:val="1F3A051E"/>
    <w:rsid w:val="1F422EEA"/>
    <w:rsid w:val="1F4C4D40"/>
    <w:rsid w:val="1F516E88"/>
    <w:rsid w:val="1F640595"/>
    <w:rsid w:val="1F6E48A6"/>
    <w:rsid w:val="1F8451A2"/>
    <w:rsid w:val="1FB16A7A"/>
    <w:rsid w:val="1FB959B5"/>
    <w:rsid w:val="1FC65ADD"/>
    <w:rsid w:val="1FCB5A54"/>
    <w:rsid w:val="1FD15D8D"/>
    <w:rsid w:val="1FDD07B1"/>
    <w:rsid w:val="200D1749"/>
    <w:rsid w:val="201C7BDE"/>
    <w:rsid w:val="203B41E6"/>
    <w:rsid w:val="20424A83"/>
    <w:rsid w:val="20757347"/>
    <w:rsid w:val="20A930DA"/>
    <w:rsid w:val="20B271A6"/>
    <w:rsid w:val="20B56A8F"/>
    <w:rsid w:val="20B72A6C"/>
    <w:rsid w:val="20C66F34"/>
    <w:rsid w:val="20CC7751"/>
    <w:rsid w:val="20CF4595"/>
    <w:rsid w:val="20E93F65"/>
    <w:rsid w:val="20EE1300"/>
    <w:rsid w:val="21057ECD"/>
    <w:rsid w:val="2107263D"/>
    <w:rsid w:val="211127DA"/>
    <w:rsid w:val="21163D66"/>
    <w:rsid w:val="211F34E2"/>
    <w:rsid w:val="2126145E"/>
    <w:rsid w:val="21472238"/>
    <w:rsid w:val="2148036D"/>
    <w:rsid w:val="21662627"/>
    <w:rsid w:val="219B77D2"/>
    <w:rsid w:val="21AB2FC8"/>
    <w:rsid w:val="21C01C20"/>
    <w:rsid w:val="21D342CD"/>
    <w:rsid w:val="21D55684"/>
    <w:rsid w:val="21DA59C5"/>
    <w:rsid w:val="21DF1422"/>
    <w:rsid w:val="21EB27A9"/>
    <w:rsid w:val="21F05F78"/>
    <w:rsid w:val="21F07BB9"/>
    <w:rsid w:val="21F15493"/>
    <w:rsid w:val="21FB260D"/>
    <w:rsid w:val="21FF50C2"/>
    <w:rsid w:val="220B3A67"/>
    <w:rsid w:val="220C327B"/>
    <w:rsid w:val="220F3557"/>
    <w:rsid w:val="22164DF5"/>
    <w:rsid w:val="222075E8"/>
    <w:rsid w:val="22234D87"/>
    <w:rsid w:val="22401962"/>
    <w:rsid w:val="224401B8"/>
    <w:rsid w:val="2251477E"/>
    <w:rsid w:val="226F2247"/>
    <w:rsid w:val="2273741C"/>
    <w:rsid w:val="228100EE"/>
    <w:rsid w:val="228950F7"/>
    <w:rsid w:val="22981523"/>
    <w:rsid w:val="22AD16D9"/>
    <w:rsid w:val="22AE4E10"/>
    <w:rsid w:val="22B2091B"/>
    <w:rsid w:val="22BD7457"/>
    <w:rsid w:val="22FD5AA5"/>
    <w:rsid w:val="230010F2"/>
    <w:rsid w:val="230B530F"/>
    <w:rsid w:val="2312365D"/>
    <w:rsid w:val="23256DAA"/>
    <w:rsid w:val="232D61D4"/>
    <w:rsid w:val="23305A3C"/>
    <w:rsid w:val="23533917"/>
    <w:rsid w:val="235F290B"/>
    <w:rsid w:val="23787B5B"/>
    <w:rsid w:val="239570C5"/>
    <w:rsid w:val="23AE4FF1"/>
    <w:rsid w:val="23B01F1C"/>
    <w:rsid w:val="23B56380"/>
    <w:rsid w:val="23C30A9D"/>
    <w:rsid w:val="23C33A6E"/>
    <w:rsid w:val="23D20B76"/>
    <w:rsid w:val="23D245E4"/>
    <w:rsid w:val="23DE4065"/>
    <w:rsid w:val="23EE6818"/>
    <w:rsid w:val="24042E63"/>
    <w:rsid w:val="24332AB0"/>
    <w:rsid w:val="24482D50"/>
    <w:rsid w:val="244D65B5"/>
    <w:rsid w:val="245E39F0"/>
    <w:rsid w:val="2464066D"/>
    <w:rsid w:val="246C2944"/>
    <w:rsid w:val="248D4C07"/>
    <w:rsid w:val="24964ED9"/>
    <w:rsid w:val="24AE1F6D"/>
    <w:rsid w:val="24D03CD9"/>
    <w:rsid w:val="24D665AE"/>
    <w:rsid w:val="24E231A5"/>
    <w:rsid w:val="24EB4F7F"/>
    <w:rsid w:val="24F353B2"/>
    <w:rsid w:val="24F37160"/>
    <w:rsid w:val="24FF6134"/>
    <w:rsid w:val="25001EA9"/>
    <w:rsid w:val="252437BD"/>
    <w:rsid w:val="252606D3"/>
    <w:rsid w:val="253456D4"/>
    <w:rsid w:val="253704EB"/>
    <w:rsid w:val="253D662D"/>
    <w:rsid w:val="254C4AC2"/>
    <w:rsid w:val="254E5391"/>
    <w:rsid w:val="25780611"/>
    <w:rsid w:val="257A0B00"/>
    <w:rsid w:val="25944AEB"/>
    <w:rsid w:val="25A147D2"/>
    <w:rsid w:val="25A641D2"/>
    <w:rsid w:val="25B30B82"/>
    <w:rsid w:val="25B763DF"/>
    <w:rsid w:val="25BD1A38"/>
    <w:rsid w:val="25CC175F"/>
    <w:rsid w:val="25D40AFB"/>
    <w:rsid w:val="25F3318F"/>
    <w:rsid w:val="25FD5C87"/>
    <w:rsid w:val="260929B3"/>
    <w:rsid w:val="260F621B"/>
    <w:rsid w:val="26225865"/>
    <w:rsid w:val="26345C82"/>
    <w:rsid w:val="2644494E"/>
    <w:rsid w:val="26541E80"/>
    <w:rsid w:val="26555BF8"/>
    <w:rsid w:val="2674607E"/>
    <w:rsid w:val="26797620"/>
    <w:rsid w:val="26845BE6"/>
    <w:rsid w:val="26906C30"/>
    <w:rsid w:val="269B0B2D"/>
    <w:rsid w:val="26AC3A6A"/>
    <w:rsid w:val="26C23084"/>
    <w:rsid w:val="26DE007D"/>
    <w:rsid w:val="26E33204"/>
    <w:rsid w:val="271456A1"/>
    <w:rsid w:val="27357E58"/>
    <w:rsid w:val="274B4AE1"/>
    <w:rsid w:val="27695FE1"/>
    <w:rsid w:val="277A0DF9"/>
    <w:rsid w:val="277D5F91"/>
    <w:rsid w:val="277D7AF1"/>
    <w:rsid w:val="279060FE"/>
    <w:rsid w:val="27952EEF"/>
    <w:rsid w:val="27982240"/>
    <w:rsid w:val="279A7D67"/>
    <w:rsid w:val="27B25A6F"/>
    <w:rsid w:val="27B31D70"/>
    <w:rsid w:val="27B626C7"/>
    <w:rsid w:val="27BF5A1F"/>
    <w:rsid w:val="27EE72B6"/>
    <w:rsid w:val="27F924EA"/>
    <w:rsid w:val="28043432"/>
    <w:rsid w:val="28043F5B"/>
    <w:rsid w:val="281137D1"/>
    <w:rsid w:val="282E4C91"/>
    <w:rsid w:val="283E0644"/>
    <w:rsid w:val="28401DD4"/>
    <w:rsid w:val="28443F6C"/>
    <w:rsid w:val="28550E29"/>
    <w:rsid w:val="287F13C0"/>
    <w:rsid w:val="28874F91"/>
    <w:rsid w:val="289B740D"/>
    <w:rsid w:val="28A2720B"/>
    <w:rsid w:val="28AD79EC"/>
    <w:rsid w:val="28AE42FF"/>
    <w:rsid w:val="28D264EC"/>
    <w:rsid w:val="28DC615D"/>
    <w:rsid w:val="28F6721F"/>
    <w:rsid w:val="29037B8D"/>
    <w:rsid w:val="29072BAC"/>
    <w:rsid w:val="290B34CF"/>
    <w:rsid w:val="2919115F"/>
    <w:rsid w:val="293444FF"/>
    <w:rsid w:val="29350BF1"/>
    <w:rsid w:val="294162C1"/>
    <w:rsid w:val="29535AE8"/>
    <w:rsid w:val="29597B2A"/>
    <w:rsid w:val="29907923"/>
    <w:rsid w:val="29B2206E"/>
    <w:rsid w:val="29C72969"/>
    <w:rsid w:val="29C86DDC"/>
    <w:rsid w:val="29E0392F"/>
    <w:rsid w:val="29F049F0"/>
    <w:rsid w:val="29F74708"/>
    <w:rsid w:val="2A091455"/>
    <w:rsid w:val="2A0A7E53"/>
    <w:rsid w:val="2A273ADB"/>
    <w:rsid w:val="2A57508D"/>
    <w:rsid w:val="2A84005F"/>
    <w:rsid w:val="2A895ED8"/>
    <w:rsid w:val="2A9036A3"/>
    <w:rsid w:val="2A94353F"/>
    <w:rsid w:val="2AA66A22"/>
    <w:rsid w:val="2AB16E31"/>
    <w:rsid w:val="2AB92B7C"/>
    <w:rsid w:val="2AC177DE"/>
    <w:rsid w:val="2AC91894"/>
    <w:rsid w:val="2ACA3F3D"/>
    <w:rsid w:val="2ACB3B4E"/>
    <w:rsid w:val="2ADC3451"/>
    <w:rsid w:val="2AFC6642"/>
    <w:rsid w:val="2AFE5F88"/>
    <w:rsid w:val="2B0400C6"/>
    <w:rsid w:val="2B196AE6"/>
    <w:rsid w:val="2B512E32"/>
    <w:rsid w:val="2B527780"/>
    <w:rsid w:val="2B683CD8"/>
    <w:rsid w:val="2B6C5576"/>
    <w:rsid w:val="2B6D2937"/>
    <w:rsid w:val="2B7132D4"/>
    <w:rsid w:val="2B874B82"/>
    <w:rsid w:val="2B894B5C"/>
    <w:rsid w:val="2B8E0712"/>
    <w:rsid w:val="2BAF20E2"/>
    <w:rsid w:val="2BB46D12"/>
    <w:rsid w:val="2BC74EA2"/>
    <w:rsid w:val="2BD271A8"/>
    <w:rsid w:val="2BEF5499"/>
    <w:rsid w:val="2BFA0E6E"/>
    <w:rsid w:val="2C081EED"/>
    <w:rsid w:val="2C0D1B30"/>
    <w:rsid w:val="2C171382"/>
    <w:rsid w:val="2C1D1083"/>
    <w:rsid w:val="2C35094F"/>
    <w:rsid w:val="2C3749B9"/>
    <w:rsid w:val="2C447E50"/>
    <w:rsid w:val="2C4C53A8"/>
    <w:rsid w:val="2C6A60BC"/>
    <w:rsid w:val="2C842381"/>
    <w:rsid w:val="2CA86A82"/>
    <w:rsid w:val="2CAB2B29"/>
    <w:rsid w:val="2CAC29CC"/>
    <w:rsid w:val="2CAE6F9C"/>
    <w:rsid w:val="2CBF72CC"/>
    <w:rsid w:val="2CC64123"/>
    <w:rsid w:val="2CD309A1"/>
    <w:rsid w:val="2CE3693E"/>
    <w:rsid w:val="2CFF241A"/>
    <w:rsid w:val="2D045C82"/>
    <w:rsid w:val="2D04645A"/>
    <w:rsid w:val="2D2C21ED"/>
    <w:rsid w:val="2D40315E"/>
    <w:rsid w:val="2D617015"/>
    <w:rsid w:val="2D79041E"/>
    <w:rsid w:val="2D7D7A9B"/>
    <w:rsid w:val="2D945E4E"/>
    <w:rsid w:val="2DA31D38"/>
    <w:rsid w:val="2DC04700"/>
    <w:rsid w:val="2DCB13B7"/>
    <w:rsid w:val="2DCB6D90"/>
    <w:rsid w:val="2DD1323B"/>
    <w:rsid w:val="2DDF2977"/>
    <w:rsid w:val="2DEF06E0"/>
    <w:rsid w:val="2DFC52C4"/>
    <w:rsid w:val="2E0F2528"/>
    <w:rsid w:val="2E1E0BFF"/>
    <w:rsid w:val="2E36630F"/>
    <w:rsid w:val="2E3F049B"/>
    <w:rsid w:val="2E511F0E"/>
    <w:rsid w:val="2E5461D3"/>
    <w:rsid w:val="2E5D734C"/>
    <w:rsid w:val="2E6D7297"/>
    <w:rsid w:val="2E6E3B96"/>
    <w:rsid w:val="2E7E43A8"/>
    <w:rsid w:val="2E965D94"/>
    <w:rsid w:val="2EAD7069"/>
    <w:rsid w:val="2ECE6123"/>
    <w:rsid w:val="2EE759CE"/>
    <w:rsid w:val="2EE85EE3"/>
    <w:rsid w:val="2EF37D5C"/>
    <w:rsid w:val="2F0B4B45"/>
    <w:rsid w:val="2F0E5A28"/>
    <w:rsid w:val="2F2E4218"/>
    <w:rsid w:val="2F324D29"/>
    <w:rsid w:val="2F3E2AB0"/>
    <w:rsid w:val="2F4607D4"/>
    <w:rsid w:val="2F481A0E"/>
    <w:rsid w:val="2F4E2A4C"/>
    <w:rsid w:val="2F5030B4"/>
    <w:rsid w:val="2F503401"/>
    <w:rsid w:val="2F76041A"/>
    <w:rsid w:val="2F857A8C"/>
    <w:rsid w:val="2F866E22"/>
    <w:rsid w:val="2F8D6864"/>
    <w:rsid w:val="2F970416"/>
    <w:rsid w:val="2FA432A0"/>
    <w:rsid w:val="2FAB112B"/>
    <w:rsid w:val="2FCC7222"/>
    <w:rsid w:val="2FD27507"/>
    <w:rsid w:val="2FFD6C34"/>
    <w:rsid w:val="30102864"/>
    <w:rsid w:val="303B7C0D"/>
    <w:rsid w:val="30445DEF"/>
    <w:rsid w:val="304608E5"/>
    <w:rsid w:val="3055617A"/>
    <w:rsid w:val="30650B2A"/>
    <w:rsid w:val="30670A02"/>
    <w:rsid w:val="307D1FD3"/>
    <w:rsid w:val="308A40D0"/>
    <w:rsid w:val="30903378"/>
    <w:rsid w:val="30AA7B35"/>
    <w:rsid w:val="30B86334"/>
    <w:rsid w:val="30C47C02"/>
    <w:rsid w:val="30D756C5"/>
    <w:rsid w:val="30F535ED"/>
    <w:rsid w:val="3101645B"/>
    <w:rsid w:val="31041521"/>
    <w:rsid w:val="31062907"/>
    <w:rsid w:val="310A4C93"/>
    <w:rsid w:val="311A0D73"/>
    <w:rsid w:val="311A4C93"/>
    <w:rsid w:val="312F01A6"/>
    <w:rsid w:val="31326A82"/>
    <w:rsid w:val="31335D9D"/>
    <w:rsid w:val="31350B00"/>
    <w:rsid w:val="315C3D5E"/>
    <w:rsid w:val="315D7907"/>
    <w:rsid w:val="31692562"/>
    <w:rsid w:val="317F46A3"/>
    <w:rsid w:val="31833AED"/>
    <w:rsid w:val="31A23282"/>
    <w:rsid w:val="31CE634D"/>
    <w:rsid w:val="31D036A3"/>
    <w:rsid w:val="31D2665D"/>
    <w:rsid w:val="31D45137"/>
    <w:rsid w:val="31E95A5E"/>
    <w:rsid w:val="31EB393F"/>
    <w:rsid w:val="31F57CED"/>
    <w:rsid w:val="32001E81"/>
    <w:rsid w:val="32026C34"/>
    <w:rsid w:val="320C1861"/>
    <w:rsid w:val="320E3709"/>
    <w:rsid w:val="321A2936"/>
    <w:rsid w:val="321D59C5"/>
    <w:rsid w:val="321E3548"/>
    <w:rsid w:val="321E4D35"/>
    <w:rsid w:val="32345719"/>
    <w:rsid w:val="323F6360"/>
    <w:rsid w:val="324234D5"/>
    <w:rsid w:val="32483DB6"/>
    <w:rsid w:val="324A4137"/>
    <w:rsid w:val="324F3609"/>
    <w:rsid w:val="325F5E35"/>
    <w:rsid w:val="3260745D"/>
    <w:rsid w:val="32745500"/>
    <w:rsid w:val="32762E70"/>
    <w:rsid w:val="3293788C"/>
    <w:rsid w:val="329A1588"/>
    <w:rsid w:val="329B67CE"/>
    <w:rsid w:val="329E153D"/>
    <w:rsid w:val="32BE4145"/>
    <w:rsid w:val="32F45598"/>
    <w:rsid w:val="330B38C7"/>
    <w:rsid w:val="332B3CDC"/>
    <w:rsid w:val="335D4511"/>
    <w:rsid w:val="336F6FCC"/>
    <w:rsid w:val="337374B7"/>
    <w:rsid w:val="33880A8D"/>
    <w:rsid w:val="33892387"/>
    <w:rsid w:val="339E4DEF"/>
    <w:rsid w:val="33A65CE5"/>
    <w:rsid w:val="33C301F1"/>
    <w:rsid w:val="33D75E9F"/>
    <w:rsid w:val="33DA14EB"/>
    <w:rsid w:val="33DC6096"/>
    <w:rsid w:val="33DD6B08"/>
    <w:rsid w:val="33E20651"/>
    <w:rsid w:val="33F04867"/>
    <w:rsid w:val="33F107B2"/>
    <w:rsid w:val="33F86629"/>
    <w:rsid w:val="34002195"/>
    <w:rsid w:val="34311A53"/>
    <w:rsid w:val="343A248B"/>
    <w:rsid w:val="344025E3"/>
    <w:rsid w:val="345E47BB"/>
    <w:rsid w:val="346B6F71"/>
    <w:rsid w:val="347B794C"/>
    <w:rsid w:val="347F740C"/>
    <w:rsid w:val="3481782D"/>
    <w:rsid w:val="348452BA"/>
    <w:rsid w:val="34955E0D"/>
    <w:rsid w:val="34A246FE"/>
    <w:rsid w:val="34AE575A"/>
    <w:rsid w:val="34B843C7"/>
    <w:rsid w:val="34C62452"/>
    <w:rsid w:val="34E54D31"/>
    <w:rsid w:val="34EA52F5"/>
    <w:rsid w:val="34F23E66"/>
    <w:rsid w:val="352433F7"/>
    <w:rsid w:val="352B46F4"/>
    <w:rsid w:val="354041AE"/>
    <w:rsid w:val="35685891"/>
    <w:rsid w:val="356B689E"/>
    <w:rsid w:val="357A11D7"/>
    <w:rsid w:val="359D401A"/>
    <w:rsid w:val="35CB5FF5"/>
    <w:rsid w:val="35CD57AB"/>
    <w:rsid w:val="35D73F34"/>
    <w:rsid w:val="35E127D8"/>
    <w:rsid w:val="35E26DA2"/>
    <w:rsid w:val="35E87EEF"/>
    <w:rsid w:val="35EF5721"/>
    <w:rsid w:val="35F26FC0"/>
    <w:rsid w:val="35FE1502"/>
    <w:rsid w:val="360129C7"/>
    <w:rsid w:val="36026892"/>
    <w:rsid w:val="36083204"/>
    <w:rsid w:val="3613266C"/>
    <w:rsid w:val="36237179"/>
    <w:rsid w:val="363475D8"/>
    <w:rsid w:val="363B5370"/>
    <w:rsid w:val="36513CE6"/>
    <w:rsid w:val="36536671"/>
    <w:rsid w:val="3667350A"/>
    <w:rsid w:val="36721CD7"/>
    <w:rsid w:val="36730100"/>
    <w:rsid w:val="368A452B"/>
    <w:rsid w:val="368F5AFA"/>
    <w:rsid w:val="369123B9"/>
    <w:rsid w:val="36A3538E"/>
    <w:rsid w:val="36A529CE"/>
    <w:rsid w:val="36B14785"/>
    <w:rsid w:val="36B44275"/>
    <w:rsid w:val="36E7464B"/>
    <w:rsid w:val="36F249C1"/>
    <w:rsid w:val="37071AD9"/>
    <w:rsid w:val="372044E7"/>
    <w:rsid w:val="372F1B4E"/>
    <w:rsid w:val="373D5AB7"/>
    <w:rsid w:val="375A306E"/>
    <w:rsid w:val="375D37CD"/>
    <w:rsid w:val="376A4987"/>
    <w:rsid w:val="37737C8C"/>
    <w:rsid w:val="37863E63"/>
    <w:rsid w:val="3790083E"/>
    <w:rsid w:val="37A60062"/>
    <w:rsid w:val="37B502A5"/>
    <w:rsid w:val="37BA358A"/>
    <w:rsid w:val="37BE6F79"/>
    <w:rsid w:val="37BF7474"/>
    <w:rsid w:val="37CF0DCF"/>
    <w:rsid w:val="37F0752F"/>
    <w:rsid w:val="37F70F84"/>
    <w:rsid w:val="38203B15"/>
    <w:rsid w:val="3832219A"/>
    <w:rsid w:val="3836276B"/>
    <w:rsid w:val="38543F62"/>
    <w:rsid w:val="386A3366"/>
    <w:rsid w:val="386E4A17"/>
    <w:rsid w:val="38862D4C"/>
    <w:rsid w:val="388B1F60"/>
    <w:rsid w:val="38A07C80"/>
    <w:rsid w:val="38AB73DC"/>
    <w:rsid w:val="38CA7E02"/>
    <w:rsid w:val="38CC1D4A"/>
    <w:rsid w:val="38CC7F9C"/>
    <w:rsid w:val="38CD161E"/>
    <w:rsid w:val="38D96215"/>
    <w:rsid w:val="38DC6584"/>
    <w:rsid w:val="38E60F5A"/>
    <w:rsid w:val="390E4110"/>
    <w:rsid w:val="394A4EC0"/>
    <w:rsid w:val="394C69E7"/>
    <w:rsid w:val="395D2BAD"/>
    <w:rsid w:val="397321C6"/>
    <w:rsid w:val="39860B89"/>
    <w:rsid w:val="398D0406"/>
    <w:rsid w:val="39BE5B37"/>
    <w:rsid w:val="39C46EC5"/>
    <w:rsid w:val="39CA6470"/>
    <w:rsid w:val="39D32C64"/>
    <w:rsid w:val="39D85494"/>
    <w:rsid w:val="39FB720A"/>
    <w:rsid w:val="3A185318"/>
    <w:rsid w:val="3A3375A8"/>
    <w:rsid w:val="3A3F0404"/>
    <w:rsid w:val="3A5D3099"/>
    <w:rsid w:val="3A7C56F6"/>
    <w:rsid w:val="3AA84668"/>
    <w:rsid w:val="3AB24B93"/>
    <w:rsid w:val="3AB833AE"/>
    <w:rsid w:val="3AC57590"/>
    <w:rsid w:val="3ACF6BCA"/>
    <w:rsid w:val="3AD11BE1"/>
    <w:rsid w:val="3AFF4CBE"/>
    <w:rsid w:val="3B163750"/>
    <w:rsid w:val="3B204173"/>
    <w:rsid w:val="3B277131"/>
    <w:rsid w:val="3B286FE0"/>
    <w:rsid w:val="3B343A6F"/>
    <w:rsid w:val="3B3B4A7E"/>
    <w:rsid w:val="3B3E1A8A"/>
    <w:rsid w:val="3B4269FB"/>
    <w:rsid w:val="3B507EF9"/>
    <w:rsid w:val="3B5C72A7"/>
    <w:rsid w:val="3B6B1EED"/>
    <w:rsid w:val="3B6B3A9C"/>
    <w:rsid w:val="3B797DCE"/>
    <w:rsid w:val="3B9052B1"/>
    <w:rsid w:val="3B965AEE"/>
    <w:rsid w:val="3B9C3C56"/>
    <w:rsid w:val="3BAE11DE"/>
    <w:rsid w:val="3BE178BA"/>
    <w:rsid w:val="3BE21943"/>
    <w:rsid w:val="3BF406C9"/>
    <w:rsid w:val="3BF82902"/>
    <w:rsid w:val="3BF85C93"/>
    <w:rsid w:val="3C001F11"/>
    <w:rsid w:val="3C0D06AF"/>
    <w:rsid w:val="3C16275D"/>
    <w:rsid w:val="3C215F09"/>
    <w:rsid w:val="3C2B557F"/>
    <w:rsid w:val="3C406A86"/>
    <w:rsid w:val="3C4340D1"/>
    <w:rsid w:val="3C530DD9"/>
    <w:rsid w:val="3C5376EB"/>
    <w:rsid w:val="3C721950"/>
    <w:rsid w:val="3C721FC7"/>
    <w:rsid w:val="3C9568F7"/>
    <w:rsid w:val="3C963748"/>
    <w:rsid w:val="3C9A4F85"/>
    <w:rsid w:val="3CA5560F"/>
    <w:rsid w:val="3CAD7649"/>
    <w:rsid w:val="3CEC4769"/>
    <w:rsid w:val="3CF2102C"/>
    <w:rsid w:val="3D007C17"/>
    <w:rsid w:val="3D123AC2"/>
    <w:rsid w:val="3D1E68EC"/>
    <w:rsid w:val="3D3A2E09"/>
    <w:rsid w:val="3D581DFE"/>
    <w:rsid w:val="3D637511"/>
    <w:rsid w:val="3D673DEF"/>
    <w:rsid w:val="3D690BA8"/>
    <w:rsid w:val="3DD3595F"/>
    <w:rsid w:val="3DDA5928"/>
    <w:rsid w:val="3DED7E49"/>
    <w:rsid w:val="3E1660F8"/>
    <w:rsid w:val="3E366899"/>
    <w:rsid w:val="3E4526EC"/>
    <w:rsid w:val="3E4D0BBE"/>
    <w:rsid w:val="3E5A2B14"/>
    <w:rsid w:val="3E703B0E"/>
    <w:rsid w:val="3E8F1850"/>
    <w:rsid w:val="3E9B4698"/>
    <w:rsid w:val="3EBB19E5"/>
    <w:rsid w:val="3EC040FF"/>
    <w:rsid w:val="3EC644E3"/>
    <w:rsid w:val="3ED5122D"/>
    <w:rsid w:val="3ED96164"/>
    <w:rsid w:val="3EE46AAF"/>
    <w:rsid w:val="3F484CFB"/>
    <w:rsid w:val="3F4940F4"/>
    <w:rsid w:val="3F4E0C25"/>
    <w:rsid w:val="3F625591"/>
    <w:rsid w:val="3F626F64"/>
    <w:rsid w:val="3F721B44"/>
    <w:rsid w:val="3F76703E"/>
    <w:rsid w:val="3F8035F6"/>
    <w:rsid w:val="3F8A64BB"/>
    <w:rsid w:val="3F8E1B07"/>
    <w:rsid w:val="3FA679CC"/>
    <w:rsid w:val="3FBB6BD3"/>
    <w:rsid w:val="3FFF47B3"/>
    <w:rsid w:val="400E49F6"/>
    <w:rsid w:val="402B37FA"/>
    <w:rsid w:val="403A02D2"/>
    <w:rsid w:val="40420B44"/>
    <w:rsid w:val="405C1C05"/>
    <w:rsid w:val="40682DA6"/>
    <w:rsid w:val="40750007"/>
    <w:rsid w:val="40774177"/>
    <w:rsid w:val="40833636"/>
    <w:rsid w:val="40881862"/>
    <w:rsid w:val="40C15F0C"/>
    <w:rsid w:val="40D23C76"/>
    <w:rsid w:val="40E045E4"/>
    <w:rsid w:val="40FD0FA1"/>
    <w:rsid w:val="4108712E"/>
    <w:rsid w:val="410D20D3"/>
    <w:rsid w:val="411E510D"/>
    <w:rsid w:val="41221009"/>
    <w:rsid w:val="412831E1"/>
    <w:rsid w:val="41337DB2"/>
    <w:rsid w:val="41393163"/>
    <w:rsid w:val="413C1B1F"/>
    <w:rsid w:val="414F6FA0"/>
    <w:rsid w:val="41524120"/>
    <w:rsid w:val="417B430D"/>
    <w:rsid w:val="41866A28"/>
    <w:rsid w:val="41957936"/>
    <w:rsid w:val="419C7F06"/>
    <w:rsid w:val="41A053EE"/>
    <w:rsid w:val="41BF70A9"/>
    <w:rsid w:val="41E32182"/>
    <w:rsid w:val="41EA63D1"/>
    <w:rsid w:val="420850EE"/>
    <w:rsid w:val="42166DC4"/>
    <w:rsid w:val="42270F99"/>
    <w:rsid w:val="42537038"/>
    <w:rsid w:val="42573FA6"/>
    <w:rsid w:val="42621029"/>
    <w:rsid w:val="42660B19"/>
    <w:rsid w:val="42770F78"/>
    <w:rsid w:val="42871792"/>
    <w:rsid w:val="42911903"/>
    <w:rsid w:val="42937478"/>
    <w:rsid w:val="42BA70B7"/>
    <w:rsid w:val="42BB7BFA"/>
    <w:rsid w:val="42CB4E20"/>
    <w:rsid w:val="42D821A1"/>
    <w:rsid w:val="42DC515B"/>
    <w:rsid w:val="42E12896"/>
    <w:rsid w:val="42E54FC9"/>
    <w:rsid w:val="42EA1B91"/>
    <w:rsid w:val="42ED52EA"/>
    <w:rsid w:val="42F56AF8"/>
    <w:rsid w:val="4302406B"/>
    <w:rsid w:val="430E5CE0"/>
    <w:rsid w:val="431C1B20"/>
    <w:rsid w:val="434805ED"/>
    <w:rsid w:val="435B30F2"/>
    <w:rsid w:val="43923286"/>
    <w:rsid w:val="43A97BBB"/>
    <w:rsid w:val="43B22865"/>
    <w:rsid w:val="43B73E65"/>
    <w:rsid w:val="43C766E6"/>
    <w:rsid w:val="43CE2D2D"/>
    <w:rsid w:val="43DE6DD5"/>
    <w:rsid w:val="43E53CC0"/>
    <w:rsid w:val="43ED74A1"/>
    <w:rsid w:val="43F27B63"/>
    <w:rsid w:val="43FA110E"/>
    <w:rsid w:val="440F5DC3"/>
    <w:rsid w:val="44263D18"/>
    <w:rsid w:val="444E7AB7"/>
    <w:rsid w:val="445E24AE"/>
    <w:rsid w:val="448A204A"/>
    <w:rsid w:val="448D767A"/>
    <w:rsid w:val="449039E6"/>
    <w:rsid w:val="44BC07E6"/>
    <w:rsid w:val="44C35055"/>
    <w:rsid w:val="44CA1E00"/>
    <w:rsid w:val="44D108E9"/>
    <w:rsid w:val="44D7074B"/>
    <w:rsid w:val="44DB13DA"/>
    <w:rsid w:val="44DB34A7"/>
    <w:rsid w:val="44E246E1"/>
    <w:rsid w:val="450A0C5F"/>
    <w:rsid w:val="45186D3C"/>
    <w:rsid w:val="451916FB"/>
    <w:rsid w:val="45300657"/>
    <w:rsid w:val="4536729D"/>
    <w:rsid w:val="453A3978"/>
    <w:rsid w:val="453E6BFE"/>
    <w:rsid w:val="4558498A"/>
    <w:rsid w:val="455E2C82"/>
    <w:rsid w:val="45600165"/>
    <w:rsid w:val="456750C3"/>
    <w:rsid w:val="45774AF3"/>
    <w:rsid w:val="458C34D2"/>
    <w:rsid w:val="45BC6CA2"/>
    <w:rsid w:val="45BE4E27"/>
    <w:rsid w:val="45D264C6"/>
    <w:rsid w:val="45D269DE"/>
    <w:rsid w:val="45D81C7E"/>
    <w:rsid w:val="45DA0D7B"/>
    <w:rsid w:val="45E02B66"/>
    <w:rsid w:val="45E21E03"/>
    <w:rsid w:val="46236D21"/>
    <w:rsid w:val="46362EF9"/>
    <w:rsid w:val="463926E2"/>
    <w:rsid w:val="464321B1"/>
    <w:rsid w:val="46596617"/>
    <w:rsid w:val="4667261D"/>
    <w:rsid w:val="46885E2A"/>
    <w:rsid w:val="468E4AE3"/>
    <w:rsid w:val="4691074F"/>
    <w:rsid w:val="46952C03"/>
    <w:rsid w:val="469A4273"/>
    <w:rsid w:val="46A078A5"/>
    <w:rsid w:val="46A82FC8"/>
    <w:rsid w:val="46C329DE"/>
    <w:rsid w:val="47144A12"/>
    <w:rsid w:val="471C15FE"/>
    <w:rsid w:val="4729480B"/>
    <w:rsid w:val="47297630"/>
    <w:rsid w:val="474456A1"/>
    <w:rsid w:val="47525B10"/>
    <w:rsid w:val="475E34B9"/>
    <w:rsid w:val="47681A6B"/>
    <w:rsid w:val="476A535B"/>
    <w:rsid w:val="476F048B"/>
    <w:rsid w:val="47AE1664"/>
    <w:rsid w:val="47AE2601"/>
    <w:rsid w:val="47CB141F"/>
    <w:rsid w:val="47CE2EC8"/>
    <w:rsid w:val="47CE7047"/>
    <w:rsid w:val="47D93185"/>
    <w:rsid w:val="47DF417B"/>
    <w:rsid w:val="47E22F32"/>
    <w:rsid w:val="47E7695A"/>
    <w:rsid w:val="480A1F47"/>
    <w:rsid w:val="4822420B"/>
    <w:rsid w:val="48232A61"/>
    <w:rsid w:val="482F3304"/>
    <w:rsid w:val="484D0DDF"/>
    <w:rsid w:val="485458B8"/>
    <w:rsid w:val="48595276"/>
    <w:rsid w:val="485C11BC"/>
    <w:rsid w:val="485F21D5"/>
    <w:rsid w:val="48611C4A"/>
    <w:rsid w:val="48731101"/>
    <w:rsid w:val="487C235B"/>
    <w:rsid w:val="487D096B"/>
    <w:rsid w:val="48895562"/>
    <w:rsid w:val="488F069E"/>
    <w:rsid w:val="48B23078"/>
    <w:rsid w:val="48B7088F"/>
    <w:rsid w:val="48B90CA3"/>
    <w:rsid w:val="48D662CD"/>
    <w:rsid w:val="48EA3B26"/>
    <w:rsid w:val="490C1CEF"/>
    <w:rsid w:val="491F1A22"/>
    <w:rsid w:val="49303C2F"/>
    <w:rsid w:val="493A7381"/>
    <w:rsid w:val="493B4A98"/>
    <w:rsid w:val="493D00FA"/>
    <w:rsid w:val="493E41DB"/>
    <w:rsid w:val="49557B3A"/>
    <w:rsid w:val="495B7DA2"/>
    <w:rsid w:val="496077F6"/>
    <w:rsid w:val="496D74A5"/>
    <w:rsid w:val="4972249A"/>
    <w:rsid w:val="49723E47"/>
    <w:rsid w:val="49886898"/>
    <w:rsid w:val="49971F00"/>
    <w:rsid w:val="49B44860"/>
    <w:rsid w:val="49C828BF"/>
    <w:rsid w:val="49CF75DC"/>
    <w:rsid w:val="49D3425B"/>
    <w:rsid w:val="49D35EA7"/>
    <w:rsid w:val="49F31649"/>
    <w:rsid w:val="49FB475F"/>
    <w:rsid w:val="49FE0D1E"/>
    <w:rsid w:val="4A050E9D"/>
    <w:rsid w:val="4A056E6A"/>
    <w:rsid w:val="4A1A5DAD"/>
    <w:rsid w:val="4A1E08A4"/>
    <w:rsid w:val="4A2D63C1"/>
    <w:rsid w:val="4A3D4856"/>
    <w:rsid w:val="4A45370A"/>
    <w:rsid w:val="4A490FC8"/>
    <w:rsid w:val="4A852DF2"/>
    <w:rsid w:val="4A877E3D"/>
    <w:rsid w:val="4A8F6C1F"/>
    <w:rsid w:val="4A9C3E74"/>
    <w:rsid w:val="4AA24402"/>
    <w:rsid w:val="4AA51EA6"/>
    <w:rsid w:val="4AA523FB"/>
    <w:rsid w:val="4AC97E97"/>
    <w:rsid w:val="4ACC62B4"/>
    <w:rsid w:val="4ACE3700"/>
    <w:rsid w:val="4AD10B1F"/>
    <w:rsid w:val="4ADD0ABD"/>
    <w:rsid w:val="4AF3760A"/>
    <w:rsid w:val="4B050ABE"/>
    <w:rsid w:val="4B1D383B"/>
    <w:rsid w:val="4B24468B"/>
    <w:rsid w:val="4B245A16"/>
    <w:rsid w:val="4B2B6DA4"/>
    <w:rsid w:val="4B331D35"/>
    <w:rsid w:val="4B4A5BD5"/>
    <w:rsid w:val="4B61625C"/>
    <w:rsid w:val="4B75027A"/>
    <w:rsid w:val="4B864264"/>
    <w:rsid w:val="4B8C08D1"/>
    <w:rsid w:val="4B99050B"/>
    <w:rsid w:val="4B9B0F5F"/>
    <w:rsid w:val="4BBD41A3"/>
    <w:rsid w:val="4BC6364C"/>
    <w:rsid w:val="4BCE61AD"/>
    <w:rsid w:val="4BD61FCD"/>
    <w:rsid w:val="4BDA60D4"/>
    <w:rsid w:val="4BED68A9"/>
    <w:rsid w:val="4BFC106D"/>
    <w:rsid w:val="4C0513A3"/>
    <w:rsid w:val="4C0B0BA4"/>
    <w:rsid w:val="4C10161E"/>
    <w:rsid w:val="4C25594B"/>
    <w:rsid w:val="4C561BFF"/>
    <w:rsid w:val="4C611E03"/>
    <w:rsid w:val="4C66305F"/>
    <w:rsid w:val="4C86072E"/>
    <w:rsid w:val="4CA72649"/>
    <w:rsid w:val="4CB22BAD"/>
    <w:rsid w:val="4CCD4016"/>
    <w:rsid w:val="4CDF1FAE"/>
    <w:rsid w:val="4CE13612"/>
    <w:rsid w:val="4CE73E13"/>
    <w:rsid w:val="4D0C0070"/>
    <w:rsid w:val="4D103865"/>
    <w:rsid w:val="4D111E6B"/>
    <w:rsid w:val="4D1878C6"/>
    <w:rsid w:val="4D2A064E"/>
    <w:rsid w:val="4D3A3E1B"/>
    <w:rsid w:val="4D6637DE"/>
    <w:rsid w:val="4D6F0BEB"/>
    <w:rsid w:val="4D7507CE"/>
    <w:rsid w:val="4D7F33D7"/>
    <w:rsid w:val="4D8378EC"/>
    <w:rsid w:val="4D902651"/>
    <w:rsid w:val="4D9151D4"/>
    <w:rsid w:val="4D924EB8"/>
    <w:rsid w:val="4D986247"/>
    <w:rsid w:val="4DAB7D28"/>
    <w:rsid w:val="4DDE2A9F"/>
    <w:rsid w:val="4DED4BFE"/>
    <w:rsid w:val="4DFE39A2"/>
    <w:rsid w:val="4E4860D4"/>
    <w:rsid w:val="4E4E3531"/>
    <w:rsid w:val="4E502045"/>
    <w:rsid w:val="4E517BEB"/>
    <w:rsid w:val="4E520210"/>
    <w:rsid w:val="4E592135"/>
    <w:rsid w:val="4E6525CD"/>
    <w:rsid w:val="4E660AF6"/>
    <w:rsid w:val="4E676345"/>
    <w:rsid w:val="4E702C1E"/>
    <w:rsid w:val="4E9904C8"/>
    <w:rsid w:val="4E9F02D5"/>
    <w:rsid w:val="4EBE058A"/>
    <w:rsid w:val="4EBE50FA"/>
    <w:rsid w:val="4EC11FA7"/>
    <w:rsid w:val="4EC15C1A"/>
    <w:rsid w:val="4ED639BA"/>
    <w:rsid w:val="4EE212A0"/>
    <w:rsid w:val="4EE97A5C"/>
    <w:rsid w:val="4EF3571C"/>
    <w:rsid w:val="4EF86F9D"/>
    <w:rsid w:val="4F0364BE"/>
    <w:rsid w:val="4F0A1866"/>
    <w:rsid w:val="4F402E99"/>
    <w:rsid w:val="4F4915A7"/>
    <w:rsid w:val="4F57094F"/>
    <w:rsid w:val="4F910DB9"/>
    <w:rsid w:val="4F926FC2"/>
    <w:rsid w:val="4FA72771"/>
    <w:rsid w:val="4FAD512A"/>
    <w:rsid w:val="4FB12EB3"/>
    <w:rsid w:val="4FB1539E"/>
    <w:rsid w:val="4FB154EA"/>
    <w:rsid w:val="4FB21CD3"/>
    <w:rsid w:val="4FBF5EE7"/>
    <w:rsid w:val="4FCF3EDD"/>
    <w:rsid w:val="4FDC2E42"/>
    <w:rsid w:val="4FEB4D54"/>
    <w:rsid w:val="4FF02890"/>
    <w:rsid w:val="4FF80F62"/>
    <w:rsid w:val="4FFA6D45"/>
    <w:rsid w:val="500D70F6"/>
    <w:rsid w:val="5011728F"/>
    <w:rsid w:val="50211820"/>
    <w:rsid w:val="503127F5"/>
    <w:rsid w:val="503D3205"/>
    <w:rsid w:val="503E4E84"/>
    <w:rsid w:val="50412BC6"/>
    <w:rsid w:val="504F10C8"/>
    <w:rsid w:val="505C1673"/>
    <w:rsid w:val="507B5903"/>
    <w:rsid w:val="5090254B"/>
    <w:rsid w:val="509C3B74"/>
    <w:rsid w:val="50AC11E4"/>
    <w:rsid w:val="50AD4D02"/>
    <w:rsid w:val="50B0012E"/>
    <w:rsid w:val="510645FA"/>
    <w:rsid w:val="511D0F3D"/>
    <w:rsid w:val="513D15DF"/>
    <w:rsid w:val="513D35E9"/>
    <w:rsid w:val="51431109"/>
    <w:rsid w:val="514F30C0"/>
    <w:rsid w:val="516C77CE"/>
    <w:rsid w:val="51870600"/>
    <w:rsid w:val="518A2A68"/>
    <w:rsid w:val="51917942"/>
    <w:rsid w:val="5195286C"/>
    <w:rsid w:val="51A24E48"/>
    <w:rsid w:val="51C94D81"/>
    <w:rsid w:val="51D61A90"/>
    <w:rsid w:val="51E101BC"/>
    <w:rsid w:val="51F62DF9"/>
    <w:rsid w:val="51F971A7"/>
    <w:rsid w:val="520B450D"/>
    <w:rsid w:val="52666914"/>
    <w:rsid w:val="527824DF"/>
    <w:rsid w:val="527D401B"/>
    <w:rsid w:val="527E1EAF"/>
    <w:rsid w:val="527F3531"/>
    <w:rsid w:val="52810D02"/>
    <w:rsid w:val="52862B12"/>
    <w:rsid w:val="52884A6C"/>
    <w:rsid w:val="528A0854"/>
    <w:rsid w:val="529B7FE1"/>
    <w:rsid w:val="52B1137E"/>
    <w:rsid w:val="52C553A5"/>
    <w:rsid w:val="52C8312A"/>
    <w:rsid w:val="52CA6EA2"/>
    <w:rsid w:val="52D946DE"/>
    <w:rsid w:val="52F21B3C"/>
    <w:rsid w:val="52FA7CD4"/>
    <w:rsid w:val="5308750F"/>
    <w:rsid w:val="5311678B"/>
    <w:rsid w:val="532153A1"/>
    <w:rsid w:val="532C0F66"/>
    <w:rsid w:val="533802B0"/>
    <w:rsid w:val="53495D3E"/>
    <w:rsid w:val="535D16BE"/>
    <w:rsid w:val="53720EF9"/>
    <w:rsid w:val="53746E0E"/>
    <w:rsid w:val="5376008E"/>
    <w:rsid w:val="537B7395"/>
    <w:rsid w:val="537E7467"/>
    <w:rsid w:val="53AE0572"/>
    <w:rsid w:val="53AE1AA1"/>
    <w:rsid w:val="53F266B1"/>
    <w:rsid w:val="53F75E90"/>
    <w:rsid w:val="540179C8"/>
    <w:rsid w:val="54040192"/>
    <w:rsid w:val="541C0264"/>
    <w:rsid w:val="541E151A"/>
    <w:rsid w:val="542D6573"/>
    <w:rsid w:val="543A0058"/>
    <w:rsid w:val="544669FD"/>
    <w:rsid w:val="5452305F"/>
    <w:rsid w:val="54591E2A"/>
    <w:rsid w:val="54640C31"/>
    <w:rsid w:val="5475683B"/>
    <w:rsid w:val="54A454D1"/>
    <w:rsid w:val="54AA0D3A"/>
    <w:rsid w:val="54C058A0"/>
    <w:rsid w:val="54CD2C7A"/>
    <w:rsid w:val="54F93823"/>
    <w:rsid w:val="54FE1085"/>
    <w:rsid w:val="55022203"/>
    <w:rsid w:val="55055F70"/>
    <w:rsid w:val="55142F0C"/>
    <w:rsid w:val="555450F8"/>
    <w:rsid w:val="55833339"/>
    <w:rsid w:val="5585063C"/>
    <w:rsid w:val="55865B03"/>
    <w:rsid w:val="559A3EE9"/>
    <w:rsid w:val="559B06A0"/>
    <w:rsid w:val="559C6720"/>
    <w:rsid w:val="55A5291C"/>
    <w:rsid w:val="55A602DD"/>
    <w:rsid w:val="55BE17FD"/>
    <w:rsid w:val="55E57A55"/>
    <w:rsid w:val="55EF09CE"/>
    <w:rsid w:val="56120984"/>
    <w:rsid w:val="561D19DF"/>
    <w:rsid w:val="56242D6E"/>
    <w:rsid w:val="56263829"/>
    <w:rsid w:val="562C0F0B"/>
    <w:rsid w:val="562C3D6B"/>
    <w:rsid w:val="562E7748"/>
    <w:rsid w:val="56390794"/>
    <w:rsid w:val="56397637"/>
    <w:rsid w:val="565C2683"/>
    <w:rsid w:val="566136BD"/>
    <w:rsid w:val="566444B4"/>
    <w:rsid w:val="568E6439"/>
    <w:rsid w:val="56A47515"/>
    <w:rsid w:val="56CA3582"/>
    <w:rsid w:val="56CB020E"/>
    <w:rsid w:val="56E30533"/>
    <w:rsid w:val="56F444EE"/>
    <w:rsid w:val="571526B6"/>
    <w:rsid w:val="571A1416"/>
    <w:rsid w:val="572712C7"/>
    <w:rsid w:val="572904F0"/>
    <w:rsid w:val="572D5C52"/>
    <w:rsid w:val="572F5526"/>
    <w:rsid w:val="573A15A2"/>
    <w:rsid w:val="573C5E95"/>
    <w:rsid w:val="57464CAD"/>
    <w:rsid w:val="576740A7"/>
    <w:rsid w:val="576C3181"/>
    <w:rsid w:val="577166DC"/>
    <w:rsid w:val="57720ED2"/>
    <w:rsid w:val="577A7883"/>
    <w:rsid w:val="57817565"/>
    <w:rsid w:val="579314C3"/>
    <w:rsid w:val="57A455D8"/>
    <w:rsid w:val="57AC1A1A"/>
    <w:rsid w:val="57B123DF"/>
    <w:rsid w:val="57D4423B"/>
    <w:rsid w:val="57D754F8"/>
    <w:rsid w:val="57EF541B"/>
    <w:rsid w:val="5801760B"/>
    <w:rsid w:val="580762D3"/>
    <w:rsid w:val="58094380"/>
    <w:rsid w:val="582C5F09"/>
    <w:rsid w:val="58344811"/>
    <w:rsid w:val="58366D88"/>
    <w:rsid w:val="58416076"/>
    <w:rsid w:val="584746C7"/>
    <w:rsid w:val="584D4E49"/>
    <w:rsid w:val="584F7BB2"/>
    <w:rsid w:val="58671C51"/>
    <w:rsid w:val="586E3EC4"/>
    <w:rsid w:val="58730083"/>
    <w:rsid w:val="58847AF3"/>
    <w:rsid w:val="58863A59"/>
    <w:rsid w:val="588673C8"/>
    <w:rsid w:val="5894304C"/>
    <w:rsid w:val="58A80E04"/>
    <w:rsid w:val="58A84922"/>
    <w:rsid w:val="58AB7F08"/>
    <w:rsid w:val="58B077AD"/>
    <w:rsid w:val="58B623A9"/>
    <w:rsid w:val="58C47E22"/>
    <w:rsid w:val="58D13A8B"/>
    <w:rsid w:val="58D5034F"/>
    <w:rsid w:val="58D97E3F"/>
    <w:rsid w:val="58E14F23"/>
    <w:rsid w:val="58E15448"/>
    <w:rsid w:val="58E80082"/>
    <w:rsid w:val="591D5664"/>
    <w:rsid w:val="59232E69"/>
    <w:rsid w:val="59366157"/>
    <w:rsid w:val="593A4CA4"/>
    <w:rsid w:val="593C343D"/>
    <w:rsid w:val="596C41DE"/>
    <w:rsid w:val="596E0418"/>
    <w:rsid w:val="59700DA9"/>
    <w:rsid w:val="59746DFE"/>
    <w:rsid w:val="59867B37"/>
    <w:rsid w:val="598740A9"/>
    <w:rsid w:val="598F169E"/>
    <w:rsid w:val="59973856"/>
    <w:rsid w:val="59BB1FEA"/>
    <w:rsid w:val="59D61838"/>
    <w:rsid w:val="59D93E6F"/>
    <w:rsid w:val="59DB1995"/>
    <w:rsid w:val="59FE32A7"/>
    <w:rsid w:val="5A06082C"/>
    <w:rsid w:val="5A0B32CF"/>
    <w:rsid w:val="5A166E71"/>
    <w:rsid w:val="5A5266C8"/>
    <w:rsid w:val="5A6303D7"/>
    <w:rsid w:val="5A8B0339"/>
    <w:rsid w:val="5A8E4C59"/>
    <w:rsid w:val="5A920F10"/>
    <w:rsid w:val="5AA93841"/>
    <w:rsid w:val="5AB71190"/>
    <w:rsid w:val="5AB96249"/>
    <w:rsid w:val="5ABD553F"/>
    <w:rsid w:val="5AC266B1"/>
    <w:rsid w:val="5AD84127"/>
    <w:rsid w:val="5ADC7773"/>
    <w:rsid w:val="5B0802E2"/>
    <w:rsid w:val="5B2B43BA"/>
    <w:rsid w:val="5B3E1B67"/>
    <w:rsid w:val="5B4064FE"/>
    <w:rsid w:val="5B55352A"/>
    <w:rsid w:val="5B77749C"/>
    <w:rsid w:val="5BB30DD5"/>
    <w:rsid w:val="5BCF06C7"/>
    <w:rsid w:val="5BD55D5E"/>
    <w:rsid w:val="5BD86BEC"/>
    <w:rsid w:val="5BE82147"/>
    <w:rsid w:val="5BEC7DC1"/>
    <w:rsid w:val="5C01479C"/>
    <w:rsid w:val="5C05719D"/>
    <w:rsid w:val="5C221AFD"/>
    <w:rsid w:val="5C2313D1"/>
    <w:rsid w:val="5C25514A"/>
    <w:rsid w:val="5C257339"/>
    <w:rsid w:val="5C2F6D2F"/>
    <w:rsid w:val="5C3028AF"/>
    <w:rsid w:val="5C3F26AF"/>
    <w:rsid w:val="5C4D4EFB"/>
    <w:rsid w:val="5C5B6DBD"/>
    <w:rsid w:val="5C6F795F"/>
    <w:rsid w:val="5C7712DE"/>
    <w:rsid w:val="5C7839E2"/>
    <w:rsid w:val="5C8007CE"/>
    <w:rsid w:val="5C86730F"/>
    <w:rsid w:val="5C8C5242"/>
    <w:rsid w:val="5C9B1F0B"/>
    <w:rsid w:val="5CA13A65"/>
    <w:rsid w:val="5CA55551"/>
    <w:rsid w:val="5CC17446"/>
    <w:rsid w:val="5CD14422"/>
    <w:rsid w:val="5CD74EC8"/>
    <w:rsid w:val="5D0336DD"/>
    <w:rsid w:val="5D172CE4"/>
    <w:rsid w:val="5D1910C5"/>
    <w:rsid w:val="5D1D4073"/>
    <w:rsid w:val="5D213664"/>
    <w:rsid w:val="5D2570A5"/>
    <w:rsid w:val="5D417886"/>
    <w:rsid w:val="5D46181B"/>
    <w:rsid w:val="5D4A47A9"/>
    <w:rsid w:val="5D4B7C6D"/>
    <w:rsid w:val="5D543F38"/>
    <w:rsid w:val="5D600B2F"/>
    <w:rsid w:val="5D656145"/>
    <w:rsid w:val="5D693584"/>
    <w:rsid w:val="5D792F89"/>
    <w:rsid w:val="5D7E0FB5"/>
    <w:rsid w:val="5DAD4F7F"/>
    <w:rsid w:val="5DB70023"/>
    <w:rsid w:val="5DC676CE"/>
    <w:rsid w:val="5DDE1A54"/>
    <w:rsid w:val="5DE17236"/>
    <w:rsid w:val="5DE323C8"/>
    <w:rsid w:val="5DF272AD"/>
    <w:rsid w:val="5DF63241"/>
    <w:rsid w:val="5E01598B"/>
    <w:rsid w:val="5E057E2A"/>
    <w:rsid w:val="5E0D10F3"/>
    <w:rsid w:val="5E167440"/>
    <w:rsid w:val="5E2733FB"/>
    <w:rsid w:val="5E4678B3"/>
    <w:rsid w:val="5E4C10B3"/>
    <w:rsid w:val="5E6805D8"/>
    <w:rsid w:val="5E79177D"/>
    <w:rsid w:val="5E867266"/>
    <w:rsid w:val="5EAC56AE"/>
    <w:rsid w:val="5EB84855"/>
    <w:rsid w:val="5EBC7053"/>
    <w:rsid w:val="5ECC7AFE"/>
    <w:rsid w:val="5EDF7380"/>
    <w:rsid w:val="5EF529C3"/>
    <w:rsid w:val="5F061262"/>
    <w:rsid w:val="5F08322C"/>
    <w:rsid w:val="5F117C07"/>
    <w:rsid w:val="5F323C17"/>
    <w:rsid w:val="5F3433D4"/>
    <w:rsid w:val="5F3A5D59"/>
    <w:rsid w:val="5F574DB8"/>
    <w:rsid w:val="5F920A30"/>
    <w:rsid w:val="5F9F2A96"/>
    <w:rsid w:val="5FBD21B8"/>
    <w:rsid w:val="5FBE7E73"/>
    <w:rsid w:val="5FD32738"/>
    <w:rsid w:val="5FF515E0"/>
    <w:rsid w:val="60003F04"/>
    <w:rsid w:val="60067040"/>
    <w:rsid w:val="6008624F"/>
    <w:rsid w:val="60087F08"/>
    <w:rsid w:val="600E3E9F"/>
    <w:rsid w:val="600F5569"/>
    <w:rsid w:val="601C4AB5"/>
    <w:rsid w:val="60217954"/>
    <w:rsid w:val="6024201E"/>
    <w:rsid w:val="602E3DD5"/>
    <w:rsid w:val="603A304E"/>
    <w:rsid w:val="6046127C"/>
    <w:rsid w:val="6050001D"/>
    <w:rsid w:val="606A5821"/>
    <w:rsid w:val="60730B79"/>
    <w:rsid w:val="60794D13"/>
    <w:rsid w:val="608137A1"/>
    <w:rsid w:val="60A40EB9"/>
    <w:rsid w:val="60D51B4D"/>
    <w:rsid w:val="60DB51AE"/>
    <w:rsid w:val="60E91674"/>
    <w:rsid w:val="60FE5E04"/>
    <w:rsid w:val="61062905"/>
    <w:rsid w:val="610D7ED9"/>
    <w:rsid w:val="61256559"/>
    <w:rsid w:val="612B318D"/>
    <w:rsid w:val="61353A37"/>
    <w:rsid w:val="614A117E"/>
    <w:rsid w:val="614D13CA"/>
    <w:rsid w:val="61A3201A"/>
    <w:rsid w:val="61B76844"/>
    <w:rsid w:val="61BA4C61"/>
    <w:rsid w:val="61BA6334"/>
    <w:rsid w:val="61C80A51"/>
    <w:rsid w:val="61D24977"/>
    <w:rsid w:val="61DA0784"/>
    <w:rsid w:val="61E14801"/>
    <w:rsid w:val="620D33E1"/>
    <w:rsid w:val="6211064A"/>
    <w:rsid w:val="62242996"/>
    <w:rsid w:val="623147FF"/>
    <w:rsid w:val="623936FD"/>
    <w:rsid w:val="625B7626"/>
    <w:rsid w:val="626D33A6"/>
    <w:rsid w:val="6274388A"/>
    <w:rsid w:val="628C7CD0"/>
    <w:rsid w:val="628D1AC8"/>
    <w:rsid w:val="628F3483"/>
    <w:rsid w:val="62993DAC"/>
    <w:rsid w:val="62A830DD"/>
    <w:rsid w:val="62BA27F5"/>
    <w:rsid w:val="62C76A7E"/>
    <w:rsid w:val="62E6159D"/>
    <w:rsid w:val="62EA2C49"/>
    <w:rsid w:val="62FF5447"/>
    <w:rsid w:val="630A6E47"/>
    <w:rsid w:val="631B5812"/>
    <w:rsid w:val="632B4016"/>
    <w:rsid w:val="633417AB"/>
    <w:rsid w:val="633652F4"/>
    <w:rsid w:val="63463A84"/>
    <w:rsid w:val="635B2EDB"/>
    <w:rsid w:val="636447A9"/>
    <w:rsid w:val="63715118"/>
    <w:rsid w:val="637411EF"/>
    <w:rsid w:val="638906B4"/>
    <w:rsid w:val="63964371"/>
    <w:rsid w:val="63A4729C"/>
    <w:rsid w:val="63AB3A81"/>
    <w:rsid w:val="63B44908"/>
    <w:rsid w:val="63BF5E84"/>
    <w:rsid w:val="63CB6CA0"/>
    <w:rsid w:val="63D87620"/>
    <w:rsid w:val="63D877EE"/>
    <w:rsid w:val="63E61FE3"/>
    <w:rsid w:val="642B52FF"/>
    <w:rsid w:val="642D36E0"/>
    <w:rsid w:val="642E1751"/>
    <w:rsid w:val="64306D81"/>
    <w:rsid w:val="64406FC4"/>
    <w:rsid w:val="645667E8"/>
    <w:rsid w:val="645F1B7B"/>
    <w:rsid w:val="649D456B"/>
    <w:rsid w:val="64BF6324"/>
    <w:rsid w:val="64C16CD0"/>
    <w:rsid w:val="64C373D0"/>
    <w:rsid w:val="64C71494"/>
    <w:rsid w:val="64CF20F6"/>
    <w:rsid w:val="64D43BB1"/>
    <w:rsid w:val="64D46717"/>
    <w:rsid w:val="64E04304"/>
    <w:rsid w:val="64EA0F76"/>
    <w:rsid w:val="64F40B38"/>
    <w:rsid w:val="64FB113D"/>
    <w:rsid w:val="65200795"/>
    <w:rsid w:val="65363F24"/>
    <w:rsid w:val="65493C57"/>
    <w:rsid w:val="657F04AA"/>
    <w:rsid w:val="658517BA"/>
    <w:rsid w:val="659826E6"/>
    <w:rsid w:val="659D77C7"/>
    <w:rsid w:val="65A7677A"/>
    <w:rsid w:val="65AD710A"/>
    <w:rsid w:val="65B85DDB"/>
    <w:rsid w:val="65B86D6E"/>
    <w:rsid w:val="65D00A46"/>
    <w:rsid w:val="65D1679C"/>
    <w:rsid w:val="66052E26"/>
    <w:rsid w:val="660C611D"/>
    <w:rsid w:val="662918B0"/>
    <w:rsid w:val="663912FD"/>
    <w:rsid w:val="663C7C5F"/>
    <w:rsid w:val="6642401D"/>
    <w:rsid w:val="66444FA4"/>
    <w:rsid w:val="6645747A"/>
    <w:rsid w:val="66462B9A"/>
    <w:rsid w:val="666920D7"/>
    <w:rsid w:val="666D3936"/>
    <w:rsid w:val="666F4B13"/>
    <w:rsid w:val="667E25EE"/>
    <w:rsid w:val="66816C14"/>
    <w:rsid w:val="66850CBE"/>
    <w:rsid w:val="66885DF4"/>
    <w:rsid w:val="66886A01"/>
    <w:rsid w:val="668C2539"/>
    <w:rsid w:val="669925AE"/>
    <w:rsid w:val="669B6734"/>
    <w:rsid w:val="669D0A06"/>
    <w:rsid w:val="66A21BA4"/>
    <w:rsid w:val="66A94149"/>
    <w:rsid w:val="66C219B1"/>
    <w:rsid w:val="66D6325E"/>
    <w:rsid w:val="66E53E53"/>
    <w:rsid w:val="66E60364"/>
    <w:rsid w:val="66E856F1"/>
    <w:rsid w:val="66EC3434"/>
    <w:rsid w:val="66FE5F4E"/>
    <w:rsid w:val="67094FF3"/>
    <w:rsid w:val="671C566C"/>
    <w:rsid w:val="672E4762"/>
    <w:rsid w:val="673B0EC6"/>
    <w:rsid w:val="675A65EF"/>
    <w:rsid w:val="67852F40"/>
    <w:rsid w:val="679338AF"/>
    <w:rsid w:val="67A71109"/>
    <w:rsid w:val="67A7316B"/>
    <w:rsid w:val="67B3165E"/>
    <w:rsid w:val="67B4474D"/>
    <w:rsid w:val="67B92C4C"/>
    <w:rsid w:val="67DC5256"/>
    <w:rsid w:val="67E726BE"/>
    <w:rsid w:val="67E87498"/>
    <w:rsid w:val="67F02AB0"/>
    <w:rsid w:val="67FA392E"/>
    <w:rsid w:val="68054526"/>
    <w:rsid w:val="68077DF9"/>
    <w:rsid w:val="680E568B"/>
    <w:rsid w:val="68195626"/>
    <w:rsid w:val="682D1897"/>
    <w:rsid w:val="682F473A"/>
    <w:rsid w:val="683669EA"/>
    <w:rsid w:val="683F17C0"/>
    <w:rsid w:val="684F1CD8"/>
    <w:rsid w:val="68512124"/>
    <w:rsid w:val="686F0B39"/>
    <w:rsid w:val="68711C96"/>
    <w:rsid w:val="68857CB3"/>
    <w:rsid w:val="68863414"/>
    <w:rsid w:val="68C9142A"/>
    <w:rsid w:val="68FE10B2"/>
    <w:rsid w:val="691F53C1"/>
    <w:rsid w:val="69237D52"/>
    <w:rsid w:val="693E541E"/>
    <w:rsid w:val="694D6B91"/>
    <w:rsid w:val="694F7F0F"/>
    <w:rsid w:val="69A81CE1"/>
    <w:rsid w:val="69AF24F6"/>
    <w:rsid w:val="69B31FE7"/>
    <w:rsid w:val="69B47B0D"/>
    <w:rsid w:val="69BF3252"/>
    <w:rsid w:val="69CF69A7"/>
    <w:rsid w:val="69F66BCC"/>
    <w:rsid w:val="69FA7EEC"/>
    <w:rsid w:val="6A026ACA"/>
    <w:rsid w:val="6A136F29"/>
    <w:rsid w:val="6A3F387A"/>
    <w:rsid w:val="6A486951"/>
    <w:rsid w:val="6A552E93"/>
    <w:rsid w:val="6A595C49"/>
    <w:rsid w:val="6A5C063B"/>
    <w:rsid w:val="6A640DA6"/>
    <w:rsid w:val="6A6E0D54"/>
    <w:rsid w:val="6A742F30"/>
    <w:rsid w:val="6A7D18FD"/>
    <w:rsid w:val="6A7E394B"/>
    <w:rsid w:val="6AA9734A"/>
    <w:rsid w:val="6AB62858"/>
    <w:rsid w:val="6ABE3E4E"/>
    <w:rsid w:val="6ACF2EDE"/>
    <w:rsid w:val="6AE87521"/>
    <w:rsid w:val="6AEC3101"/>
    <w:rsid w:val="6AF26B3F"/>
    <w:rsid w:val="6AF550CB"/>
    <w:rsid w:val="6AF9558F"/>
    <w:rsid w:val="6B013226"/>
    <w:rsid w:val="6B030D4C"/>
    <w:rsid w:val="6B0704B8"/>
    <w:rsid w:val="6B0E43EA"/>
    <w:rsid w:val="6B2667E8"/>
    <w:rsid w:val="6B410830"/>
    <w:rsid w:val="6B4570BF"/>
    <w:rsid w:val="6B633598"/>
    <w:rsid w:val="6B67752D"/>
    <w:rsid w:val="6B855C05"/>
    <w:rsid w:val="6B922D50"/>
    <w:rsid w:val="6B96571C"/>
    <w:rsid w:val="6B9C2D5A"/>
    <w:rsid w:val="6BAA05BF"/>
    <w:rsid w:val="6BAF4DF4"/>
    <w:rsid w:val="6BB36A36"/>
    <w:rsid w:val="6BB72F0D"/>
    <w:rsid w:val="6BCE6C7A"/>
    <w:rsid w:val="6BEB5848"/>
    <w:rsid w:val="6BF07522"/>
    <w:rsid w:val="6C046B2A"/>
    <w:rsid w:val="6C101972"/>
    <w:rsid w:val="6C1148DF"/>
    <w:rsid w:val="6C1449A4"/>
    <w:rsid w:val="6C303D0F"/>
    <w:rsid w:val="6C584A4A"/>
    <w:rsid w:val="6C663340"/>
    <w:rsid w:val="6C667148"/>
    <w:rsid w:val="6C6E48EB"/>
    <w:rsid w:val="6C6E50FE"/>
    <w:rsid w:val="6C78432A"/>
    <w:rsid w:val="6C787157"/>
    <w:rsid w:val="6C7A3E33"/>
    <w:rsid w:val="6C7C0DB6"/>
    <w:rsid w:val="6C850C61"/>
    <w:rsid w:val="6C873EAF"/>
    <w:rsid w:val="6C983716"/>
    <w:rsid w:val="6C9D7DA3"/>
    <w:rsid w:val="6CA63E49"/>
    <w:rsid w:val="6CCB1F66"/>
    <w:rsid w:val="6CD16442"/>
    <w:rsid w:val="6CE352A5"/>
    <w:rsid w:val="6CEB1A97"/>
    <w:rsid w:val="6CF47B79"/>
    <w:rsid w:val="6CFA4AF8"/>
    <w:rsid w:val="6D147240"/>
    <w:rsid w:val="6D1732EC"/>
    <w:rsid w:val="6D2F2B7B"/>
    <w:rsid w:val="6D355BA2"/>
    <w:rsid w:val="6D3C4EB4"/>
    <w:rsid w:val="6D425008"/>
    <w:rsid w:val="6D505D9E"/>
    <w:rsid w:val="6D5C2ECA"/>
    <w:rsid w:val="6D5E6261"/>
    <w:rsid w:val="6D6363CE"/>
    <w:rsid w:val="6D7E46BA"/>
    <w:rsid w:val="6D8617C0"/>
    <w:rsid w:val="6D864902"/>
    <w:rsid w:val="6D885859"/>
    <w:rsid w:val="6D8E6720"/>
    <w:rsid w:val="6D9756F1"/>
    <w:rsid w:val="6DA45BFE"/>
    <w:rsid w:val="6DAB2A7C"/>
    <w:rsid w:val="6DAB6738"/>
    <w:rsid w:val="6DB6760A"/>
    <w:rsid w:val="6DB85E1E"/>
    <w:rsid w:val="6DBE2E93"/>
    <w:rsid w:val="6DC01B32"/>
    <w:rsid w:val="6DD61959"/>
    <w:rsid w:val="6DEB5478"/>
    <w:rsid w:val="6DF15A32"/>
    <w:rsid w:val="6DF8446C"/>
    <w:rsid w:val="6E02353D"/>
    <w:rsid w:val="6E364F94"/>
    <w:rsid w:val="6E6A730C"/>
    <w:rsid w:val="6E743803"/>
    <w:rsid w:val="6E753D0F"/>
    <w:rsid w:val="6E8102AC"/>
    <w:rsid w:val="6E8A7B40"/>
    <w:rsid w:val="6E95685F"/>
    <w:rsid w:val="6E957F0D"/>
    <w:rsid w:val="6E9F07C7"/>
    <w:rsid w:val="6EA36C2B"/>
    <w:rsid w:val="6EB11DC7"/>
    <w:rsid w:val="6EBB2967"/>
    <w:rsid w:val="6EBC77F0"/>
    <w:rsid w:val="6EC97514"/>
    <w:rsid w:val="6ECA58FC"/>
    <w:rsid w:val="6EE81E1B"/>
    <w:rsid w:val="6EFE104D"/>
    <w:rsid w:val="6F0D3F47"/>
    <w:rsid w:val="6F105646"/>
    <w:rsid w:val="6F157643"/>
    <w:rsid w:val="6F283740"/>
    <w:rsid w:val="6F2F2F2F"/>
    <w:rsid w:val="6F5626BA"/>
    <w:rsid w:val="6F784B95"/>
    <w:rsid w:val="6F8E36B0"/>
    <w:rsid w:val="6FA56F7F"/>
    <w:rsid w:val="6FC62348"/>
    <w:rsid w:val="6FC80464"/>
    <w:rsid w:val="6FCC5BB0"/>
    <w:rsid w:val="6FCD42C5"/>
    <w:rsid w:val="6FD607DD"/>
    <w:rsid w:val="6FDE1AB5"/>
    <w:rsid w:val="6FE74FC4"/>
    <w:rsid w:val="6FF07CBE"/>
    <w:rsid w:val="701206DE"/>
    <w:rsid w:val="702C10E1"/>
    <w:rsid w:val="702C560A"/>
    <w:rsid w:val="704D382C"/>
    <w:rsid w:val="705334E9"/>
    <w:rsid w:val="70552753"/>
    <w:rsid w:val="70A6678A"/>
    <w:rsid w:val="70BC5C25"/>
    <w:rsid w:val="70C60851"/>
    <w:rsid w:val="70CF5F14"/>
    <w:rsid w:val="70D311C0"/>
    <w:rsid w:val="70F126AC"/>
    <w:rsid w:val="70F878E7"/>
    <w:rsid w:val="71023C2D"/>
    <w:rsid w:val="710F6395"/>
    <w:rsid w:val="711D243B"/>
    <w:rsid w:val="713A2FED"/>
    <w:rsid w:val="713A3B34"/>
    <w:rsid w:val="71547C7D"/>
    <w:rsid w:val="715A71EC"/>
    <w:rsid w:val="715E40CE"/>
    <w:rsid w:val="719D2122"/>
    <w:rsid w:val="71AD7C63"/>
    <w:rsid w:val="71BE3C1E"/>
    <w:rsid w:val="71C17ADF"/>
    <w:rsid w:val="71CF6311"/>
    <w:rsid w:val="71DA753F"/>
    <w:rsid w:val="71F4319C"/>
    <w:rsid w:val="71F80EDE"/>
    <w:rsid w:val="71F81013"/>
    <w:rsid w:val="72190E55"/>
    <w:rsid w:val="72393F7F"/>
    <w:rsid w:val="7252724C"/>
    <w:rsid w:val="728613FE"/>
    <w:rsid w:val="728A50C8"/>
    <w:rsid w:val="728D0F4F"/>
    <w:rsid w:val="7295304B"/>
    <w:rsid w:val="72A81F84"/>
    <w:rsid w:val="72A84B21"/>
    <w:rsid w:val="72B918A1"/>
    <w:rsid w:val="72BA240B"/>
    <w:rsid w:val="72BE2981"/>
    <w:rsid w:val="72D11266"/>
    <w:rsid w:val="72DB25CE"/>
    <w:rsid w:val="72F4219F"/>
    <w:rsid w:val="73012015"/>
    <w:rsid w:val="730165A5"/>
    <w:rsid w:val="73227C5D"/>
    <w:rsid w:val="73281C56"/>
    <w:rsid w:val="732E0CAB"/>
    <w:rsid w:val="733C7C66"/>
    <w:rsid w:val="733F0F1A"/>
    <w:rsid w:val="733F4343"/>
    <w:rsid w:val="734737A0"/>
    <w:rsid w:val="73481657"/>
    <w:rsid w:val="735370F1"/>
    <w:rsid w:val="73783823"/>
    <w:rsid w:val="738B18DE"/>
    <w:rsid w:val="739157D2"/>
    <w:rsid w:val="73B07597"/>
    <w:rsid w:val="73CB2F1A"/>
    <w:rsid w:val="73D414D7"/>
    <w:rsid w:val="73F44B5D"/>
    <w:rsid w:val="73F834DE"/>
    <w:rsid w:val="74275ABE"/>
    <w:rsid w:val="742F30B0"/>
    <w:rsid w:val="7444126D"/>
    <w:rsid w:val="744F1C81"/>
    <w:rsid w:val="74514133"/>
    <w:rsid w:val="745368A0"/>
    <w:rsid w:val="7460796A"/>
    <w:rsid w:val="748338B8"/>
    <w:rsid w:val="749E7B68"/>
    <w:rsid w:val="74E12256"/>
    <w:rsid w:val="751F06A0"/>
    <w:rsid w:val="75257740"/>
    <w:rsid w:val="7533222E"/>
    <w:rsid w:val="754E0E15"/>
    <w:rsid w:val="755F1275"/>
    <w:rsid w:val="757005AB"/>
    <w:rsid w:val="75727F28"/>
    <w:rsid w:val="75842A89"/>
    <w:rsid w:val="7590471B"/>
    <w:rsid w:val="75995D95"/>
    <w:rsid w:val="75A6549C"/>
    <w:rsid w:val="75B82300"/>
    <w:rsid w:val="75BC7C95"/>
    <w:rsid w:val="75E17EDC"/>
    <w:rsid w:val="75EA4FE2"/>
    <w:rsid w:val="75EB2B08"/>
    <w:rsid w:val="75EF25F8"/>
    <w:rsid w:val="75F22CD2"/>
    <w:rsid w:val="75F47A2D"/>
    <w:rsid w:val="75F830CD"/>
    <w:rsid w:val="760836BA"/>
    <w:rsid w:val="760C6F93"/>
    <w:rsid w:val="76174B66"/>
    <w:rsid w:val="763A2A7F"/>
    <w:rsid w:val="76760D6C"/>
    <w:rsid w:val="768617E1"/>
    <w:rsid w:val="768A2321"/>
    <w:rsid w:val="768E7968"/>
    <w:rsid w:val="76936B9B"/>
    <w:rsid w:val="76A423EF"/>
    <w:rsid w:val="76B14119"/>
    <w:rsid w:val="76BB6EED"/>
    <w:rsid w:val="76FB321F"/>
    <w:rsid w:val="771340C5"/>
    <w:rsid w:val="771A7688"/>
    <w:rsid w:val="7727026C"/>
    <w:rsid w:val="772A1F56"/>
    <w:rsid w:val="77413939"/>
    <w:rsid w:val="77422455"/>
    <w:rsid w:val="77425E1D"/>
    <w:rsid w:val="775853CB"/>
    <w:rsid w:val="775E1652"/>
    <w:rsid w:val="77624311"/>
    <w:rsid w:val="778305A0"/>
    <w:rsid w:val="779B27B0"/>
    <w:rsid w:val="77CC5F6D"/>
    <w:rsid w:val="77D61362"/>
    <w:rsid w:val="77E16BE1"/>
    <w:rsid w:val="77E41F4E"/>
    <w:rsid w:val="77F31872"/>
    <w:rsid w:val="77FC2DAB"/>
    <w:rsid w:val="780600CD"/>
    <w:rsid w:val="780D320A"/>
    <w:rsid w:val="78312246"/>
    <w:rsid w:val="783562BD"/>
    <w:rsid w:val="783F49A1"/>
    <w:rsid w:val="785D4793"/>
    <w:rsid w:val="785E2A5C"/>
    <w:rsid w:val="789B7EEC"/>
    <w:rsid w:val="78B2790D"/>
    <w:rsid w:val="78CD237D"/>
    <w:rsid w:val="78DA7630"/>
    <w:rsid w:val="78EC3E19"/>
    <w:rsid w:val="78FA19E0"/>
    <w:rsid w:val="79090AA4"/>
    <w:rsid w:val="791D122B"/>
    <w:rsid w:val="792F1049"/>
    <w:rsid w:val="793B77DC"/>
    <w:rsid w:val="79434D10"/>
    <w:rsid w:val="79573893"/>
    <w:rsid w:val="795D44AE"/>
    <w:rsid w:val="79646E10"/>
    <w:rsid w:val="797D4193"/>
    <w:rsid w:val="79875A65"/>
    <w:rsid w:val="798D79E0"/>
    <w:rsid w:val="79942B61"/>
    <w:rsid w:val="79A00CDE"/>
    <w:rsid w:val="79BD656A"/>
    <w:rsid w:val="79ED4CBB"/>
    <w:rsid w:val="79F06E8E"/>
    <w:rsid w:val="79F37769"/>
    <w:rsid w:val="7A09653A"/>
    <w:rsid w:val="7A10669E"/>
    <w:rsid w:val="7A1A6A30"/>
    <w:rsid w:val="7A1D0FAA"/>
    <w:rsid w:val="7A2249D3"/>
    <w:rsid w:val="7A290C7B"/>
    <w:rsid w:val="7A3153E0"/>
    <w:rsid w:val="7A477088"/>
    <w:rsid w:val="7A524210"/>
    <w:rsid w:val="7A556DB5"/>
    <w:rsid w:val="7A6335B5"/>
    <w:rsid w:val="7A713E8B"/>
    <w:rsid w:val="7A765F07"/>
    <w:rsid w:val="7A841C9F"/>
    <w:rsid w:val="7A911396"/>
    <w:rsid w:val="7A931452"/>
    <w:rsid w:val="7ABD3B3C"/>
    <w:rsid w:val="7ABE6A3D"/>
    <w:rsid w:val="7AC027B5"/>
    <w:rsid w:val="7AC87ADC"/>
    <w:rsid w:val="7AE85868"/>
    <w:rsid w:val="7AF366E7"/>
    <w:rsid w:val="7B1D57BC"/>
    <w:rsid w:val="7B2B7107"/>
    <w:rsid w:val="7B3769F8"/>
    <w:rsid w:val="7B4C4F2C"/>
    <w:rsid w:val="7B54736C"/>
    <w:rsid w:val="7B56765D"/>
    <w:rsid w:val="7B61077C"/>
    <w:rsid w:val="7B652D10"/>
    <w:rsid w:val="7B8571E2"/>
    <w:rsid w:val="7BAE625D"/>
    <w:rsid w:val="7BB00E53"/>
    <w:rsid w:val="7BB739A6"/>
    <w:rsid w:val="7BC44077"/>
    <w:rsid w:val="7BCE0170"/>
    <w:rsid w:val="7BDE7397"/>
    <w:rsid w:val="7BE42816"/>
    <w:rsid w:val="7BFB7CB5"/>
    <w:rsid w:val="7C032007"/>
    <w:rsid w:val="7C034818"/>
    <w:rsid w:val="7C0B5CB2"/>
    <w:rsid w:val="7C156B31"/>
    <w:rsid w:val="7C175BFE"/>
    <w:rsid w:val="7C1C3A1B"/>
    <w:rsid w:val="7C1E43E8"/>
    <w:rsid w:val="7C223A76"/>
    <w:rsid w:val="7C346191"/>
    <w:rsid w:val="7C42402A"/>
    <w:rsid w:val="7C4F2043"/>
    <w:rsid w:val="7C5B208A"/>
    <w:rsid w:val="7C8F15FF"/>
    <w:rsid w:val="7C8F4B47"/>
    <w:rsid w:val="7CA659DB"/>
    <w:rsid w:val="7CBA03AA"/>
    <w:rsid w:val="7CEC7795"/>
    <w:rsid w:val="7CEF6AF6"/>
    <w:rsid w:val="7CF643EC"/>
    <w:rsid w:val="7CFF5669"/>
    <w:rsid w:val="7CFF6F82"/>
    <w:rsid w:val="7D016A5D"/>
    <w:rsid w:val="7D2D77A1"/>
    <w:rsid w:val="7D3F20B7"/>
    <w:rsid w:val="7D425312"/>
    <w:rsid w:val="7D557CFB"/>
    <w:rsid w:val="7D5E0064"/>
    <w:rsid w:val="7D60167D"/>
    <w:rsid w:val="7D62010B"/>
    <w:rsid w:val="7D7316F2"/>
    <w:rsid w:val="7D731D61"/>
    <w:rsid w:val="7D733B02"/>
    <w:rsid w:val="7D7E4877"/>
    <w:rsid w:val="7D9A55EF"/>
    <w:rsid w:val="7DAE4767"/>
    <w:rsid w:val="7DF6029C"/>
    <w:rsid w:val="7DF613B2"/>
    <w:rsid w:val="7DFD5F17"/>
    <w:rsid w:val="7E24505B"/>
    <w:rsid w:val="7E3711BB"/>
    <w:rsid w:val="7E5D7099"/>
    <w:rsid w:val="7E696CC0"/>
    <w:rsid w:val="7E884FBD"/>
    <w:rsid w:val="7E8F19B6"/>
    <w:rsid w:val="7E920FBC"/>
    <w:rsid w:val="7E9755DB"/>
    <w:rsid w:val="7EAD12A3"/>
    <w:rsid w:val="7EB72EE7"/>
    <w:rsid w:val="7EDD4F0C"/>
    <w:rsid w:val="7EDF693E"/>
    <w:rsid w:val="7EFA0FAF"/>
    <w:rsid w:val="7F025158"/>
    <w:rsid w:val="7F0A04A3"/>
    <w:rsid w:val="7F1E11A7"/>
    <w:rsid w:val="7F2E5FF2"/>
    <w:rsid w:val="7F302D38"/>
    <w:rsid w:val="7F436EBA"/>
    <w:rsid w:val="7F62749E"/>
    <w:rsid w:val="7F75341C"/>
    <w:rsid w:val="7F82628B"/>
    <w:rsid w:val="7F880C66"/>
    <w:rsid w:val="7F8D6BC1"/>
    <w:rsid w:val="7F924A11"/>
    <w:rsid w:val="7F9E4E1D"/>
    <w:rsid w:val="7FB4040F"/>
    <w:rsid w:val="7FB73F0B"/>
    <w:rsid w:val="7FBB179D"/>
    <w:rsid w:val="7FBD7782"/>
    <w:rsid w:val="7FCE327F"/>
    <w:rsid w:val="7FD566F4"/>
    <w:rsid w:val="7FE61B40"/>
    <w:rsid w:val="7FE855F7"/>
    <w:rsid w:val="7FE9630A"/>
    <w:rsid w:val="7FF802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jc w:val="both"/>
    </w:pPr>
    <w:rPr>
      <w:rFonts w:ascii="Times New Roman" w:hAnsi="Times New Roman" w:eastAsia="宋体" w:cstheme="minorBidi"/>
      <w:kern w:val="2"/>
      <w:sz w:val="24"/>
      <w:szCs w:val="24"/>
      <w:lang w:val="en-US" w:eastAsia="zh-CN" w:bidi="ar-SA"/>
    </w:rPr>
  </w:style>
  <w:style w:type="paragraph" w:styleId="2">
    <w:name w:val="heading 1"/>
    <w:basedOn w:val="1"/>
    <w:next w:val="1"/>
    <w:link w:val="22"/>
    <w:autoRedefine/>
    <w:qFormat/>
    <w:uiPriority w:val="0"/>
    <w:pPr>
      <w:numPr>
        <w:ilvl w:val="0"/>
        <w:numId w:val="1"/>
      </w:numPr>
      <w:overflowPunct w:val="0"/>
      <w:snapToGrid w:val="0"/>
      <w:spacing w:before="50" w:beforeLines="50"/>
      <w:ind w:left="0" w:firstLine="0"/>
      <w:outlineLvl w:val="0"/>
    </w:pPr>
    <w:rPr>
      <w:rFonts w:ascii="Times New Roman" w:hAnsi="Times New Roman" w:eastAsia="宋体" w:cs="Times New Roman"/>
      <w:b/>
      <w:bCs/>
      <w:color w:val="auto"/>
      <w:kern w:val="44"/>
      <w:szCs w:val="30"/>
    </w:rPr>
  </w:style>
  <w:style w:type="paragraph" w:styleId="3">
    <w:name w:val="heading 2"/>
    <w:basedOn w:val="1"/>
    <w:next w:val="1"/>
    <w:link w:val="21"/>
    <w:autoRedefine/>
    <w:unhideWhenUsed/>
    <w:qFormat/>
    <w:uiPriority w:val="0"/>
    <w:pPr>
      <w:keepNext/>
      <w:keepLines/>
      <w:ind w:firstLine="0" w:firstLineChars="0"/>
      <w:outlineLvl w:val="1"/>
    </w:pPr>
    <w:rPr>
      <w:rFonts w:ascii="Times New Roman" w:hAnsi="Times New Roman" w:eastAsia="宋体" w:cs="Times New Roman"/>
      <w:b/>
    </w:rPr>
  </w:style>
  <w:style w:type="paragraph" w:styleId="4">
    <w:name w:val="heading 3"/>
    <w:basedOn w:val="1"/>
    <w:next w:val="1"/>
    <w:link w:val="23"/>
    <w:autoRedefine/>
    <w:semiHidden/>
    <w:unhideWhenUsed/>
    <w:qFormat/>
    <w:uiPriority w:val="0"/>
    <w:pPr>
      <w:keepNext/>
      <w:keepLines/>
      <w:spacing w:before="260" w:after="260" w:line="413" w:lineRule="auto"/>
      <w:outlineLvl w:val="2"/>
    </w:pPr>
    <w:rPr>
      <w:b/>
      <w:sz w:val="32"/>
    </w:rPr>
  </w:style>
  <w:style w:type="paragraph" w:styleId="5">
    <w:name w:val="heading 4"/>
    <w:basedOn w:val="6"/>
    <w:next w:val="1"/>
    <w:autoRedefine/>
    <w:unhideWhenUsed/>
    <w:qFormat/>
    <w:uiPriority w:val="0"/>
    <w:pPr>
      <w:keepNext/>
      <w:keepLines/>
      <w:spacing w:before="280" w:after="290" w:line="372" w:lineRule="auto"/>
      <w:outlineLvl w:val="3"/>
    </w:pPr>
    <w:rPr>
      <w:rFonts w:ascii="Arial" w:hAnsi="Arial" w:eastAsia="黑体"/>
      <w:sz w:val="28"/>
    </w:rPr>
  </w:style>
  <w:style w:type="paragraph" w:styleId="7">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6">
    <w:name w:val="Title"/>
    <w:basedOn w:val="1"/>
    <w:next w:val="1"/>
    <w:autoRedefine/>
    <w:qFormat/>
    <w:uiPriority w:val="0"/>
    <w:pPr>
      <w:spacing w:before="240" w:after="60"/>
      <w:jc w:val="center"/>
      <w:outlineLvl w:val="0"/>
    </w:pPr>
    <w:rPr>
      <w:b/>
      <w:bCs/>
      <w:sz w:val="32"/>
      <w:szCs w:val="32"/>
    </w:rPr>
  </w:style>
  <w:style w:type="paragraph" w:styleId="8">
    <w:name w:val="Normal Indent"/>
    <w:basedOn w:val="1"/>
    <w:next w:val="1"/>
    <w:qFormat/>
    <w:uiPriority w:val="0"/>
    <w:pPr>
      <w:widowControl w:val="0"/>
      <w:adjustRightInd w:val="0"/>
      <w:snapToGrid w:val="0"/>
      <w:spacing w:line="300" w:lineRule="auto"/>
      <w:ind w:firstLine="200" w:firstLineChars="200"/>
      <w:jc w:val="both"/>
    </w:pPr>
    <w:rPr>
      <w:rFonts w:ascii="仿宋_GB2312" w:hAnsi="Times New Roman" w:cs="Times New Roman"/>
      <w:kern w:val="2"/>
    </w:rPr>
  </w:style>
  <w:style w:type="paragraph" w:styleId="9">
    <w:name w:val="caption"/>
    <w:basedOn w:val="1"/>
    <w:next w:val="1"/>
    <w:semiHidden/>
    <w:unhideWhenUsed/>
    <w:qFormat/>
    <w:uiPriority w:val="0"/>
    <w:rPr>
      <w:rFonts w:ascii="Arial" w:hAnsi="Arial" w:eastAsia="黑体"/>
      <w:sz w:val="20"/>
    </w:rPr>
  </w:style>
  <w:style w:type="paragraph" w:styleId="10">
    <w:name w:val="annotation text"/>
    <w:basedOn w:val="1"/>
    <w:qFormat/>
    <w:uiPriority w:val="0"/>
    <w:pPr>
      <w:jc w:val="left"/>
    </w:p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4">
    <w:name w:val="Table Grid"/>
    <w:basedOn w:val="1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16">
    <w:name w:val="Emphasis"/>
    <w:basedOn w:val="15"/>
    <w:qFormat/>
    <w:uiPriority w:val="0"/>
    <w:rPr>
      <w:i/>
    </w:rPr>
  </w:style>
  <w:style w:type="character" w:customStyle="1" w:styleId="17">
    <w:name w:val="这篇正文 Char"/>
    <w:link w:val="18"/>
    <w:autoRedefine/>
    <w:qFormat/>
    <w:uiPriority w:val="0"/>
    <w:rPr>
      <w:rFonts w:ascii="Times New Roman" w:hAnsi="Times New Roman" w:eastAsia="宋体" w:cs="宋体"/>
      <w:kern w:val="0"/>
      <w:sz w:val="24"/>
    </w:rPr>
  </w:style>
  <w:style w:type="paragraph" w:customStyle="1" w:styleId="18">
    <w:name w:val="A这篇正文"/>
    <w:basedOn w:val="1"/>
    <w:link w:val="17"/>
    <w:autoRedefine/>
    <w:qFormat/>
    <w:uiPriority w:val="0"/>
    <w:pPr>
      <w:widowControl/>
      <w:ind w:firstLine="480" w:firstLineChars="200"/>
    </w:pPr>
    <w:rPr>
      <w:rFonts w:cs="宋体"/>
      <w:kern w:val="0"/>
    </w:rPr>
  </w:style>
  <w:style w:type="paragraph" w:customStyle="1" w:styleId="19">
    <w:name w:val="这个题注"/>
    <w:basedOn w:val="1"/>
    <w:autoRedefine/>
    <w:qFormat/>
    <w:uiPriority w:val="0"/>
    <w:pPr>
      <w:keepNext/>
      <w:spacing w:before="50" w:beforeLines="50" w:line="240" w:lineRule="auto"/>
      <w:jc w:val="center"/>
    </w:pPr>
    <w:rPr>
      <w:rFonts w:ascii="Times New Roman" w:hAnsi="Times New Roman" w:eastAsia="黑体" w:cs="Times New Roman"/>
      <w:sz w:val="21"/>
    </w:rPr>
  </w:style>
  <w:style w:type="paragraph" w:customStyle="1" w:styleId="20">
    <w:name w:val="格"/>
    <w:basedOn w:val="1"/>
    <w:link w:val="26"/>
    <w:autoRedefine/>
    <w:qFormat/>
    <w:uiPriority w:val="0"/>
    <w:pPr>
      <w:widowControl/>
      <w:spacing w:beforeLines="10" w:line="240" w:lineRule="auto"/>
      <w:jc w:val="center"/>
    </w:pPr>
    <w:rPr>
      <w:rFonts w:cs="宋体"/>
      <w:sz w:val="21"/>
      <w:szCs w:val="21"/>
    </w:rPr>
  </w:style>
  <w:style w:type="character" w:customStyle="1" w:styleId="21">
    <w:name w:val="标题 2 Char"/>
    <w:basedOn w:val="15"/>
    <w:link w:val="3"/>
    <w:autoRedefine/>
    <w:qFormat/>
    <w:uiPriority w:val="0"/>
    <w:rPr>
      <w:rFonts w:ascii="Times New Roman" w:hAnsi="Times New Roman" w:eastAsia="宋体"/>
      <w:b/>
      <w:kern w:val="2"/>
      <w:sz w:val="24"/>
      <w:szCs w:val="24"/>
    </w:rPr>
  </w:style>
  <w:style w:type="character" w:customStyle="1" w:styleId="22">
    <w:name w:val="标题 1 Char"/>
    <w:link w:val="2"/>
    <w:autoRedefine/>
    <w:qFormat/>
    <w:uiPriority w:val="0"/>
    <w:rPr>
      <w:rFonts w:ascii="Times New Roman" w:hAnsi="Times New Roman" w:eastAsia="宋体" w:cs="Times New Roman"/>
      <w:b/>
      <w:bCs/>
      <w:color w:val="auto"/>
      <w:kern w:val="44"/>
      <w:sz w:val="24"/>
      <w:szCs w:val="30"/>
      <w:lang w:val="en-US" w:eastAsia="zh-CN" w:bidi="ar-SA"/>
    </w:rPr>
  </w:style>
  <w:style w:type="character" w:customStyle="1" w:styleId="23">
    <w:name w:val="标题 3 Char"/>
    <w:basedOn w:val="15"/>
    <w:link w:val="4"/>
    <w:autoRedefine/>
    <w:qFormat/>
    <w:uiPriority w:val="0"/>
    <w:rPr>
      <w:b/>
      <w:bCs/>
      <w:kern w:val="2"/>
      <w:sz w:val="32"/>
      <w:szCs w:val="32"/>
    </w:rPr>
  </w:style>
  <w:style w:type="paragraph" w:customStyle="1" w:styleId="24">
    <w:name w:val="大表大字"/>
    <w:basedOn w:val="1"/>
    <w:autoRedefine/>
    <w:qFormat/>
    <w:uiPriority w:val="0"/>
    <w:pPr>
      <w:widowControl/>
      <w:spacing w:beforeLines="30" w:afterLines="30" w:line="264" w:lineRule="auto"/>
      <w:jc w:val="center"/>
    </w:pPr>
    <w:rPr>
      <w:rFonts w:cs="Times New Roman"/>
      <w:kern w:val="0"/>
    </w:rPr>
  </w:style>
  <w:style w:type="paragraph" w:customStyle="1" w:styleId="25">
    <w:name w:val="图注"/>
    <w:basedOn w:val="1"/>
    <w:next w:val="18"/>
    <w:autoRedefine/>
    <w:qFormat/>
    <w:uiPriority w:val="0"/>
    <w:pPr>
      <w:spacing w:afterLines="50"/>
      <w:jc w:val="center"/>
    </w:pPr>
    <w:rPr>
      <w:rFonts w:eastAsia="黑体"/>
      <w:sz w:val="21"/>
    </w:rPr>
  </w:style>
  <w:style w:type="character" w:customStyle="1" w:styleId="26">
    <w:name w:val="格 Char"/>
    <w:link w:val="20"/>
    <w:autoRedefine/>
    <w:qFormat/>
    <w:uiPriority w:val="0"/>
    <w:rPr>
      <w:rFonts w:cs="宋体"/>
      <w:sz w:val="21"/>
      <w:szCs w:val="21"/>
    </w:rPr>
  </w:style>
  <w:style w:type="character" w:customStyle="1" w:styleId="27">
    <w:name w:val="font21"/>
    <w:basedOn w:val="15"/>
    <w:qFormat/>
    <w:uiPriority w:val="0"/>
    <w:rPr>
      <w:rFonts w:hint="eastAsia" w:ascii="宋体" w:hAnsi="宋体" w:eastAsia="宋体" w:cs="宋体"/>
      <w:color w:val="000000"/>
      <w:sz w:val="21"/>
      <w:szCs w:val="21"/>
      <w:u w:val="none"/>
    </w:rPr>
  </w:style>
  <w:style w:type="character" w:customStyle="1" w:styleId="28">
    <w:name w:val="font41"/>
    <w:basedOn w:val="15"/>
    <w:qFormat/>
    <w:uiPriority w:val="0"/>
    <w:rPr>
      <w:rFonts w:hint="default" w:ascii="Times New Roman" w:hAnsi="Times New Roman" w:cs="Times New Roman"/>
      <w:b/>
      <w:bCs/>
      <w:color w:val="000000"/>
      <w:sz w:val="21"/>
      <w:szCs w:val="21"/>
      <w:u w:val="none"/>
    </w:rPr>
  </w:style>
  <w:style w:type="paragraph" w:customStyle="1" w:styleId="29">
    <w:name w:val="君邦正文"/>
    <w:qFormat/>
    <w:uiPriority w:val="0"/>
    <w:pPr>
      <w:widowControl w:val="0"/>
      <w:adjustRightInd w:val="0"/>
      <w:spacing w:after="60" w:line="360" w:lineRule="auto"/>
      <w:ind w:firstLine="480" w:firstLineChars="200"/>
      <w:jc w:val="both"/>
      <w:textAlignment w:val="baseline"/>
    </w:pPr>
    <w:rPr>
      <w:rFonts w:ascii="宋体" w:hAnsi="宋体" w:eastAsia="Times New Roman" w:cs="Times New Roman"/>
      <w:bCs/>
      <w:snapToGrid w:val="0"/>
      <w:sz w:val="24"/>
      <w:szCs w:val="22"/>
      <w:lang w:val="en-US" w:eastAsia="zh-CN" w:bidi="ar-SA"/>
    </w:rPr>
  </w:style>
  <w:style w:type="character" w:customStyle="1" w:styleId="30">
    <w:name w:val="font31"/>
    <w:basedOn w:val="15"/>
    <w:qFormat/>
    <w:uiPriority w:val="0"/>
    <w:rPr>
      <w:rFonts w:hint="default" w:ascii="Times New Roman" w:hAnsi="Times New Roman" w:cs="Times New Roman"/>
      <w:color w:val="000000"/>
      <w:sz w:val="21"/>
      <w:szCs w:val="21"/>
      <w:u w:val="none"/>
    </w:rPr>
  </w:style>
  <w:style w:type="character" w:customStyle="1" w:styleId="31">
    <w:name w:val="font11"/>
    <w:basedOn w:val="15"/>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customXml" Target="../customXml/item3.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emf"/><Relationship Id="rId21" Type="http://schemas.openxmlformats.org/officeDocument/2006/relationships/oleObject" Target="embeddings/oleObject2.bin"/><Relationship Id="rId20" Type="http://schemas.openxmlformats.org/officeDocument/2006/relationships/image" Target="media/image11.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d85b959e-2c3a-435c-b933-b24e3a0d7a7b</errorID>
      <errorWord>一带一路</errorWord>
      <group>L1_Political</group>
      <groupName>政治性问题</groupName>
      <ability>L2_Keyword</ability>
      <abilityName>固定表述</abilityName>
      <candidateList>
        <item>“一带一路”</item>
      </candidateList>
      <explain>注意检查当前固定表述标点是否使用规范。</explain>
      <paraID>5444B9D2</paraID>
      <start>77</start>
      <end>83</end>
      <status>modified</status>
      <modifiedWord>“一带一路”</modifiedWord>
      <trackRevisions>false</trackRevisions>
    </reviewItem>
    <reviewItem>
      <errorID>c36ff930-ceb0-4655-892c-f150a2dce3e6</errorID>
      <errorWord>（</errorWord>
      <group>L1_Punc</group>
      <groupName>标点问题</groupName>
      <ability>L2_Punc</ability>
      <abilityName>标点符号检查</abilityName>
      <candidateList/>
      <explain>同一形式括号套用。</explain>
      <paraID> BE442AA</paraID>
      <start>175</start>
      <end>176</end>
      <status>unmodified</status>
      <modifiedWord/>
      <trackRevisions>false</trackRevisions>
    </reviewItem>
    <reviewItem>
      <errorID>34101504-2c3a-41e8-b380-625055224e45</errorID>
      <errorWord>）</errorWord>
      <group>L1_Punc</group>
      <groupName>标点问题</groupName>
      <ability>L2_Punc</ability>
      <abilityName>标点符号检查</abilityName>
      <candidateList/>
      <explain>同一形式括号套用。</explain>
      <paraID> BE442AA</paraID>
      <start>187</start>
      <end>188</end>
      <status>unmodified</status>
      <modifiedWord/>
      <trackRevisions>false</trackRevisions>
    </reviewItem>
    <reviewItem>
      <errorID>d80e86fa-d8c4-4cef-b1ca-16d8203b42e5</errorID>
      <errorWord>（</errorWord>
      <group>L1_Punc</group>
      <groupName>标点问题</groupName>
      <ability>L2_Punc</ability>
      <abilityName>标点符号检查</abilityName>
      <candidateList/>
      <explain>同一形式括号套用。</explain>
      <paraID> 92E4EC5</paraID>
      <start>173</start>
      <end>174</end>
      <status>unmodified</status>
      <modifiedWord/>
      <trackRevisions>false</trackRevisions>
    </reviewItem>
    <reviewItem>
      <errorID>76b62450-a6f5-489c-8954-30f1af967504</errorID>
      <errorWord>）</errorWord>
      <group>L1_Punc</group>
      <groupName>标点问题</groupName>
      <ability>L2_Punc</ability>
      <abilityName>标点符号检查</abilityName>
      <candidateList/>
      <explain>同一形式括号套用。</explain>
      <paraID> 92E4EC5</paraID>
      <start>185</start>
      <end>186</end>
      <status>unmodified</status>
      <modifiedWord/>
      <trackRevisions>false</trackRevisions>
    </reviewItem>
    <reviewItem>
      <errorID>5267854d-fb61-4085-ac30-a4c8876a654e</errorID>
      <errorWord>，</errorWord>
      <group>L1_Word</group>
      <groupName>字词问题</groupName>
      <ability>L2_Typo</ability>
      <abilityName>字词错误</abilityName>
      <candidateList>
        <item>，对</item>
      </candidateList>
      <explain/>
      <paraID>57D8EE11</paraID>
      <start>36</start>
      <end>37</end>
      <status>unmodified</status>
      <modifiedWord/>
      <trackRevisions>false</trackRevisions>
    </reviewItem>
    <reviewItem>
      <errorID>3310a404-f2c9-440b-bf3b-497b0e36eb15</errorID>
      <errorWord>截留</errorWord>
      <group>L1_Word</group>
      <groupName>字词问题</groupName>
      <ability>L2_Typo</ability>
      <abilityName>字词错误</abilityName>
      <candidateList>
        <item>截流</item>
      </candidateList>
      <explain/>
      <paraID>106D12F7</paraID>
      <start>89</start>
      <end>91</end>
      <status>unmodified</status>
      <modifiedWord/>
      <trackRevisions>false</trackRevisions>
    </reviewItem>
    <reviewItem>
      <errorID>33f143d7-21b6-41fd-bdf8-dfd835add895</errorID>
      <errorWord>，</errorWord>
      <group>L1_Word</group>
      <groupName>字词问题</groupName>
      <ability>L2_Typo</ability>
      <abilityName>字词错误</abilityName>
      <candidateList>
        <item>，要</item>
      </candidateList>
      <explain/>
      <paraID>36DA8CD7</paraID>
      <start>136</start>
      <end>137</end>
      <status>unmodified</status>
      <modifiedWord/>
      <trackRevisions>false</trackRevisions>
    </reviewItem>
    <reviewItem>
      <errorID>86c7c311-915c-495c-b8ae-fbbf610d22a1</errorID>
      <errorWord>，</errorWord>
      <group>L1_Word</group>
      <groupName>字词问题</groupName>
      <ability>L2_Typo</ability>
      <abilityName>字词错误</abilityName>
      <candidateList>
        <item>，对</item>
      </candidateList>
      <explain/>
      <paraID> 3819F26</paraID>
      <start>11</start>
      <end>12</end>
      <status>unmodified</status>
      <modifiedWord/>
      <trackRevisions>false</trackRevisions>
    </reviewItem>
    <reviewItem>
      <errorID>ab5b2c70-b564-4d0a-81bc-c0c4086f2a9c</errorID>
      <errorWord>胜</errorWord>
      <group>L1_Word</group>
      <groupName>字词问题</groupName>
      <ability>L2_Typo</ability>
      <abilityName>字词错误</abilityName>
      <candidateList>
        <item>胜区</item>
      </candidateList>
      <explain/>
      <paraID>32C6B867</paraID>
      <start>71</start>
      <end>72</end>
      <status>unmodified</status>
      <modifiedWord/>
      <trackRevisions>false</trackRevisions>
    </reviewItem>
    <reviewItem>
      <errorID>aeac35e3-b059-4ec4-b9c8-2af06bd24ee5</errorID>
      <errorWord>；</errorWord>
      <group>L1_Word</group>
      <groupName>字词问题</groupName>
      <ability>L2_Typo</ability>
      <abilityName>字词错误</abilityName>
      <candidateList>
        <item>；对</item>
      </candidateList>
      <explain/>
      <paraID>3D805157</paraID>
      <start>52</start>
      <end>53</end>
      <status>unmodified</status>
      <modifiedWord/>
      <trackRevisions>false</trackRevisions>
    </reviewItem>
    <reviewItem>
      <errorID>56bb33ef-d010-4fc4-84be-5dc77c5e75ab</errorID>
      <errorWord>强</errorWord>
      <group>L1_Word</group>
      <groupName>字词问题</groupName>
      <ability>L2_Typo</ability>
      <abilityName>字词错误</abilityName>
      <candidateList>
        <item>强对</item>
      </candidateList>
      <explain/>
      <paraID>2F88D0F7</paraID>
      <start>176</start>
      <end>177</end>
      <status>unmodified</status>
      <modifiedWord/>
      <trackRevisions>false</trackRevisions>
    </reviewItem>
    <reviewItem>
      <errorID>59388b8f-697a-4f0a-8c6d-c121941f49e2</errorID>
      <errorWord>自动监测系统</errorWord>
      <group>L1_Knowledge</group>
      <groupName>知识性问题</groupName>
      <ability>L2_Term</ability>
      <abilityName>专业术语</abilityName>
      <candidateList>
        <item>自动检测系统</item>
      </candidateList>
      <explain/>
      <paraID>11463EFB</paraID>
      <start>64</start>
      <end>70</end>
      <status>unmodified</status>
      <modifiedWord/>
      <trackRevisions>false</trackRevisions>
    </reviewItem>
    <reviewItem>
      <errorID>e44b0fe6-cd40-4c27-b517-7a38bccd33df</errorID>
      <errorWord>检测报告</errorWord>
      <group>L1_Word</group>
      <groupName>字词问题</groupName>
      <ability>L2_Typo</ability>
      <abilityName>字词错误</abilityName>
      <candidateList>
        <item>监测报告</item>
      </candidateList>
      <explain/>
      <paraID> 47A0D8A</paraID>
      <start>73</start>
      <end>77</end>
      <status>unmodified</status>
      <modifiedWord/>
      <trackRevisions>false</trackRevisions>
    </reviewItem>
    <reviewItem>
      <errorID>9a30c805-d83f-446e-8fa9-26b53677a581</errorID>
      <errorWord>南侧外</errorWord>
      <group>L1_Word</group>
      <groupName>字词问题</groupName>
      <ability>L2_Typo</ability>
      <abilityName>字词错误</abilityName>
      <candidateList>
        <item>南侧</item>
      </candidateList>
      <explain/>
      <paraID>474BBC91</paraID>
      <start>34</start>
      <end>37</end>
      <status>unmodified</status>
      <modifiedWord/>
      <trackRevisions>false</trackRevisions>
    </reviewItem>
    <reviewItem>
      <errorID>f97550a0-a22a-43e9-b164-fabcd32ff06c</errorID>
      <errorWord>，</errorWord>
      <group>L1_Word</group>
      <groupName>字词问题</groupName>
      <ability>L2_Typo</ability>
      <abilityName>字词错误</abilityName>
      <candidateList>
        <item>，对</item>
      </candidateList>
      <explain/>
      <paraID>5506D90D</paraID>
      <start>30</start>
      <end>31</end>
      <status>unmodified</status>
      <modifiedWord/>
      <trackRevisions>false</trackRevisions>
    </reviewItem>
    <reviewItem>
      <errorID>d36347e1-8ec6-4675-92ed-a4dd33b473fd</errorID>
      <errorWord>%计</errorWord>
      <group>L1_Word</group>
      <groupName>字词问题</groupName>
      <ability>L2_Typo</ability>
      <abilityName>字词错误</abilityName>
      <candidateList>
        <item>%</item>
      </candidateList>
      <explain/>
      <paraID>329015F2</paraID>
      <start>54</start>
      <end>56</end>
      <status>unmodified</status>
      <modifiedWord/>
      <trackRevisions>false</trackRevisions>
    </reviewItem>
    <reviewItem>
      <errorID>3ca2285b-3958-4eea-9669-daf9320ca37d</errorID>
      <errorWord>，</errorWord>
      <group>L1_Format</group>
      <groupName>格式问题</groupName>
      <ability>L2_HalfPunc</ability>
      <abilityName>全半角检查</abilityName>
      <candidateList>
        <item>,</item>
      </candidateList>
      <explain>文本全半角错误。</explain>
      <paraID>654A21BF</paraID>
      <start>6</start>
      <end>7</end>
      <status>unmodified</status>
      <modifiedWord/>
      <trackRevisions>false</trackRevisions>
    </reviewItem>
    <reviewItem>
      <errorID>7f3d0044-d862-4802-b89c-b26ae06981c2</errorID>
      <errorWord>（</errorWord>
      <group>L1_Format</group>
      <groupName>格式问题</groupName>
      <ability>L2_HalfPunc</ability>
      <abilityName>全半角检查</abilityName>
      <candidateList>
        <item>(</item>
      </candidateList>
      <explain>文本全半角错误。</explain>
      <paraID>4E6049B3</paraID>
      <start>10</start>
      <end>11</end>
      <status>unmodified</status>
      <modifiedWord/>
      <trackRevisions>false</trackRevisions>
    </reviewItem>
    <reviewItem>
      <errorID>2500a022-a7e9-4dec-8be3-5fd51c87254a</errorID>
      <errorWord>）</errorWord>
      <group>L1_Format</group>
      <groupName>格式问题</groupName>
      <ability>L2_HalfPunc</ability>
      <abilityName>全半角检查</abilityName>
      <candidateList>
        <item>)</item>
      </candidateList>
      <explain>文本全半角错误。</explain>
      <paraID>4E6049B3</paraID>
      <start>14</start>
      <end>15</end>
      <status>unmodified</status>
      <modifiedWord/>
      <trackRevisions>false</trackRevisions>
    </reviewItem>
    <reviewItem>
      <errorID>21073f34-a549-4ca2-8583-86247e7a79c0</errorID>
      <errorWord>（</errorWord>
      <group>L1_Format</group>
      <groupName>格式问题</groupName>
      <ability>L2_HalfPunc</ability>
      <abilityName>全半角检查</abilityName>
      <candidateList>
        <item>(</item>
      </candidateList>
      <explain>文本全半角错误。</explain>
      <paraID>4E6049B3</paraID>
      <start>26</start>
      <end>27</end>
      <status>unmodified</status>
      <modifiedWord/>
      <trackRevisions>false</trackRevisions>
    </reviewItem>
    <reviewItem>
      <errorID>45f53e28-866e-4521-be3d-bdf757cc4de7</errorID>
      <errorWord>）</errorWord>
      <group>L1_Format</group>
      <groupName>格式问题</groupName>
      <ability>L2_HalfPunc</ability>
      <abilityName>全半角检查</abilityName>
      <candidateList>
        <item>)</item>
      </candidateList>
      <explain>文本全半角错误。</explain>
      <paraID>4E6049B3</paraID>
      <start>30</start>
      <end>31</end>
      <status>unmodified</status>
      <modifiedWord/>
      <trackRevisions>false</trackRevisions>
    </reviewItem>
    <reviewItem>
      <errorID>9d735105-421e-430e-a49b-44548d63fa13</errorID>
      <errorWord>（</errorWord>
      <group>L1_Format</group>
      <groupName>格式问题</groupName>
      <ability>L2_HalfPunc</ability>
      <abilityName>全半角检查</abilityName>
      <candidateList>
        <item>(</item>
      </candidateList>
      <explain>文本全半角错误。</explain>
      <paraID> 7EAC8B1</paraID>
      <start>10</start>
      <end>11</end>
      <status>unmodified</status>
      <modifiedWord/>
      <trackRevisions>false</trackRevisions>
    </reviewItem>
    <reviewItem>
      <errorID>f0692aef-fa58-4551-81e8-3dffb2aab41f</errorID>
      <errorWord>）</errorWord>
      <group>L1_Format</group>
      <groupName>格式问题</groupName>
      <ability>L2_HalfPunc</ability>
      <abilityName>全半角检查</abilityName>
      <candidateList>
        <item>)</item>
      </candidateList>
      <explain>文本全半角错误。</explain>
      <paraID> 7EAC8B1</paraID>
      <start>14</start>
      <end>15</end>
      <status>unmodified</status>
      <modifiedWord/>
      <trackRevisions>false</trackRevisions>
    </reviewItem>
    <reviewItem>
      <errorID>5e124987-c047-43da-9650-7647c0b1bdf1</errorID>
      <errorWord>（</errorWord>
      <group>L1_Format</group>
      <groupName>格式问题</groupName>
      <ability>L2_HalfPunc</ability>
      <abilityName>全半角检查</abilityName>
      <candidateList>
        <item>(</item>
      </candidateList>
      <explain>文本全半角错误。</explain>
      <paraID> 7EAC8B1</paraID>
      <start>25</start>
      <end>26</end>
      <status>unmodified</status>
      <modifiedWord/>
      <trackRevisions>false</trackRevisions>
    </reviewItem>
    <reviewItem>
      <errorID>2834f41e-9b71-4608-b0aa-7451b3257ce7</errorID>
      <errorWord>）</errorWord>
      <group>L1_Format</group>
      <groupName>格式问题</groupName>
      <ability>L2_HalfPunc</ability>
      <abilityName>全半角检查</abilityName>
      <candidateList>
        <item>)</item>
      </candidateList>
      <explain>文本全半角错误。</explain>
      <paraID> 7EAC8B1</paraID>
      <start>29</start>
      <end>30</end>
      <status>unmodified</status>
      <modifiedWord/>
      <trackRevisions>false</trackRevisions>
    </reviewItem>
    <reviewItem>
      <errorID>08cf39ce-d200-4ad6-b29b-d6175d0459df</errorID>
      <errorWord>成型</errorWord>
      <group>L1_Word</group>
      <groupName>字词问题</groupName>
      <ability>L2_Typo</ability>
      <abilityName>字词错误</abilityName>
      <candidateList>
        <item>成形</item>
      </candidateList>
      <explain/>
      <paraID>325146F3</paraID>
      <start>290</start>
      <end>292</end>
      <status>unmodified</status>
      <modifiedWord/>
      <trackRevisions>false</trackRevisions>
    </reviewItem>
    <reviewItem>
      <errorID>3d986b61-f02a-4f8f-8e11-1562de0c92d1</errorID>
      <errorWord>~</errorWord>
      <group>L1_Format</group>
      <groupName>格式问题</groupName>
      <ability>L2_HalfPunc</ability>
      <abilityName>全半角检查</abilityName>
      <candidateList>
        <item>～</item>
      </candidateList>
      <explain>文本全半角错误。</explain>
      <paraID>519DC516</paraID>
      <start>152</start>
      <end>153</end>
      <status>unmodified</status>
      <modifiedWord/>
      <trackRevisions>false</trackRevisions>
    </reviewItem>
    <reviewItem>
      <errorID>638988bc-c793-4b4a-8714-0bc4f4a68e5a</errorID>
      <errorWord>进入到</errorWord>
      <group>L1_Word</group>
      <groupName>字词问题</groupName>
      <ability>L2_Typo</ability>
      <abilityName>字词错误</abilityName>
      <candidateList>
        <item>进入</item>
      </candidateList>
      <explain>〈动〉支进到某个范围或某个时期里：～学校｜～新阶段◇～角色。</explain>
      <paraID>6123CDFB</paraID>
      <start>103</start>
      <end>106</end>
      <status>unmodified</status>
      <modifiedWord/>
      <trackRevisions>false</trackRevisions>
    </reviewItem>
    <reviewItem>
      <errorID>e873cd33-13e1-453c-a6d5-6332fe869bd4</errorID>
      <errorWord>生活废水</errorWord>
      <group>L1_Knowledge</group>
      <groupName>知识性问题</groupName>
      <ability>L2_Term</ability>
      <abilityName>专业术语</abilityName>
      <candidateList>
        <item>生活污水</item>
      </candidateList>
      <explain/>
      <paraID>7D435D2C</paraID>
      <start>8</start>
      <end>12</end>
      <status>unmodified</status>
      <modifiedWord/>
      <trackRevisions>false</trackRevisions>
    </reviewItem>
    <reviewItem>
      <errorID>9dfd839f-5469-462b-9a2d-70f10d411162</errorID>
      <errorWord>年</errorWord>
      <group>L1_Word</group>
      <groupName>字词问题</groupName>
      <ability>L2_Typo</ability>
      <abilityName>字词错误</abilityName>
      <candidateList>
        <item>年度</item>
      </candidateList>
      <explain/>
      <paraID>2C9154AE</paraID>
      <start>0</start>
      <end>1</end>
      <status>unmodified</status>
      <modifiedWord/>
      <trackRevisions>false</trackRevisions>
    </reviewItem>
    <reviewItem>
      <errorID>e4458279-1df4-4f84-845d-4d7dccaba131</errorID>
      <errorWord>（</errorWord>
      <group>L1_Format</group>
      <groupName>格式问题</groupName>
      <ability>L2_HalfPunc</ability>
      <abilityName>全半角检查</abilityName>
      <candidateList>
        <item>(</item>
      </candidateList>
      <explain>文本全半角错误。</explain>
      <paraID>1C871586</paraID>
      <start>2</start>
      <end>3</end>
      <status>unmodified</status>
      <modifiedWord/>
      <trackRevisions>false</trackRevisions>
    </reviewItem>
    <reviewItem>
      <errorID>4f671ccb-3b67-45ca-b847-4259182ec18e</errorID>
      <errorWord>）</errorWord>
      <group>L1_Format</group>
      <groupName>格式问题</groupName>
      <ability>L2_HalfPunc</ability>
      <abilityName>全半角检查</abilityName>
      <candidateList>
        <item>)</item>
      </candidateList>
      <explain>文本全半角错误。</explain>
      <paraID>1C871586</paraID>
      <start>8</start>
      <end>9</end>
      <status>unmodified</status>
      <modifiedWord/>
      <trackRevisions>false</trackRevisions>
    </reviewItem>
    <reviewItem>
      <errorID>141eecf8-3b57-453c-980a-ceb4c5eb56fb</errorID>
      <errorWord>（</errorWord>
      <group>L1_Punc</group>
      <groupName>标点问题</groupName>
      <ability>L2_Punc</ability>
      <abilityName>标点符号检查</abilityName>
      <candidateList/>
      <explain>同一形式括号套用。</explain>
      <paraID>3CBBB60C</paraID>
      <start>194</start>
      <end>195</end>
      <status>unmodified</status>
      <modifiedWord/>
      <trackRevisions>false</trackRevisions>
    </reviewItem>
    <reviewItem>
      <errorID>c2ad11f3-1e73-4336-a238-efe81ffcbcc3</errorID>
      <errorWord>）</errorWord>
      <group>L1_Punc</group>
      <groupName>标点问题</groupName>
      <ability>L2_Punc</ability>
      <abilityName>标点符号检查</abilityName>
      <candidateList/>
      <explain>同一形式括号套用。</explain>
      <paraID>3CBBB60C</paraID>
      <start>196</start>
      <end>197</end>
      <status>unmodified</status>
      <modifiedWord/>
      <trackRevisions>false</trackRevisions>
    </reviewItem>
    <reviewItem>
      <errorID>1fd54337-382a-4ab0-87d1-8a83e24c62ae</errorID>
      <errorWord>&lt;</errorWord>
      <group>L1_Format</group>
      <groupName>格式问题</groupName>
      <ability>L2_HalfPunc</ability>
      <abilityName>全半角检查</abilityName>
      <candidateList>
        <item>〈</item>
      </candidateList>
      <explain>文本全半角错误。</explain>
      <paraID>2FE3424C</paraID>
      <start>5</start>
      <end>6</end>
      <status>modified</status>
      <modifiedWord>〈</modifiedWord>
      <trackRevisions>false</trackRevisions>
    </reviewItem>
    <reviewItem>
      <errorID>b7aad8bd-45d2-4d68-be06-bbc2f2497466</errorID>
      <errorWord>&gt;</errorWord>
      <group>L1_Format</group>
      <groupName>格式问题</groupName>
      <ability>L2_HalfPunc</ability>
      <abilityName>全半角检查</abilityName>
      <candidateList>
        <item>〉</item>
      </candidateList>
      <explain>文本全半角错误。</explain>
      <paraID>2FE3424C</paraID>
      <start>19</start>
      <end>20</end>
      <status>modified</status>
      <modifiedWord>〉</modifiedWord>
      <trackRevisions>false</trackRevisions>
    </reviewItem>
    <reviewItem>
      <errorID>bb034b6c-0130-45e1-8e6f-1588841f4f23</errorID>
      <errorWord>生活废水</errorWord>
      <group>L1_Knowledge</group>
      <groupName>知识性问题</groupName>
      <ability>L2_Term</ability>
      <abilityName>专业术语</abilityName>
      <candidateList>
        <item>生活污水</item>
      </candidateList>
      <explain/>
      <paraID>122242F5</paraID>
      <start>58</start>
      <end>62</end>
      <status>unmodified</status>
      <modifiedWord/>
      <trackRevisions>false</trackRevisions>
    </reviewItem>
    <reviewItem>
      <errorID>9fe46c4a-0d81-4819-b0b6-5c84c34b9e60</errorID>
      <errorWord>（</errorWord>
      <group>L1_Punc</group>
      <groupName>标点问题</groupName>
      <ability>L2_Punc</ability>
      <abilityName>标点符号检查</abilityName>
      <candidateList/>
      <explain>同一形式括号套用。</explain>
      <paraID>31E3DD6E</paraID>
      <start>216</start>
      <end>217</end>
      <status>unmodified</status>
      <modifiedWord/>
      <trackRevisions>false</trackRevisions>
    </reviewItem>
    <reviewItem>
      <errorID>9b1c7715-6a7c-4a83-b8d2-082a5e8c44dd</errorID>
      <errorWord>）</errorWord>
      <group>L1_Punc</group>
      <groupName>标点问题</groupName>
      <ability>L2_Punc</ability>
      <abilityName>标点符号检查</abilityName>
      <candidateList/>
      <explain>同一形式括号套用。</explain>
      <paraID>31E3DD6E</paraID>
      <start>229</start>
      <end>230</end>
      <status>unmodified</status>
      <modifiedWord/>
      <trackRevisions>false</trackRevisions>
    </reviewItem>
    <reviewItem>
      <errorID>3c0e604e-98bd-45e9-abc1-574a235e1b66</errorID>
      <errorWord>（</errorWord>
      <group>L1_Punc</group>
      <groupName>标点问题</groupName>
      <ability>L2_Punc</ability>
      <abilityName>标点符号检查</abilityName>
      <candidateList/>
      <explain>同一形式括号套用。</explain>
      <paraID>31E3DD6E</paraID>
      <start>262</start>
      <end>263</end>
      <status>unmodified</status>
      <modifiedWord/>
      <trackRevisions>false</trackRevisions>
    </reviewItem>
    <reviewItem>
      <errorID>551d3553-e7c4-4893-89a5-63d6568db1e9</errorID>
      <errorWord>）</errorWord>
      <group>L1_Punc</group>
      <groupName>标点问题</groupName>
      <ability>L2_Punc</ability>
      <abilityName>标点符号检查</abilityName>
      <candidateList/>
      <explain>同一形式括号套用。</explain>
      <paraID>31E3DD6E</paraID>
      <start>274</start>
      <end>275</end>
      <status>unmodified</status>
      <modifiedWord/>
      <trackRevisions>false</trackRevisions>
    </reviewItem>
    <reviewItem>
      <errorID>e6863983-6752-4294-9be6-29af969f04fc</errorID>
      <errorWord>，</errorWord>
      <group>L1_Word</group>
      <groupName>字词问题</groupName>
      <ability>L2_Typo</ability>
      <abilityName>字词错误</abilityName>
      <candidateList>
        <item>，与</item>
      </candidateList>
      <explain/>
      <paraID>696D6A83</paraID>
      <start>46</start>
      <end>47</end>
      <status>unmodified</status>
      <modifiedWord/>
      <trackRevisions>false</trackRevisions>
    </reviewItem>
    <reviewItem>
      <errorID>5cde476f-4df6-40c0-941f-023d74b62da2</errorID>
      <errorWord>处理场</errorWord>
      <group>L1_Word</group>
      <groupName>字词问题</groupName>
      <ability>L2_Typo</ability>
      <abilityName>字词错误</abilityName>
      <candidateList>
        <item>处理厂</item>
      </candidateList>
      <explain/>
      <paraID>5F60BE34</paraID>
      <start>107</start>
      <end>110</end>
      <status>unmodified</status>
      <modifiedWord/>
      <trackRevisions>false</trackRevisions>
    </reviewItem>
    <reviewItem>
      <errorID>8350a4b5-a1a2-41b7-8fbf-d16cb10e49f5</errorID>
      <errorWord>为颗粒物</errorWord>
      <group>L1_Knowledge</group>
      <groupName>知识性问题</groupName>
      <ability>L2_Term</ability>
      <abilityName>专业术语</abilityName>
      <candidateList>
        <item>细颗粒物</item>
      </candidateList>
      <explain/>
      <paraID>2A2DBDCD</paraID>
      <start>42</start>
      <end>46</end>
      <status>unmodified</status>
      <modifiedWord/>
      <trackRevisions>false</trackRevisions>
    </reviewItem>
    <reviewItem>
      <errorID>fe398459-4ccb-4984-b137-eb13895dadf8</errorID>
      <errorWord>期</errorWord>
      <group>L1_Word</group>
      <groupName>字词问题</groupName>
      <ability>L2_Typo</ability>
      <abilityName>字词错误</abilityName>
      <candidateList>
        <item>期间</item>
      </candidateList>
      <explain>〈名〉某个时期里面：农忙～｜春节～｜抗战～。</explain>
      <paraID>2A2DBDCD</paraID>
      <start>228</start>
      <end>229</end>
      <status>unmodified</status>
      <modifiedWord/>
      <trackRevisions>false</trackRevisions>
    </reviewItem>
    <reviewItem>
      <errorID>d89a0b50-c0d7-4c31-9f51-8fed6d7dd8c4</errorID>
      <errorWord>（</errorWord>
      <group>L1_Punc</group>
      <groupName>标点问题</groupName>
      <ability>L2_Punc</ability>
      <abilityName>标点符号检查</abilityName>
      <candidateList>
        <item/>
      </candidateList>
      <explain>同一形式括号套用。</explain>
      <paraID>  B3D2CA</paraID>
      <start>53</start>
      <end>54</end>
      <status>unmodified</status>
      <modifiedWord/>
      <trackRevisions>false</trackRevisions>
    </reviewItem>
    <reviewItem>
      <errorID>95b37b22-d9bb-4ae9-93da-cac990d51fb1</errorID>
      <errorWord>.</errorWord>
      <group>L1_Format</group>
      <groupName>格式问题</groupName>
      <ability>L2_HalfPunc</ability>
      <abilityName>全半角检查</abilityName>
      <candidateList>
        <item>。</item>
      </candidateList>
      <explain>文本全半角错误。</explain>
      <paraID>  B3D2CA</paraID>
      <start>67</start>
      <end>68</end>
      <status>unmodified</status>
      <modifiedWord/>
      <trackRevisions>false</trackRevisions>
    </reviewItem>
    <reviewItem>
      <errorID>d6fac073-a97a-4b86-9419-a7be283e7e57</errorID>
      <errorWord>）</errorWord>
      <group>L1_Punc</group>
      <groupName>标点问题</groupName>
      <ability>L2_Punc</ability>
      <abilityName>标点符号检查</abilityName>
      <candidateList/>
      <explain>同一形式括号套用。</explain>
      <paraID>  B3D2CA</paraID>
      <start>95</start>
      <end>96</end>
      <status>unmodified</status>
      <modifiedWord/>
      <trackRevisions>false</trackRevisions>
    </reviewItem>
    <reviewItem>
      <errorID>eb8dee90-f72e-4dfe-bb57-834e7751adf5</errorID>
      <errorWord>（</errorWord>
      <group>L1_Punc</group>
      <groupName>标点问题</groupName>
      <ability>L2_Punc</ability>
      <abilityName>标点符号检查</abilityName>
      <candidateList>
        <item/>
      </candidateList>
      <explain>同一形式括号套用。</explain>
      <paraID>  B3D2CA</paraID>
      <start>251</start>
      <end>252</end>
      <status>unmodified</status>
      <modifiedWord/>
      <trackRevisions>false</trackRevisions>
    </reviewItem>
    <reviewItem>
      <errorID>eefc9d84-cfea-417d-acf2-aa2c045c4f49</errorID>
      <errorWord>.</errorWord>
      <group>L1_Format</group>
      <groupName>格式问题</groupName>
      <ability>L2_HalfPunc</ability>
      <abilityName>全半角检查</abilityName>
      <candidateList>
        <item>。</item>
      </candidateList>
      <explain>文本全半角错误。</explain>
      <paraID>  B3D2CA</paraID>
      <start>263</start>
      <end>264</end>
      <status>unmodified</status>
      <modifiedWord/>
      <trackRevisions>false</trackRevisions>
    </reviewItem>
    <reviewItem>
      <errorID>7f89a9eb-4d0a-4d00-b328-1e1eac3070f5</errorID>
      <errorWord>）</errorWord>
      <group>L1_Punc</group>
      <groupName>标点问题</groupName>
      <ability>L2_Punc</ability>
      <abilityName>标点符号检查</abilityName>
      <candidateList/>
      <explain>同一形式括号套用。</explain>
      <paraID>  B3D2CA</paraID>
      <start>287</start>
      <end>288</end>
      <status>unmodified</status>
      <modifiedWord/>
      <trackRevisions>false</trackRevisions>
    </reviewItem>
    <reviewItem>
      <errorID>8da13fad-6534-458a-b43c-caf74f7b31c3</errorID>
      <errorWord>（</errorWord>
      <group>L1_Punc</group>
      <groupName>标点问题</groupName>
      <ability>L2_Punc</ability>
      <abilityName>标点符号检查</abilityName>
      <candidateList>
        <item/>
      </candidateList>
      <explain>同一形式括号套用。</explain>
      <paraID>6722880E</paraID>
      <start>40</start>
      <end>41</end>
      <status>unmodified</status>
      <modifiedWord/>
      <trackRevisions>false</trackRevisions>
    </reviewItem>
    <reviewItem>
      <errorID>5d1f259d-e5cb-4026-a5d9-e358dd0d9902</errorID>
      <errorWord>.</errorWord>
      <group>L1_Format</group>
      <groupName>格式问题</groupName>
      <ability>L2_HalfPunc</ability>
      <abilityName>全半角检查</abilityName>
      <candidateList>
        <item>。</item>
      </candidateList>
      <explain>文本全半角错误。</explain>
      <paraID>6722880E</paraID>
      <start>53</start>
      <end>54</end>
      <status>unmodified</status>
      <modifiedWord/>
      <trackRevisions>false</trackRevisions>
    </reviewItem>
    <reviewItem>
      <errorID>893f6082-c090-4348-a0e4-3986f7a0e79a</errorID>
      <errorWord>）</errorWord>
      <group>L1_Punc</group>
      <groupName>标点问题</groupName>
      <ability>L2_Punc</ability>
      <abilityName>标点符号检查</abilityName>
      <candidateList/>
      <explain>同一形式括号套用。</explain>
      <paraID>6722880E</paraID>
      <start>78</start>
      <end>79</end>
      <status>unmodified</status>
      <modifiedWord/>
      <trackRevisions>false</trackRevisions>
    </reviewItem>
    <reviewItem>
      <errorID>106b6111-dd82-4fdb-9b8e-f5d0cfb98e85</errorID>
      <errorWord>~</errorWord>
      <group>L1_Format</group>
      <groupName>格式问题</groupName>
      <ability>L2_HalfPunc</ability>
      <abilityName>全半角检查</abilityName>
      <candidateList>
        <item>～</item>
      </candidateList>
      <explain>文本全半角错误。</explain>
      <paraID>6722880E</paraID>
      <start>129</start>
      <end>130</end>
      <status>unmodified</status>
      <modifiedWord/>
      <trackRevisions>false</trackRevisions>
    </reviewItem>
    <reviewItem>
      <errorID>afaf1e00-a105-46ea-b9d3-cd401bef035f</errorID>
      <errorWord>~</errorWord>
      <group>L1_Format</group>
      <groupName>格式问题</groupName>
      <ability>L2_HalfPunc</ability>
      <abilityName>全半角检查</abilityName>
      <candidateList>
        <item>～</item>
      </candidateList>
      <explain>文本全半角错误。</explain>
      <paraID>6722880E</paraID>
      <start>169</start>
      <end>170</end>
      <status>unmodified</status>
      <modifiedWord/>
      <trackRevisions>false</trackRevisions>
    </reviewItem>
    <reviewItem>
      <errorID>c1357363-d841-45bb-9548-09ae1bec7d43</errorID>
      <errorWord>（</errorWord>
      <group>L1_Punc</group>
      <groupName>标点问题</groupName>
      <ability>L2_Punc</ability>
      <abilityName>标点符号检查</abilityName>
      <candidateList>
        <item/>
      </candidateList>
      <explain>同一形式括号套用。</explain>
      <paraID>6722880E</paraID>
      <start>206</start>
      <end>207</end>
      <status>unmodified</status>
      <modifiedWord/>
      <trackRevisions>false</trackRevisions>
    </reviewItem>
    <reviewItem>
      <errorID>d1653d2d-7e58-4e2e-abcd-409911a531d4</errorID>
      <errorWord>）</errorWord>
      <group>L1_Punc</group>
      <groupName>标点问题</groupName>
      <ability>L2_Punc</ability>
      <abilityName>标点符号检查</abilityName>
      <candidateList/>
      <explain>同一形式括号套用。</explain>
      <paraID>6722880E</paraID>
      <start>243</start>
      <end>244</end>
      <status>unmodified</status>
      <modifiedWord/>
      <trackRevisions>false</trackRevisions>
    </reviewItem>
    <reviewItem>
      <errorID>4aa68fd6-ac68-41d9-9ca5-e3fbdf4e7f61</errorID>
      <errorWord>（</errorWord>
      <group>L1_Format</group>
      <groupName>格式问题</groupName>
      <ability>L2_HalfPunc</ability>
      <abilityName>全半角检查</abilityName>
      <candidateList>
        <item>(</item>
      </candidateList>
      <explain>文本全半角错误。</explain>
      <paraID> 2A8F3B1</paraID>
      <start>3</start>
      <end>4</end>
      <status>unmodified</status>
      <modifiedWord/>
      <trackRevisions>false</trackRevisions>
    </reviewItem>
    <reviewItem>
      <errorID>579f9f07-2247-4382-8707-a663d0d05e56</errorID>
      <errorWord>）</errorWord>
      <group>L1_Format</group>
      <groupName>格式问题</groupName>
      <ability>L2_HalfPunc</ability>
      <abilityName>全半角检查</abilityName>
      <candidateList>
        <item>)</item>
      </candidateList>
      <explain>文本全半角错误。</explain>
      <paraID> 2A8F3B1</paraID>
      <start>7</start>
      <end>8</end>
      <status>unmodified</status>
      <modifiedWord/>
      <trackRevisions>false</trackRevisions>
    </reviewItem>
    <reviewItem>
      <errorID>bec87f39-9c3c-4ba3-993f-51290b149c1b</errorID>
      <errorWord>（</errorWord>
      <group>L1_Format</group>
      <groupName>格式问题</groupName>
      <ability>L2_HalfPunc</ability>
      <abilityName>全半角检查</abilityName>
      <candidateList>
        <item>(</item>
      </candidateList>
      <explain>文本全半角错误。</explain>
      <paraID>4C05644A</paraID>
      <start>3</start>
      <end>4</end>
      <status>unmodified</status>
      <modifiedWord/>
      <trackRevisions>false</trackRevisions>
    </reviewItem>
    <reviewItem>
      <errorID>492cad7f-0ec7-455a-b43a-3b0e8df93d0e</errorID>
      <errorWord>）</errorWord>
      <group>L1_Format</group>
      <groupName>格式问题</groupName>
      <ability>L2_HalfPunc</ability>
      <abilityName>全半角检查</abilityName>
      <candidateList>
        <item>)</item>
      </candidateList>
      <explain>文本全半角错误。</explain>
      <paraID>4C05644A</paraID>
      <start>9</start>
      <end>10</end>
      <status>unmodified</status>
      <modifiedWord/>
      <trackRevisions>false</trackRevisions>
    </reviewItem>
    <reviewItem>
      <errorID>46c5925d-06af-4e3d-a6b4-2c1343a01eec</errorID>
      <errorWord>（</errorWord>
      <group>L1_Format</group>
      <groupName>格式问题</groupName>
      <ability>L2_HalfPunc</ability>
      <abilityName>全半角检查</abilityName>
      <candidateList>
        <item>(</item>
      </candidateList>
      <explain>文本全半角错误。</explain>
      <paraID>2EC98D84</paraID>
      <start>4</start>
      <end>5</end>
      <status>unmodified</status>
      <modifiedWord/>
      <trackRevisions>false</trackRevisions>
    </reviewItem>
    <reviewItem>
      <errorID>dce97f61-7a3d-4eea-b7ee-ed6a143af86f</errorID>
      <errorWord>）</errorWord>
      <group>L1_Format</group>
      <groupName>格式问题</groupName>
      <ability>L2_HalfPunc</ability>
      <abilityName>全半角检查</abilityName>
      <candidateList>
        <item>)</item>
      </candidateList>
      <explain>文本全半角错误。</explain>
      <paraID>2EC98D84</paraID>
      <start>9</start>
      <end>10</end>
      <status>unmodified</status>
      <modifiedWord/>
      <trackRevisions>false</trackRevisions>
    </reviewItem>
    <reviewItem>
      <errorID>985a3fc3-30d7-4346-a2ec-01b7fa65309f</errorID>
      <errorWord>~</errorWord>
      <group>L1_Format</group>
      <groupName>格式问题</groupName>
      <ability>L2_HalfPunc</ability>
      <abilityName>全半角检查</abilityName>
      <candidateList>
        <item>～</item>
      </candidateList>
      <explain>文本全半角错误。</explain>
      <paraID>200D840C</paraID>
      <start>85</start>
      <end>86</end>
      <status>unmodified</status>
      <modifiedWord/>
      <trackRevisions>false</trackRevisions>
    </reviewItem>
    <reviewItem>
      <errorID>6847c904-385d-4164-8c49-29c2fe62323b</errorID>
      <errorWord>外逸</errorWord>
      <group>L1_Word</group>
      <groupName>字词问题</groupName>
      <ability>L2_Typo</ability>
      <abilityName>字词错误</abilityName>
      <candidateList>
        <item>外溢</item>
      </candidateList>
      <explain/>
      <paraID>200D840C</paraID>
      <start>181</start>
      <end>183</end>
      <status>unmodified</status>
      <modifiedWord/>
      <trackRevisions>false</trackRevisions>
    </reviewItem>
    <reviewItem>
      <errorID>cc2822a0-08b0-4160-8e33-84eb41bc29f9</errorID>
      <errorWord>》</errorWord>
      <group>L1_Punc</group>
      <groupName>标点问题</groupName>
      <ability>L2_Punc</ability>
      <abilityName>标点符号检查</abilityName>
      <candidateList/>
      <explain/>
      <paraID>1B2A9598</paraID>
      <start>37</start>
      <end>38</end>
      <status>unmodified</status>
      <modifiedWord/>
      <trackRevisions>false</trackRevisions>
    </reviewItem>
    <reviewItem>
      <errorID>fec3f566-0d9d-4d60-89cf-ef5467c05bfe</errorID>
      <errorWord>使用量宜</errorWord>
      <group>L1_Word</group>
      <groupName>字词问题</groupName>
      <ability>L2_Typo</ability>
      <abilityName>字词错误</abilityName>
      <candidateList>
        <item>使用量</item>
      </candidateList>
      <explain/>
      <paraID>59F66521</paraID>
      <start>67</start>
      <end>71</end>
      <status>unmodified</status>
      <modifiedWord/>
      <trackRevisions>false</trackRevisions>
    </reviewItem>
    <reviewItem>
      <errorID>b15cbe6b-10e3-4ae6-a700-c5f72743ba2b</errorID>
      <errorWord>有组织排放</errorWord>
      <group>L1_Knowledge</group>
      <groupName>知识性问题</groupName>
      <ability>L2_Term</ability>
      <abilityName>专业术语</abilityName>
      <candidateList>
        <item>无组织排放</item>
      </candidateList>
      <explain/>
      <paraID>7AD552D8</paraID>
      <start>119</start>
      <end>124</end>
      <status>unmodified</status>
      <modifiedWord/>
      <trackRevisions>false</trackRevisions>
    </reviewItem>
    <reviewItem>
      <errorID>573cb61f-d60c-44fe-b528-f9e77077b7fc</errorID>
      <errorWord>（</errorWord>
      <group>L1_Format</group>
      <groupName>格式问题</groupName>
      <ability>L2_HalfPunc</ability>
      <abilityName>全半角检查</abilityName>
      <candidateList>
        <item>(</item>
      </candidateList>
      <explain>文本全半角错误。</explain>
      <paraID>186BDF99</paraID>
      <start>8</start>
      <end>9</end>
      <status>unmodified</status>
      <modifiedWord/>
      <trackRevisions>false</trackRevisions>
    </reviewItem>
    <reviewItem>
      <errorID>4bc4c4ad-18df-4885-a652-552e3365ff11</errorID>
      <errorWord>）</errorWord>
      <group>L1_Format</group>
      <groupName>格式问题</groupName>
      <ability>L2_HalfPunc</ability>
      <abilityName>全半角检查</abilityName>
      <candidateList>
        <item>)</item>
      </candidateList>
      <explain>文本全半角错误。</explain>
      <paraID>186BDF99</paraID>
      <start>13</start>
      <end>14</end>
      <status>unmodified</status>
      <modifiedWord/>
      <trackRevisions>false</trackRevisions>
    </reviewItem>
    <reviewItem>
      <errorID>a985c275-4214-425e-9e24-265d65ed0e76</errorID>
      <errorWord>源源</errorWord>
      <group>L1_Word</group>
      <groupName>字词问题</groupName>
      <ability>L2_Typo</ability>
      <abilityName>字词错误</abilityName>
      <candidateList>
        <item>源</item>
      </candidateList>
      <explain/>
      <paraID>7AFD2E0F</paraID>
      <start>1</start>
      <end>3</end>
      <status>unmodified</status>
      <modifiedWord/>
      <trackRevisions>false</trackRevisions>
    </reviewItem>
    <reviewItem>
      <errorID>2c5b76a3-6c80-4ad5-88e0-f2650afac242</errorID>
      <errorWord>（</errorWord>
      <group>L1_Punc</group>
      <groupName>标点问题</groupName>
      <ability>L2_Punc</ability>
      <abilityName>标点符号检查</abilityName>
      <candidateList>
        <item/>
      </candidateList>
      <explain>同一形式括号套用。</explain>
      <paraID>11C93711</paraID>
      <start>3</start>
      <end>4</end>
      <status>unmodified</status>
      <modifiedWord/>
      <trackRevisions>false</trackRevisions>
    </reviewItem>
    <reviewItem>
      <errorID>a03b4e6b-6448-4478-9d63-acaf4ef0d30b</errorID>
      <errorWord>）</errorWord>
      <group>L1_Punc</group>
      <groupName>标点问题</groupName>
      <ability>L2_Punc</ability>
      <abilityName>标点符号检查</abilityName>
      <candidateList/>
      <explain>同一形式括号套用。</explain>
      <paraID>11C93711</paraID>
      <start>9</start>
      <end>10</end>
      <status>unmodified</status>
      <modifiedWord/>
      <trackRevisions>false</trackRevisions>
    </reviewItem>
    <reviewItem>
      <errorID>48e1c4ff-b6cf-40a8-a02a-af19e435dea5</errorID>
      <errorWord>（</errorWord>
      <group>L1_Punc</group>
      <groupName>标点问题</groupName>
      <ability>L2_Punc</ability>
      <abilityName>标点符号检查</abilityName>
      <candidateList>
        <item/>
      </candidateList>
      <explain>同一形式括号套用。</explain>
      <paraID> 25F9214</paraID>
      <start>4</start>
      <end>5</end>
      <status>unmodified</status>
      <modifiedWord/>
      <trackRevisions>false</trackRevisions>
    </reviewItem>
    <reviewItem>
      <errorID>8229aef0-7838-4387-a8f6-14683dfb8cda</errorID>
      <errorWord>）</errorWord>
      <group>L1_Punc</group>
      <groupName>标点问题</groupName>
      <ability>L2_Punc</ability>
      <abilityName>标点符号检查</abilityName>
      <candidateList/>
      <explain>同一形式括号套用。</explain>
      <paraID> 25F9214</paraID>
      <start>10</start>
      <end>11</end>
      <status>unmodified</status>
      <modifiedWord/>
      <trackRevisions>false</trackRevisions>
    </reviewItem>
    <reviewItem>
      <errorID>528602cf-25ca-4de0-a11a-9a007190a778</errorID>
      <errorWord>震动</errorWord>
      <group>L1_Word</group>
      <groupName>字词问题</groupName>
      <ability>L2_Typo</ability>
      <abilityName>字词错误</abilityName>
      <candidateList>
        <item>振动</item>
      </candidateList>
      <explain>存在发音相同字词的误用。</explain>
      <paraID>60C4BB7A</paraID>
      <start>27</start>
      <end>29</end>
      <status>unmodified</status>
      <modifiedWord/>
      <trackRevisions>false</trackRevisions>
    </reviewItem>
    <reviewItem>
      <errorID>1cbe57b0-e84b-4bd2-b808-ad463a2ed7bf</errorID>
      <errorWord>季</errorWord>
      <group>L1_Word</group>
      <groupName>字词问题</groupName>
      <ability>L2_Typo</ability>
      <abilityName>字词错误</abilityName>
      <candidateList>
        <item>季度</item>
      </candidateList>
      <explain/>
      <paraID>56D2BB2A</paraID>
      <start>1</start>
      <end>2</end>
      <status>unmodified</status>
      <modifiedWord/>
      <trackRevisions>false</trackRevisions>
    </reviewItem>
    <reviewItem>
      <errorID>aabda665-5270-4249-a4e7-5f65d48102ab</errorID>
      <errorWord>，</errorWord>
      <group>L1_Format</group>
      <groupName>格式问题</groupName>
      <ability>L2_HalfPunc</ability>
      <abilityName>全半角检查</abilityName>
      <candidateList>
        <item>, </item>
      </candidateList>
      <explain>文本全半角错误。</explain>
      <paraID>3F9A1196</paraID>
      <start>1</start>
      <end>2</end>
      <status>unmodified</status>
      <modifiedWord/>
      <trackRevisions>false</trackRevisions>
    </reviewItem>
    <reviewItem>
      <errorID>f01ae732-8731-445a-a598-4db179cd94d5</errorID>
      <errorWord>桶装</errorWord>
      <group>L1_Word</group>
      <groupName>字词问题</groupName>
      <ability>L2_Typo</ability>
      <abilityName>字词错误</abilityName>
      <candidateList>
        <item>桶状</item>
      </candidateList>
      <explain/>
      <paraID>4D1F2EF0</paraID>
      <start>7</start>
      <end>9</end>
      <status>unmodified</status>
      <modifiedWord/>
      <trackRevisions>false</trackRevisions>
    </reviewItem>
    <reviewItem>
      <errorID>be5d88ab-a313-4bc5-94a9-1f5c1fd567d0</errorID>
      <errorWord>，</errorWord>
      <group>L1_Format</group>
      <groupName>格式问题</groupName>
      <ability>L2_HalfPunc</ability>
      <abilityName>全半角检查</abilityName>
      <candidateList>
        <item>, </item>
      </candidateList>
      <explain>文本全半角错误。</explain>
      <paraID>12BCAC9A</paraID>
      <start>1</start>
      <end>2</end>
      <status>unmodified</status>
      <modifiedWord/>
      <trackRevisions>false</trackRevisions>
    </reviewItem>
    <reviewItem>
      <errorID>1bcd361b-071a-41f5-9e23-38ed8ce02842</errorID>
      <errorWord>，</errorWord>
      <group>L1_Format</group>
      <groupName>格式问题</groupName>
      <ability>L2_HalfPunc</ability>
      <abilityName>全半角检查</abilityName>
      <candidateList>
        <item>, </item>
      </candidateList>
      <explain>文本全半角错误。</explain>
      <paraID>6DC80438</paraID>
      <start>1</start>
      <end>2</end>
      <status>unmodified</status>
      <modifiedWord/>
      <trackRevisions>false</trackRevisions>
    </reviewItem>
    <reviewItem>
      <errorID>9de673a3-2009-4c76-9cf9-17262092b78b</errorID>
      <errorWord>，</errorWord>
      <group>L1_Format</group>
      <groupName>格式问题</groupName>
      <ability>L2_HalfPunc</ability>
      <abilityName>全半角检查</abilityName>
      <candidateList>
        <item>, </item>
      </candidateList>
      <explain>文本全半角错误。</explain>
      <paraID>2BBACBA8</paraID>
      <start>1</start>
      <end>2</end>
      <status>unmodified</status>
      <modifiedWord/>
      <trackRevisions>false</trackRevisions>
    </reviewItem>
    <reviewItem>
      <errorID>3a609a70-24b1-41ad-aa9c-f78a32181d28</errorID>
      <errorWord>桶装</errorWord>
      <group>L1_Word</group>
      <groupName>字词问题</groupName>
      <ability>L2_Typo</ability>
      <abilityName>字词错误</abilityName>
      <candidateList>
        <item>桶状</item>
      </candidateList>
      <explain/>
      <paraID>488719A4</paraID>
      <start>7</start>
      <end>9</end>
      <status>unmodified</status>
      <modifiedWord/>
      <trackRevisions>false</trackRevisions>
    </reviewItem>
    <reviewItem>
      <errorID>c03d5bfa-22c0-42db-a006-c26cac74c381</errorID>
      <errorWord>桶装</errorWord>
      <group>L1_Word</group>
      <groupName>字词问题</groupName>
      <ability>L2_Typo</ability>
      <abilityName>字词错误</abilityName>
      <candidateList>
        <item>桶状</item>
      </candidateList>
      <explain/>
      <paraID>7E722A9F</paraID>
      <start>7</start>
      <end>9</end>
      <status>unmodified</status>
      <modifiedWord/>
      <trackRevisions>false</trackRevisions>
    </reviewItem>
    <reviewItem>
      <errorID>7c131ae3-26d6-4a91-840c-675aa202a03a</errorID>
      <errorWord>程</errorWord>
      <group>L1_Word</group>
      <groupName>字词问题</groupName>
      <ability>L2_Typo</ability>
      <abilityName>字词错误</abilityName>
      <candidateList>
        <item>程中</item>
      </candidateList>
      <explain/>
      <paraID> EC3CF0B</paraID>
      <start>83</start>
      <end>84</end>
      <status>unmodified</status>
      <modifiedWord/>
      <trackRevisions>false</trackRevisions>
    </reviewItem>
    <reviewItem>
      <errorID>ae3afbbe-55a1-4b3b-938c-629d69e82512</errorID>
      <errorWord>部部</errorWord>
      <group>L1_Word</group>
      <groupName>字词问题</groupName>
      <ability>L2_Typo</ability>
      <abilityName>字词错误</abilityName>
      <candidateList>
        <item>部</item>
      </candidateList>
      <explain>❶部分；部位：内～｜上～｜胸～｜局～。❷〈名〉中央政府按业务划分的单位（级别比局、厅高）：外交～｜商务～。❸一般机关企业按业务划分的单位：编辑～｜门市～。❹军队（连以上）等的领导机构或其所在地：连～｜司令～。❺〈名〉指部队：率～突围。❻〈书〉统辖；统率；所～｜～领。❼〈量〉a）用于书籍、影片等：两～字典｜一～纪录片｜三～电视剧。</explain>
      <paraID>7FEA232A</paraID>
      <start>331</start>
      <end>333</end>
      <status>unmodified</status>
      <modifiedWord/>
      <trackRevisions>false</trackRevisions>
    </reviewItem>
    <reviewItem>
      <errorID>6245c019-004a-4999-8d3f-9aec56d46d97</errorID>
      <errorWord>~</errorWord>
      <group>L1_Format</group>
      <groupName>格式问题</groupName>
      <ability>L2_HalfPunc</ability>
      <abilityName>全半角检查</abilityName>
      <candidateList>
        <item>～</item>
      </candidateList>
      <explain>文本全半角错误。</explain>
      <paraID>5F469452</paraID>
      <start>34</start>
      <end>35</end>
      <status>unmodified</status>
      <modifiedWord/>
      <trackRevisions>false</trackRevisions>
    </reviewItem>
    <reviewItem>
      <errorID>3fa162e5-052e-4227-9549-540d5a4896d3</errorID>
      <errorWord>设置</errorWord>
      <group>L1_Word</group>
      <groupName>字词问题</groupName>
      <ability>L2_Typo</ability>
      <abilityName>字词错误</abilityName>
      <candidateList>
        <item>设施</item>
      </candidateList>
      <explain/>
      <paraID>57B43DEC</paraID>
      <start>109</start>
      <end>111</end>
      <status>unmodified</status>
      <modifiedWord/>
      <trackRevisions>false</trackRevisions>
    </reviewItem>
    <reviewItem>
      <errorID>2e962de9-23ca-476a-9152-e1599a76e2cd</errorID>
      <errorWord>程</errorWord>
      <group>L1_Word</group>
      <groupName>字词问题</groupName>
      <ability>L2_Typo</ability>
      <abilityName>字词错误</abilityName>
      <candidateList>
        <item>程中</item>
      </candidateList>
      <explain/>
      <paraID>795620FB</paraID>
      <start>60</start>
      <end>61</end>
      <status>unmodified</status>
      <modifiedWord/>
      <trackRevisions>false</trackRevisions>
    </reviewItem>
    <reviewItem>
      <errorID>3058f65b-3ea1-4c56-9898-39093f7cb6aa</errorID>
      <errorWord>部部</errorWord>
      <group>L1_Word</group>
      <groupName>字词问题</groupName>
      <ability>L2_Typo</ability>
      <abilityName>字词错误</abilityName>
      <candidateList>
        <item>部</item>
      </candidateList>
      <explain>❶部分；部位：内～｜上～｜胸～｜局～。❷〈名〉中央政府按业务划分的单位（级别比局、厅高）：外交～｜商务～。❸一般机关企业按业务划分的单位：编辑～｜门市～。❹军队（连以上）等的领导机构或其所在地：连～｜司令～。❺〈名〉指部队：率～突围。❻〈书〉统辖；统率；所～｜～领。❼〈量〉a）用于书籍、影片等：两～字典｜一～纪录片｜三～电视剧。</explain>
      <paraID> 2924AA8</paraID>
      <start>210</start>
      <end>212</end>
      <status>unmodified</status>
      <modifiedWord/>
      <trackRevisions>false</trackRevisions>
    </reviewItem>
    <reviewItem>
      <errorID>1bb0a701-c178-4dd3-8c43-f659d93b5553</errorID>
      <errorWord>设置</errorWord>
      <group>L1_Word</group>
      <groupName>字词问题</groupName>
      <ability>L2_Typo</ability>
      <abilityName>字词错误</abilityName>
      <candidateList>
        <item>设施</item>
      </candidateList>
      <explain/>
      <paraID>4B0C2ABC</paraID>
      <start>40</start>
      <end>42</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9a398d-afe3-460d-8932-292a91354d09}">
  <ds:schemaRefs/>
</ds:datastoreItem>
</file>

<file path=customXml/itemProps3.xml><?xml version="1.0" encoding="utf-8"?>
<ds:datastoreItem xmlns:ds="http://schemas.openxmlformats.org/officeDocument/2006/customXml" ds:itemID="{11E950FC-C658-4BE2-A2E6-601C0787C9E9}">
  <ds:schemaRefs/>
</ds:datastoreItem>
</file>

<file path=docProps/app.xml><?xml version="1.0" encoding="utf-8"?>
<Properties xmlns="http://schemas.openxmlformats.org/officeDocument/2006/extended-properties" xmlns:vt="http://schemas.openxmlformats.org/officeDocument/2006/docPropsVTypes">
  <Template>Normal</Template>
  <Pages>101</Pages>
  <Words>22678</Words>
  <Characters>24091</Characters>
  <Lines>669</Lines>
  <Paragraphs>188</Paragraphs>
  <TotalTime>1</TotalTime>
  <ScaleCrop>false</ScaleCrop>
  <LinksUpToDate>false</LinksUpToDate>
  <CharactersWithSpaces>24141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2022-03-11T00:41:00Z</dcterms:created>
  <dc:creator>Administrator</dc:creator>
  <cp:lastModifiedBy>silence</cp:lastModifiedBy>
  <cp:lastPrinted>2025-10-31T01:48:00Z</cp:lastPrinted>
  <dcterms:modified xsi:type="dcterms:W3CDTF">2026-01-22T02:55:24Z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C0F0D95E2CBE466F9207C9B594B76CCB_13</vt:lpwstr>
  </property>
  <property fmtid="{D5CDD505-2E9C-101B-9397-08002B2CF9AE}" pid="4" name="KSOTemplateDocerSaveRecord">
    <vt:lpwstr>eyJoZGlkIjoiZjRmYWUxOWJhMWE5OGFmZGQyNzA0NjBkZTNhOGRjMDEiLCJ1c2VySWQiOiIyNDg4ODMzNzUifQ==</vt:lpwstr>
  </property>
</Properties>
</file>